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3AEE73" w14:textId="77777777" w:rsidR="007443B1" w:rsidRPr="003543C2" w:rsidRDefault="007443B1" w:rsidP="007443B1">
      <w:pPr>
        <w:spacing w:line="240" w:lineRule="auto"/>
        <w:contextualSpacing/>
        <w:jc w:val="center"/>
        <w:rPr>
          <w:rFonts w:ascii="Arial" w:hAnsi="Arial" w:cs="Arial"/>
          <w:b/>
          <w:bCs/>
        </w:rPr>
      </w:pPr>
      <w:r w:rsidRPr="003543C2">
        <w:rPr>
          <w:rFonts w:ascii="Arial" w:hAnsi="Arial" w:cs="Arial"/>
          <w:b/>
        </w:rPr>
        <w:t>ANTIVIRAL RESISTANCE GENES FROM ABACA (</w:t>
      </w:r>
      <w:r w:rsidRPr="003543C2">
        <w:rPr>
          <w:rFonts w:ascii="Arial" w:hAnsi="Arial" w:cs="Arial"/>
          <w:b/>
          <w:bCs/>
          <w:i/>
        </w:rPr>
        <w:t>MUSA TEXTILIS</w:t>
      </w:r>
      <w:r w:rsidRPr="003543C2">
        <w:rPr>
          <w:rFonts w:ascii="Arial" w:hAnsi="Arial" w:cs="Arial"/>
          <w:b/>
          <w:bCs/>
        </w:rPr>
        <w:t xml:space="preserve"> NEE) </w:t>
      </w:r>
    </w:p>
    <w:p w14:paraId="6FDA65C6" w14:textId="77777777" w:rsidR="007443B1" w:rsidRPr="003543C2" w:rsidRDefault="007443B1" w:rsidP="007443B1">
      <w:pPr>
        <w:spacing w:line="240" w:lineRule="auto"/>
        <w:contextualSpacing/>
        <w:jc w:val="center"/>
        <w:rPr>
          <w:rFonts w:ascii="Arial" w:hAnsi="Arial" w:cs="Arial"/>
          <w:b/>
          <w:bCs/>
        </w:rPr>
      </w:pPr>
      <w:r w:rsidRPr="003543C2">
        <w:rPr>
          <w:rFonts w:ascii="Arial" w:hAnsi="Arial" w:cs="Arial"/>
          <w:b/>
          <w:bCs/>
        </w:rPr>
        <w:t>BC</w:t>
      </w:r>
      <w:r w:rsidRPr="003543C2">
        <w:rPr>
          <w:rFonts w:ascii="Arial" w:hAnsi="Arial" w:cs="Arial"/>
          <w:b/>
          <w:bCs/>
          <w:vertAlign w:val="subscript"/>
        </w:rPr>
        <w:t>2</w:t>
      </w:r>
      <w:r w:rsidRPr="003543C2">
        <w:rPr>
          <w:rFonts w:ascii="Arial" w:hAnsi="Arial" w:cs="Arial"/>
          <w:b/>
          <w:bCs/>
        </w:rPr>
        <w:t xml:space="preserve"> HYBRID:  TRANSCRIPTOME RESPONSES THAT MEDIATE INNATE </w:t>
      </w:r>
    </w:p>
    <w:p w14:paraId="287F5F62" w14:textId="77777777" w:rsidR="007443B1" w:rsidRDefault="007443B1" w:rsidP="007443B1">
      <w:pPr>
        <w:spacing w:line="240" w:lineRule="auto"/>
        <w:contextualSpacing/>
        <w:jc w:val="center"/>
        <w:rPr>
          <w:rFonts w:ascii="Arial" w:hAnsi="Arial" w:cs="Arial"/>
          <w:b/>
          <w:bCs/>
        </w:rPr>
      </w:pPr>
      <w:r w:rsidRPr="003543C2">
        <w:rPr>
          <w:rFonts w:ascii="Arial" w:hAnsi="Arial" w:cs="Arial"/>
          <w:b/>
          <w:bCs/>
        </w:rPr>
        <w:t>IMMUNITY AGAINST ABACA BUNCHY TOP VIRUS (ABTV)</w:t>
      </w:r>
    </w:p>
    <w:p w14:paraId="397AFD9B" w14:textId="77777777" w:rsidR="007443B1" w:rsidRDefault="007443B1" w:rsidP="007443B1">
      <w:pPr>
        <w:spacing w:line="240" w:lineRule="auto"/>
        <w:contextualSpacing/>
        <w:rPr>
          <w:rFonts w:ascii="Arial" w:hAnsi="Arial" w:cs="Arial"/>
          <w:b/>
          <w:bCs/>
        </w:rPr>
      </w:pPr>
    </w:p>
    <w:p w14:paraId="3E5FF654" w14:textId="77777777" w:rsidR="007443B1" w:rsidRDefault="007443B1" w:rsidP="007443B1">
      <w:pPr>
        <w:spacing w:line="240" w:lineRule="auto"/>
        <w:contextualSpacing/>
        <w:jc w:val="center"/>
        <w:rPr>
          <w:rFonts w:ascii="Arial" w:hAnsi="Arial" w:cs="Arial"/>
          <w:bCs/>
          <w:u w:val="single"/>
        </w:rPr>
      </w:pPr>
    </w:p>
    <w:p w14:paraId="0279D840" w14:textId="77777777" w:rsidR="007443B1" w:rsidRDefault="007443B1" w:rsidP="007443B1">
      <w:pPr>
        <w:spacing w:line="240" w:lineRule="auto"/>
        <w:contextualSpacing/>
        <w:jc w:val="center"/>
        <w:rPr>
          <w:rFonts w:ascii="Arial" w:hAnsi="Arial" w:cs="Arial"/>
          <w:bCs/>
        </w:rPr>
      </w:pPr>
      <w:r w:rsidRPr="0026669E">
        <w:rPr>
          <w:rFonts w:ascii="Arial" w:hAnsi="Arial" w:cs="Arial"/>
          <w:bCs/>
          <w:u w:val="single"/>
        </w:rPr>
        <w:t>Geraldine P. Muncada</w:t>
      </w:r>
      <w:proofErr w:type="gramStart"/>
      <w:r w:rsidRPr="0026669E">
        <w:rPr>
          <w:rFonts w:ascii="Arial" w:hAnsi="Arial" w:cs="Arial"/>
          <w:bCs/>
          <w:vertAlign w:val="superscript"/>
        </w:rPr>
        <w:t>1</w:t>
      </w:r>
      <w:r>
        <w:rPr>
          <w:rFonts w:ascii="Arial" w:hAnsi="Arial" w:cs="Arial"/>
          <w:bCs/>
          <w:vertAlign w:val="superscript"/>
        </w:rPr>
        <w:t>,6</w:t>
      </w:r>
      <w:r>
        <w:rPr>
          <w:rFonts w:ascii="Arial" w:hAnsi="Arial" w:cs="Arial"/>
          <w:bCs/>
        </w:rPr>
        <w:t>,</w:t>
      </w:r>
      <w:r>
        <w:rPr>
          <w:rFonts w:ascii="Arial" w:hAnsi="Arial" w:cs="Arial"/>
          <w:bCs/>
          <w:vertAlign w:val="superscript"/>
        </w:rPr>
        <w:t>,</w:t>
      </w:r>
      <w:proofErr w:type="gramEnd"/>
      <w:r>
        <w:rPr>
          <w:rFonts w:ascii="Arial" w:hAnsi="Arial" w:cs="Arial"/>
          <w:bCs/>
        </w:rPr>
        <w:t xml:space="preserve">Ma. </w:t>
      </w:r>
      <w:proofErr w:type="spellStart"/>
      <w:r>
        <w:rPr>
          <w:rFonts w:ascii="Arial" w:hAnsi="Arial" w:cs="Arial"/>
          <w:bCs/>
        </w:rPr>
        <w:t>Genaleen</w:t>
      </w:r>
      <w:proofErr w:type="spellEnd"/>
      <w:r>
        <w:rPr>
          <w:rFonts w:ascii="Arial" w:hAnsi="Arial" w:cs="Arial"/>
          <w:bCs/>
        </w:rPr>
        <w:t xml:space="preserve"> Q. Diaz</w:t>
      </w:r>
      <w:r>
        <w:rPr>
          <w:rFonts w:ascii="Arial" w:hAnsi="Arial" w:cs="Arial"/>
          <w:bCs/>
          <w:vertAlign w:val="superscript"/>
        </w:rPr>
        <w:t>2,5</w:t>
      </w:r>
      <w:r>
        <w:rPr>
          <w:rFonts w:ascii="Arial" w:hAnsi="Arial" w:cs="Arial"/>
          <w:bCs/>
        </w:rPr>
        <w:t>, Antonio C. Laurena</w:t>
      </w:r>
      <w:r>
        <w:rPr>
          <w:rFonts w:ascii="Arial" w:hAnsi="Arial" w:cs="Arial"/>
          <w:bCs/>
          <w:vertAlign w:val="superscript"/>
        </w:rPr>
        <w:t>3,5</w:t>
      </w:r>
      <w:r>
        <w:rPr>
          <w:rFonts w:ascii="Arial" w:hAnsi="Arial" w:cs="Arial"/>
          <w:bCs/>
        </w:rPr>
        <w:t>, Antonio G. Lalusin</w:t>
      </w:r>
      <w:r>
        <w:rPr>
          <w:rFonts w:ascii="Arial" w:hAnsi="Arial" w:cs="Arial"/>
          <w:bCs/>
          <w:vertAlign w:val="superscript"/>
        </w:rPr>
        <w:t>3,5</w:t>
      </w:r>
      <w:r>
        <w:rPr>
          <w:rFonts w:ascii="Arial" w:hAnsi="Arial" w:cs="Arial"/>
          <w:bCs/>
        </w:rPr>
        <w:t>, John E. Carlson</w:t>
      </w:r>
      <w:r>
        <w:rPr>
          <w:rFonts w:ascii="Arial" w:hAnsi="Arial" w:cs="Arial"/>
          <w:bCs/>
          <w:vertAlign w:val="superscript"/>
        </w:rPr>
        <w:t>4</w:t>
      </w:r>
      <w:r>
        <w:rPr>
          <w:rFonts w:ascii="Arial" w:hAnsi="Arial" w:cs="Arial"/>
          <w:bCs/>
        </w:rPr>
        <w:t>, Teodora O. Best</w:t>
      </w:r>
      <w:r>
        <w:rPr>
          <w:rFonts w:ascii="Arial" w:hAnsi="Arial" w:cs="Arial"/>
          <w:bCs/>
          <w:vertAlign w:val="superscript"/>
        </w:rPr>
        <w:t>4</w:t>
      </w:r>
      <w:r>
        <w:rPr>
          <w:rFonts w:ascii="Arial" w:hAnsi="Arial" w:cs="Arial"/>
          <w:bCs/>
        </w:rPr>
        <w:t>, Nathaniel Canon</w:t>
      </w:r>
      <w:r>
        <w:rPr>
          <w:rFonts w:ascii="Arial" w:hAnsi="Arial" w:cs="Arial"/>
          <w:vertAlign w:val="superscript"/>
        </w:rPr>
        <w:t>4</w:t>
      </w:r>
      <w:r>
        <w:rPr>
          <w:rFonts w:ascii="Arial" w:hAnsi="Arial" w:cs="Arial"/>
          <w:bCs/>
        </w:rPr>
        <w:t>,</w:t>
      </w:r>
    </w:p>
    <w:p w14:paraId="1769B9AA" w14:textId="77777777" w:rsidR="007443B1" w:rsidRPr="009E142A" w:rsidRDefault="007443B1" w:rsidP="007443B1">
      <w:pPr>
        <w:spacing w:line="240" w:lineRule="auto"/>
        <w:contextualSpacing/>
        <w:jc w:val="center"/>
        <w:rPr>
          <w:rFonts w:ascii="Arial" w:hAnsi="Arial" w:cs="Arial"/>
        </w:rPr>
      </w:pPr>
      <w:r>
        <w:rPr>
          <w:rFonts w:ascii="Arial" w:hAnsi="Arial" w:cs="Arial"/>
          <w:bCs/>
        </w:rPr>
        <w:t>Ma. Cecilia S. Reamillo</w:t>
      </w:r>
      <w:r>
        <w:rPr>
          <w:rFonts w:ascii="Arial" w:hAnsi="Arial" w:cs="Arial"/>
          <w:bCs/>
          <w:vertAlign w:val="superscript"/>
        </w:rPr>
        <w:t>2</w:t>
      </w:r>
      <w:r>
        <w:rPr>
          <w:rFonts w:ascii="Arial" w:hAnsi="Arial" w:cs="Arial"/>
          <w:bCs/>
        </w:rPr>
        <w:t xml:space="preserve"> and Diana Cecilia C. Palao</w:t>
      </w:r>
      <w:r>
        <w:rPr>
          <w:rFonts w:ascii="Arial" w:hAnsi="Arial" w:cs="Arial"/>
          <w:bCs/>
          <w:vertAlign w:val="superscript"/>
        </w:rPr>
        <w:t xml:space="preserve">6 </w:t>
      </w:r>
    </w:p>
    <w:p w14:paraId="4E045AE4" w14:textId="77777777" w:rsidR="007443B1" w:rsidRDefault="007443B1" w:rsidP="007443B1">
      <w:pPr>
        <w:spacing w:line="240" w:lineRule="auto"/>
        <w:contextualSpacing/>
        <w:jc w:val="center"/>
        <w:rPr>
          <w:rFonts w:ascii="Arial" w:hAnsi="Arial" w:cs="Arial"/>
          <w:bCs/>
          <w:vertAlign w:val="superscript"/>
        </w:rPr>
      </w:pPr>
    </w:p>
    <w:p w14:paraId="181FCD26" w14:textId="77777777" w:rsidR="007443B1" w:rsidRDefault="007443B1" w:rsidP="007443B1">
      <w:pPr>
        <w:spacing w:line="240" w:lineRule="auto"/>
        <w:contextualSpacing/>
        <w:jc w:val="center"/>
        <w:rPr>
          <w:rFonts w:ascii="Arial" w:hAnsi="Arial" w:cs="Arial"/>
          <w:bCs/>
        </w:rPr>
      </w:pPr>
      <w:r w:rsidRPr="0026669E">
        <w:rPr>
          <w:rFonts w:ascii="Arial" w:hAnsi="Arial" w:cs="Arial"/>
          <w:bCs/>
          <w:vertAlign w:val="superscript"/>
        </w:rPr>
        <w:t>1</w:t>
      </w:r>
      <w:r w:rsidRPr="00F403AD">
        <w:rPr>
          <w:rFonts w:ascii="Arial" w:hAnsi="Arial" w:cs="Arial"/>
          <w:bCs/>
        </w:rPr>
        <w:t>De</w:t>
      </w:r>
      <w:r>
        <w:rPr>
          <w:rFonts w:ascii="Arial" w:hAnsi="Arial" w:cs="Arial"/>
          <w:bCs/>
        </w:rPr>
        <w:t xml:space="preserve">partment of Biological Sciences, College of Science, University of Eastern Philippines, University Town, </w:t>
      </w:r>
      <w:proofErr w:type="spellStart"/>
      <w:r>
        <w:rPr>
          <w:rFonts w:ascii="Arial" w:hAnsi="Arial" w:cs="Arial"/>
          <w:bCs/>
        </w:rPr>
        <w:t>Catarman</w:t>
      </w:r>
      <w:proofErr w:type="spellEnd"/>
      <w:r>
        <w:rPr>
          <w:rFonts w:ascii="Arial" w:hAnsi="Arial" w:cs="Arial"/>
          <w:bCs/>
        </w:rPr>
        <w:t>, Northern Samar 6400</w:t>
      </w:r>
    </w:p>
    <w:p w14:paraId="162E8937" w14:textId="1252B4F6" w:rsidR="00610B1E" w:rsidRDefault="007443B1" w:rsidP="00610B1E">
      <w:pPr>
        <w:spacing w:line="240" w:lineRule="auto"/>
        <w:contextualSpacing/>
        <w:jc w:val="center"/>
        <w:rPr>
          <w:rFonts w:ascii="Arial" w:hAnsi="Arial" w:cs="Arial"/>
          <w:bCs/>
        </w:rPr>
      </w:pPr>
      <w:r>
        <w:rPr>
          <w:rFonts w:ascii="Arial" w:hAnsi="Arial" w:cs="Arial"/>
          <w:bCs/>
          <w:vertAlign w:val="superscript"/>
        </w:rPr>
        <w:t>2</w:t>
      </w:r>
      <w:r w:rsidRPr="00F403AD">
        <w:rPr>
          <w:rFonts w:ascii="Arial" w:hAnsi="Arial" w:cs="Arial"/>
          <w:bCs/>
        </w:rPr>
        <w:t>Genetics and Molecular Biology</w:t>
      </w:r>
      <w:r>
        <w:rPr>
          <w:rFonts w:ascii="Arial" w:hAnsi="Arial" w:cs="Arial"/>
          <w:bCs/>
        </w:rPr>
        <w:t xml:space="preserve"> Division, Institute of Biological Sciences, University of the Philippines Los </w:t>
      </w:r>
      <w:proofErr w:type="spellStart"/>
      <w:r w:rsidRPr="002C2B12">
        <w:rPr>
          <w:rFonts w:ascii="Times New Roman" w:hAnsi="Times New Roman"/>
          <w:bCs/>
          <w:sz w:val="24"/>
          <w:szCs w:val="24"/>
        </w:rPr>
        <w:t>Baños</w:t>
      </w:r>
      <w:proofErr w:type="spellEnd"/>
      <w:r>
        <w:rPr>
          <w:rFonts w:ascii="Arial" w:hAnsi="Arial" w:cs="Arial"/>
          <w:bCs/>
        </w:rPr>
        <w:t>, College Laguna 4031</w:t>
      </w:r>
      <w:bookmarkStart w:id="0" w:name="_GoBack"/>
      <w:bookmarkEnd w:id="0"/>
    </w:p>
    <w:p w14:paraId="05E061C6" w14:textId="14B59C01" w:rsidR="007443B1" w:rsidRDefault="00610B1E" w:rsidP="00610B1E">
      <w:pPr>
        <w:spacing w:line="240" w:lineRule="auto"/>
        <w:contextualSpacing/>
        <w:jc w:val="center"/>
        <w:rPr>
          <w:rFonts w:ascii="Arial" w:hAnsi="Arial" w:cs="Arial"/>
          <w:bCs/>
        </w:rPr>
      </w:pPr>
      <w:r>
        <w:rPr>
          <w:rFonts w:ascii="Arial" w:hAnsi="Arial" w:cs="Arial"/>
          <w:bCs/>
          <w:vertAlign w:val="superscript"/>
        </w:rPr>
        <w:t>3</w:t>
      </w:r>
      <w:r w:rsidR="007443B1">
        <w:rPr>
          <w:rFonts w:ascii="Arial" w:hAnsi="Arial" w:cs="Arial"/>
          <w:bCs/>
        </w:rPr>
        <w:t xml:space="preserve">Institute of </w:t>
      </w:r>
      <w:r>
        <w:rPr>
          <w:rFonts w:ascii="Arial" w:hAnsi="Arial" w:cs="Arial"/>
          <w:bCs/>
        </w:rPr>
        <w:t xml:space="preserve">Plant Breeding, </w:t>
      </w:r>
      <w:r w:rsidR="007443B1">
        <w:rPr>
          <w:rFonts w:ascii="Arial" w:hAnsi="Arial" w:cs="Arial"/>
          <w:bCs/>
        </w:rPr>
        <w:t xml:space="preserve">University of the Philippines Los </w:t>
      </w:r>
      <w:proofErr w:type="spellStart"/>
      <w:r w:rsidR="007443B1" w:rsidRPr="002C2B12">
        <w:rPr>
          <w:rFonts w:ascii="Times New Roman" w:hAnsi="Times New Roman"/>
          <w:bCs/>
          <w:sz w:val="24"/>
          <w:szCs w:val="24"/>
        </w:rPr>
        <w:t>Baños</w:t>
      </w:r>
      <w:proofErr w:type="spellEnd"/>
      <w:r w:rsidR="007443B1">
        <w:rPr>
          <w:rFonts w:ascii="Arial" w:hAnsi="Arial" w:cs="Arial"/>
          <w:bCs/>
        </w:rPr>
        <w:t>, College Laguna 4031</w:t>
      </w:r>
    </w:p>
    <w:p w14:paraId="0C13A001" w14:textId="77777777" w:rsidR="007443B1" w:rsidRDefault="007443B1" w:rsidP="007443B1">
      <w:pPr>
        <w:spacing w:line="240" w:lineRule="auto"/>
        <w:contextualSpacing/>
        <w:jc w:val="center"/>
        <w:rPr>
          <w:rFonts w:ascii="Arial" w:hAnsi="Arial" w:cs="Arial"/>
          <w:bCs/>
        </w:rPr>
      </w:pPr>
      <w:r>
        <w:rPr>
          <w:rFonts w:ascii="Arial" w:hAnsi="Arial" w:cs="Arial"/>
          <w:bCs/>
          <w:vertAlign w:val="superscript"/>
        </w:rPr>
        <w:t>4</w:t>
      </w:r>
      <w:r>
        <w:rPr>
          <w:rFonts w:ascii="Arial" w:hAnsi="Arial" w:cs="Arial"/>
          <w:bCs/>
        </w:rPr>
        <w:t>The Schatz Center for Tree Molecular Genetics, School of Forest Resources,</w:t>
      </w:r>
    </w:p>
    <w:p w14:paraId="67EE0D3E" w14:textId="77777777" w:rsidR="007443B1" w:rsidRDefault="007443B1" w:rsidP="007443B1">
      <w:pPr>
        <w:spacing w:line="240" w:lineRule="auto"/>
        <w:contextualSpacing/>
        <w:jc w:val="center"/>
        <w:rPr>
          <w:rFonts w:ascii="Arial" w:hAnsi="Arial" w:cs="Arial"/>
          <w:bCs/>
        </w:rPr>
      </w:pPr>
      <w:r>
        <w:rPr>
          <w:rFonts w:ascii="Arial" w:hAnsi="Arial" w:cs="Arial"/>
          <w:bCs/>
        </w:rPr>
        <w:t>The Pennsylvania State University, University Park, PA 16802</w:t>
      </w:r>
    </w:p>
    <w:p w14:paraId="327EFD48" w14:textId="3AE160FE" w:rsidR="007443B1" w:rsidRDefault="007443B1" w:rsidP="007443B1">
      <w:pPr>
        <w:spacing w:line="240" w:lineRule="auto"/>
        <w:contextualSpacing/>
        <w:jc w:val="center"/>
        <w:rPr>
          <w:rFonts w:ascii="Arial" w:hAnsi="Arial" w:cs="Arial"/>
          <w:bCs/>
        </w:rPr>
      </w:pPr>
      <w:r>
        <w:rPr>
          <w:rFonts w:ascii="Arial" w:hAnsi="Arial" w:cs="Arial"/>
          <w:vertAlign w:val="superscript"/>
        </w:rPr>
        <w:t>5</w:t>
      </w:r>
      <w:r>
        <w:rPr>
          <w:rFonts w:ascii="Arial" w:hAnsi="Arial" w:cs="Arial"/>
          <w:bCs/>
        </w:rPr>
        <w:t>The Philippine Genome Center</w:t>
      </w:r>
      <w:r w:rsidR="006E65C7">
        <w:rPr>
          <w:rFonts w:ascii="Arial" w:hAnsi="Arial" w:cs="Arial"/>
          <w:bCs/>
        </w:rPr>
        <w:t>-</w:t>
      </w:r>
      <w:proofErr w:type="spellStart"/>
      <w:r w:rsidR="006E65C7">
        <w:rPr>
          <w:rFonts w:ascii="Arial" w:hAnsi="Arial" w:cs="Arial"/>
          <w:bCs/>
        </w:rPr>
        <w:t>Agricuture</w:t>
      </w:r>
      <w:proofErr w:type="spellEnd"/>
      <w:r>
        <w:rPr>
          <w:rFonts w:ascii="Arial" w:hAnsi="Arial" w:cs="Arial"/>
          <w:bCs/>
        </w:rPr>
        <w:t xml:space="preserve">, University of the Philippines Los </w:t>
      </w:r>
      <w:proofErr w:type="spellStart"/>
      <w:r w:rsidRPr="002C2B12">
        <w:rPr>
          <w:rFonts w:ascii="Times New Roman" w:hAnsi="Times New Roman"/>
          <w:bCs/>
          <w:sz w:val="24"/>
          <w:szCs w:val="24"/>
        </w:rPr>
        <w:t>Baños</w:t>
      </w:r>
      <w:proofErr w:type="spellEnd"/>
      <w:r>
        <w:rPr>
          <w:rFonts w:ascii="Arial" w:hAnsi="Arial" w:cs="Arial"/>
          <w:bCs/>
        </w:rPr>
        <w:t>,</w:t>
      </w:r>
    </w:p>
    <w:p w14:paraId="4CC7935D" w14:textId="77777777" w:rsidR="007443B1" w:rsidRDefault="007443B1" w:rsidP="007443B1">
      <w:pPr>
        <w:spacing w:line="240" w:lineRule="auto"/>
        <w:contextualSpacing/>
        <w:jc w:val="center"/>
        <w:rPr>
          <w:rFonts w:ascii="Arial" w:hAnsi="Arial" w:cs="Arial"/>
          <w:bCs/>
        </w:rPr>
      </w:pPr>
      <w:r>
        <w:rPr>
          <w:rFonts w:ascii="Arial" w:hAnsi="Arial" w:cs="Arial"/>
          <w:bCs/>
        </w:rPr>
        <w:t>College Laguna 4031</w:t>
      </w:r>
    </w:p>
    <w:p w14:paraId="1F6D3951" w14:textId="77777777" w:rsidR="007443B1" w:rsidRDefault="007443B1" w:rsidP="007443B1">
      <w:pPr>
        <w:spacing w:line="240" w:lineRule="auto"/>
        <w:contextualSpacing/>
        <w:jc w:val="center"/>
        <w:rPr>
          <w:rFonts w:ascii="Arial" w:hAnsi="Arial" w:cs="Arial"/>
          <w:bCs/>
        </w:rPr>
      </w:pPr>
      <w:r>
        <w:rPr>
          <w:rFonts w:ascii="Arial" w:hAnsi="Arial" w:cs="Arial"/>
          <w:bCs/>
          <w:vertAlign w:val="superscript"/>
        </w:rPr>
        <w:t>6</w:t>
      </w:r>
      <w:r>
        <w:rPr>
          <w:rFonts w:ascii="Arial" w:hAnsi="Arial" w:cs="Arial"/>
          <w:bCs/>
        </w:rPr>
        <w:t xml:space="preserve">The Graduate School, University of the Philippines Los </w:t>
      </w:r>
      <w:proofErr w:type="spellStart"/>
      <w:r w:rsidRPr="002C2B12">
        <w:rPr>
          <w:rFonts w:ascii="Times New Roman" w:hAnsi="Times New Roman"/>
          <w:bCs/>
          <w:sz w:val="24"/>
          <w:szCs w:val="24"/>
        </w:rPr>
        <w:t>Baños</w:t>
      </w:r>
      <w:proofErr w:type="spellEnd"/>
      <w:r>
        <w:rPr>
          <w:rFonts w:ascii="Arial" w:hAnsi="Arial" w:cs="Arial"/>
          <w:bCs/>
        </w:rPr>
        <w:t>, College Laguna 4031</w:t>
      </w:r>
    </w:p>
    <w:p w14:paraId="3C3CACCC" w14:textId="77777777" w:rsidR="007443B1" w:rsidRDefault="007443B1" w:rsidP="007443B1">
      <w:pPr>
        <w:spacing w:line="240" w:lineRule="auto"/>
        <w:contextualSpacing/>
        <w:jc w:val="center"/>
        <w:rPr>
          <w:rFonts w:ascii="Arial" w:hAnsi="Arial" w:cs="Arial"/>
          <w:bCs/>
        </w:rPr>
      </w:pPr>
    </w:p>
    <w:p w14:paraId="7EBDD5D0" w14:textId="77777777" w:rsidR="007443B1" w:rsidRDefault="007443B1" w:rsidP="007443B1">
      <w:pPr>
        <w:spacing w:line="240" w:lineRule="auto"/>
        <w:contextualSpacing/>
        <w:jc w:val="center"/>
        <w:rPr>
          <w:rFonts w:ascii="Arial" w:hAnsi="Arial" w:cs="Arial"/>
          <w:bCs/>
        </w:rPr>
      </w:pPr>
      <w:r w:rsidRPr="0026669E">
        <w:rPr>
          <w:rFonts w:ascii="Arial" w:hAnsi="Arial" w:cs="Arial"/>
          <w:bCs/>
          <w:vertAlign w:val="superscript"/>
        </w:rPr>
        <w:t>1</w:t>
      </w:r>
      <w:r w:rsidRPr="002004A6">
        <w:rPr>
          <w:rFonts w:ascii="Arial" w:hAnsi="Arial" w:cs="Arial"/>
          <w:bCs/>
        </w:rPr>
        <w:t>Corresponding Author</w:t>
      </w:r>
      <w:r>
        <w:rPr>
          <w:rFonts w:ascii="Arial" w:hAnsi="Arial" w:cs="Arial"/>
          <w:bCs/>
        </w:rPr>
        <w:t xml:space="preserve">: E-mail: </w:t>
      </w:r>
      <w:hyperlink r:id="rId4" w:history="1">
        <w:r w:rsidRPr="00A625E5">
          <w:rPr>
            <w:rStyle w:val="Hyperlink"/>
            <w:rFonts w:ascii="Arial" w:hAnsi="Arial" w:cs="Arial"/>
            <w:bCs/>
          </w:rPr>
          <w:t>precgem@yahoo.com</w:t>
        </w:r>
      </w:hyperlink>
    </w:p>
    <w:p w14:paraId="53C0863F" w14:textId="77777777" w:rsidR="007443B1" w:rsidRDefault="007443B1" w:rsidP="007443B1">
      <w:pPr>
        <w:spacing w:line="240" w:lineRule="auto"/>
        <w:contextualSpacing/>
        <w:jc w:val="center"/>
        <w:rPr>
          <w:rFonts w:ascii="Arial" w:hAnsi="Arial" w:cs="Arial"/>
          <w:bCs/>
        </w:rPr>
      </w:pPr>
    </w:p>
    <w:p w14:paraId="1BEAF821" w14:textId="77777777" w:rsidR="007443B1" w:rsidRPr="007443B1" w:rsidRDefault="007443B1" w:rsidP="007443B1">
      <w:pPr>
        <w:spacing w:line="240" w:lineRule="auto"/>
        <w:contextualSpacing/>
        <w:jc w:val="center"/>
        <w:rPr>
          <w:rFonts w:ascii="Arial" w:hAnsi="Arial" w:cs="Arial"/>
          <w:bCs/>
        </w:rPr>
      </w:pPr>
    </w:p>
    <w:p w14:paraId="203DCA47" w14:textId="470273F5" w:rsidR="00A01CBE" w:rsidRDefault="00F40E75" w:rsidP="007443B1">
      <w:pPr>
        <w:ind w:firstLine="720"/>
        <w:jc w:val="both"/>
        <w:rPr>
          <w:rFonts w:ascii="Times New Roman" w:hAnsi="Times New Roman"/>
          <w:i/>
        </w:rPr>
      </w:pPr>
      <w:r w:rsidRPr="007443B1">
        <w:rPr>
          <w:rFonts w:ascii="Times New Roman" w:hAnsi="Times New Roman"/>
        </w:rPr>
        <w:t>Abaca (</w:t>
      </w:r>
      <w:r w:rsidRPr="007443B1">
        <w:rPr>
          <w:rFonts w:ascii="Times New Roman" w:hAnsi="Times New Roman"/>
          <w:i/>
        </w:rPr>
        <w:t xml:space="preserve">Musa </w:t>
      </w:r>
      <w:proofErr w:type="spellStart"/>
      <w:r w:rsidRPr="007443B1">
        <w:rPr>
          <w:rFonts w:ascii="Times New Roman" w:hAnsi="Times New Roman"/>
          <w:i/>
        </w:rPr>
        <w:t>textilis</w:t>
      </w:r>
      <w:proofErr w:type="spellEnd"/>
      <w:r w:rsidRPr="007443B1">
        <w:rPr>
          <w:rFonts w:ascii="Times New Roman" w:hAnsi="Times New Roman"/>
          <w:i/>
        </w:rPr>
        <w:t xml:space="preserve"> Nee</w:t>
      </w:r>
      <w:r w:rsidRPr="007443B1">
        <w:rPr>
          <w:rFonts w:ascii="Times New Roman" w:hAnsi="Times New Roman"/>
        </w:rPr>
        <w:t>) is susceptible to abaca bunchy top virus (ABTV).  An abaca BC</w:t>
      </w:r>
      <w:r w:rsidRPr="007443B1">
        <w:rPr>
          <w:rFonts w:ascii="Times New Roman" w:hAnsi="Times New Roman"/>
          <w:sz w:val="16"/>
        </w:rPr>
        <w:t>2</w:t>
      </w:r>
      <w:r w:rsidRPr="007443B1">
        <w:rPr>
          <w:rFonts w:ascii="Times New Roman" w:hAnsi="Times New Roman"/>
          <w:sz w:val="20"/>
        </w:rPr>
        <w:t xml:space="preserve"> </w:t>
      </w:r>
      <w:r w:rsidRPr="007443B1">
        <w:rPr>
          <w:rFonts w:ascii="Times New Roman" w:hAnsi="Times New Roman"/>
        </w:rPr>
        <w:t xml:space="preserve">hybrid derived from a cross between abaca variety </w:t>
      </w:r>
      <w:proofErr w:type="spellStart"/>
      <w:r w:rsidRPr="007443B1">
        <w:rPr>
          <w:rFonts w:ascii="Times New Roman" w:hAnsi="Times New Roman"/>
        </w:rPr>
        <w:t>Abuab</w:t>
      </w:r>
      <w:proofErr w:type="spellEnd"/>
      <w:r w:rsidRPr="007443B1">
        <w:rPr>
          <w:rFonts w:ascii="Times New Roman" w:hAnsi="Times New Roman"/>
        </w:rPr>
        <w:t xml:space="preserve"> and the ABTV resistant donor parent </w:t>
      </w:r>
      <w:proofErr w:type="spellStart"/>
      <w:r w:rsidRPr="007443B1">
        <w:rPr>
          <w:rFonts w:ascii="Times New Roman" w:hAnsi="Times New Roman"/>
        </w:rPr>
        <w:t>Pacol</w:t>
      </w:r>
      <w:proofErr w:type="spellEnd"/>
      <w:r w:rsidRPr="007443B1">
        <w:rPr>
          <w:rFonts w:ascii="Times New Roman" w:hAnsi="Times New Roman"/>
        </w:rPr>
        <w:t xml:space="preserve"> (</w:t>
      </w:r>
      <w:r w:rsidRPr="007443B1">
        <w:rPr>
          <w:rFonts w:ascii="Times New Roman" w:hAnsi="Times New Roman"/>
          <w:i/>
        </w:rPr>
        <w:t xml:space="preserve">M. </w:t>
      </w:r>
      <w:proofErr w:type="spellStart"/>
      <w:r w:rsidRPr="007443B1">
        <w:rPr>
          <w:rFonts w:ascii="Times New Roman" w:hAnsi="Times New Roman"/>
          <w:i/>
        </w:rPr>
        <w:t>balbisiana</w:t>
      </w:r>
      <w:proofErr w:type="spellEnd"/>
      <w:r w:rsidRPr="007443B1">
        <w:rPr>
          <w:rFonts w:ascii="Times New Roman" w:hAnsi="Times New Roman"/>
        </w:rPr>
        <w:t>), was observed to be resistant to ABTV.  The molecular mechanism underlying ABTV disease resistance in the hybrid has not been elucidated.  Currently, transcriptomic data are available to understand the molecular mechanism of resistance of the abaca BC</w:t>
      </w:r>
      <w:r w:rsidRPr="007443B1">
        <w:rPr>
          <w:rFonts w:ascii="Times New Roman" w:hAnsi="Times New Roman"/>
          <w:sz w:val="20"/>
        </w:rPr>
        <w:t>2</w:t>
      </w:r>
      <w:r w:rsidRPr="007443B1">
        <w:rPr>
          <w:rFonts w:ascii="Times New Roman" w:hAnsi="Times New Roman"/>
        </w:rPr>
        <w:t xml:space="preserve"> hybrid to ABTV.  RNA </w:t>
      </w:r>
      <w:proofErr w:type="spellStart"/>
      <w:r w:rsidRPr="007443B1">
        <w:rPr>
          <w:rFonts w:ascii="Times New Roman" w:hAnsi="Times New Roman"/>
        </w:rPr>
        <w:t>Seq</w:t>
      </w:r>
      <w:proofErr w:type="spellEnd"/>
      <w:r w:rsidRPr="007443B1">
        <w:rPr>
          <w:rFonts w:ascii="Times New Roman" w:hAnsi="Times New Roman"/>
        </w:rPr>
        <w:t xml:space="preserve"> transcriptome data were obtained from the inner whorl of the </w:t>
      </w:r>
      <w:proofErr w:type="spellStart"/>
      <w:r w:rsidRPr="007443B1">
        <w:rPr>
          <w:rFonts w:ascii="Times New Roman" w:hAnsi="Times New Roman"/>
        </w:rPr>
        <w:t>pseudostems</w:t>
      </w:r>
      <w:proofErr w:type="spellEnd"/>
      <w:r w:rsidRPr="007443B1">
        <w:rPr>
          <w:rFonts w:ascii="Times New Roman" w:hAnsi="Times New Roman"/>
        </w:rPr>
        <w:t xml:space="preserve"> of </w:t>
      </w:r>
      <w:proofErr w:type="spellStart"/>
      <w:r w:rsidRPr="007443B1">
        <w:rPr>
          <w:rFonts w:ascii="Times New Roman" w:hAnsi="Times New Roman"/>
        </w:rPr>
        <w:t>Abuab</w:t>
      </w:r>
      <w:proofErr w:type="spellEnd"/>
      <w:r w:rsidRPr="007443B1">
        <w:rPr>
          <w:rFonts w:ascii="Times New Roman" w:hAnsi="Times New Roman"/>
        </w:rPr>
        <w:t xml:space="preserve">, </w:t>
      </w:r>
      <w:proofErr w:type="spellStart"/>
      <w:r w:rsidRPr="007443B1">
        <w:rPr>
          <w:rFonts w:ascii="Times New Roman" w:hAnsi="Times New Roman"/>
        </w:rPr>
        <w:t>pacol</w:t>
      </w:r>
      <w:proofErr w:type="spellEnd"/>
      <w:r w:rsidRPr="007443B1">
        <w:rPr>
          <w:rFonts w:ascii="Times New Roman" w:hAnsi="Times New Roman"/>
        </w:rPr>
        <w:t>, BC</w:t>
      </w:r>
      <w:r w:rsidRPr="007443B1">
        <w:rPr>
          <w:rFonts w:ascii="Times New Roman" w:hAnsi="Times New Roman"/>
          <w:sz w:val="20"/>
        </w:rPr>
        <w:t>2</w:t>
      </w:r>
      <w:r w:rsidRPr="007443B1">
        <w:rPr>
          <w:rFonts w:ascii="Times New Roman" w:hAnsi="Times New Roman"/>
        </w:rPr>
        <w:t>-A</w:t>
      </w:r>
      <w:r w:rsidRPr="007443B1">
        <w:rPr>
          <w:rFonts w:ascii="Times New Roman" w:hAnsi="Times New Roman"/>
          <w:sz w:val="20"/>
        </w:rPr>
        <w:t>2</w:t>
      </w:r>
      <w:r w:rsidRPr="007443B1">
        <w:rPr>
          <w:rFonts w:ascii="Times New Roman" w:hAnsi="Times New Roman"/>
        </w:rPr>
        <w:t xml:space="preserve"> non-inoculated, BC</w:t>
      </w:r>
      <w:r w:rsidRPr="007443B1">
        <w:rPr>
          <w:rFonts w:ascii="Times New Roman" w:hAnsi="Times New Roman"/>
          <w:sz w:val="20"/>
        </w:rPr>
        <w:t>2</w:t>
      </w:r>
      <w:r w:rsidRPr="007443B1">
        <w:rPr>
          <w:rFonts w:ascii="Times New Roman" w:hAnsi="Times New Roman"/>
        </w:rPr>
        <w:t>-A</w:t>
      </w:r>
      <w:r w:rsidRPr="007443B1">
        <w:rPr>
          <w:rFonts w:ascii="Times New Roman" w:hAnsi="Times New Roman"/>
          <w:sz w:val="20"/>
        </w:rPr>
        <w:t>2</w:t>
      </w:r>
      <w:r w:rsidRPr="007443B1">
        <w:rPr>
          <w:rFonts w:ascii="Times New Roman" w:hAnsi="Times New Roman"/>
        </w:rPr>
        <w:t xml:space="preserve"> two </w:t>
      </w:r>
      <w:proofErr w:type="gramStart"/>
      <w:r w:rsidRPr="007443B1">
        <w:rPr>
          <w:rFonts w:ascii="Times New Roman" w:hAnsi="Times New Roman"/>
        </w:rPr>
        <w:t>weeks</w:t>
      </w:r>
      <w:proofErr w:type="gramEnd"/>
      <w:r w:rsidRPr="007443B1">
        <w:rPr>
          <w:rFonts w:ascii="Times New Roman" w:hAnsi="Times New Roman"/>
        </w:rPr>
        <w:t xml:space="preserve"> post inoculated and BC</w:t>
      </w:r>
      <w:r w:rsidRPr="007443B1">
        <w:rPr>
          <w:rFonts w:ascii="Times New Roman" w:hAnsi="Times New Roman"/>
          <w:sz w:val="20"/>
        </w:rPr>
        <w:t>2</w:t>
      </w:r>
      <w:r w:rsidRPr="007443B1">
        <w:rPr>
          <w:rFonts w:ascii="Times New Roman" w:hAnsi="Times New Roman"/>
        </w:rPr>
        <w:t>-A</w:t>
      </w:r>
      <w:r w:rsidRPr="007443B1">
        <w:rPr>
          <w:rFonts w:ascii="Times New Roman" w:hAnsi="Times New Roman"/>
          <w:sz w:val="20"/>
        </w:rPr>
        <w:t>2</w:t>
      </w:r>
      <w:r w:rsidRPr="007443B1">
        <w:rPr>
          <w:rFonts w:ascii="Times New Roman" w:hAnsi="Times New Roman"/>
        </w:rPr>
        <w:t xml:space="preserve"> four weeks post inoculated with ABTV.  Transcriptome were assembled using CLC Bio Genomics Workbench based on reference-guided assembly with CDS of M. acuminate and </w:t>
      </w:r>
      <w:r w:rsidRPr="00C67DEF">
        <w:rPr>
          <w:rFonts w:ascii="Times New Roman" w:hAnsi="Times New Roman"/>
          <w:i/>
        </w:rPr>
        <w:t xml:space="preserve">M. </w:t>
      </w:r>
      <w:proofErr w:type="spellStart"/>
      <w:r w:rsidRPr="00C67DEF">
        <w:rPr>
          <w:rFonts w:ascii="Times New Roman" w:hAnsi="Times New Roman"/>
          <w:i/>
        </w:rPr>
        <w:t>balbisiana</w:t>
      </w:r>
      <w:proofErr w:type="spellEnd"/>
      <w:r w:rsidRPr="007443B1">
        <w:rPr>
          <w:rFonts w:ascii="Times New Roman" w:hAnsi="Times New Roman"/>
        </w:rPr>
        <w:t>.  There are 349 differentially expressed (DEGs), e</w:t>
      </w:r>
      <w:r w:rsidR="007443B1">
        <w:rPr>
          <w:rFonts w:ascii="Times New Roman" w:hAnsi="Times New Roman"/>
        </w:rPr>
        <w:t>ighty-</w:t>
      </w:r>
      <w:r w:rsidRPr="007443B1">
        <w:rPr>
          <w:rFonts w:ascii="Times New Roman" w:hAnsi="Times New Roman"/>
        </w:rPr>
        <w:t xml:space="preserve">seven of which were putatively classified as defense response genes.  These include: four pattern triggered immunity (PTI); signal receptor genes/pattern recognition receptors (PRRs); 35 effector triggered immunity (ETI)-based effector genes or R genes; four photosynthetic genes; two ER resident chaperones involved in unfolded protein response (UPR) and ER-mediated program cell death; two genes involved in molecular Ubiquitin Proteasome System (UPS); four regulatory receptors and </w:t>
      </w:r>
      <w:r w:rsidR="007443B1" w:rsidRPr="007443B1">
        <w:rPr>
          <w:rFonts w:ascii="Times New Roman" w:hAnsi="Times New Roman"/>
        </w:rPr>
        <w:t>thirty-one</w:t>
      </w:r>
      <w:r w:rsidRPr="007443B1">
        <w:rPr>
          <w:rFonts w:ascii="Times New Roman" w:hAnsi="Times New Roman"/>
        </w:rPr>
        <w:t xml:space="preserve"> ABTV responsive transcription factors.  It was also observed that some genes have similar patterns of expression in the BC</w:t>
      </w:r>
      <w:r w:rsidRPr="007443B1">
        <w:rPr>
          <w:rFonts w:ascii="Times New Roman" w:hAnsi="Times New Roman"/>
          <w:sz w:val="20"/>
        </w:rPr>
        <w:t xml:space="preserve">2 </w:t>
      </w:r>
      <w:r w:rsidRPr="007443B1">
        <w:rPr>
          <w:rFonts w:ascii="Times New Roman" w:hAnsi="Times New Roman"/>
        </w:rPr>
        <w:t xml:space="preserve">hybrid and the donor parent, </w:t>
      </w:r>
      <w:proofErr w:type="spellStart"/>
      <w:r w:rsidRPr="007443B1">
        <w:rPr>
          <w:rFonts w:ascii="Times New Roman" w:hAnsi="Times New Roman"/>
        </w:rPr>
        <w:t>Pacol</w:t>
      </w:r>
      <w:proofErr w:type="spellEnd"/>
      <w:r w:rsidRPr="007443B1">
        <w:rPr>
          <w:rFonts w:ascii="Times New Roman" w:hAnsi="Times New Roman"/>
        </w:rPr>
        <w:t>.  Quantitative real-time PCR analysis validated the RNA-</w:t>
      </w:r>
      <w:proofErr w:type="spellStart"/>
      <w:r w:rsidRPr="007443B1">
        <w:rPr>
          <w:rFonts w:ascii="Times New Roman" w:hAnsi="Times New Roman"/>
        </w:rPr>
        <w:t>Seq</w:t>
      </w:r>
      <w:proofErr w:type="spellEnd"/>
      <w:r w:rsidRPr="007443B1">
        <w:rPr>
          <w:rFonts w:ascii="Times New Roman" w:hAnsi="Times New Roman"/>
        </w:rPr>
        <w:t xml:space="preserve"> expression results for six genes which include </w:t>
      </w:r>
      <w:proofErr w:type="spellStart"/>
      <w:r w:rsidRPr="007443B1">
        <w:rPr>
          <w:rFonts w:ascii="Times New Roman" w:hAnsi="Times New Roman"/>
        </w:rPr>
        <w:t>germin</w:t>
      </w:r>
      <w:proofErr w:type="spellEnd"/>
      <w:r w:rsidRPr="007443B1">
        <w:rPr>
          <w:rFonts w:ascii="Times New Roman" w:hAnsi="Times New Roman"/>
        </w:rPr>
        <w:t xml:space="preserve">-like protein (GLP3), glutathione S-transferase F11 (GST), heat </w:t>
      </w:r>
      <w:r w:rsidR="00FB4B28" w:rsidRPr="007443B1">
        <w:rPr>
          <w:rFonts w:ascii="Times New Roman" w:hAnsi="Times New Roman"/>
        </w:rPr>
        <w:t>shock</w:t>
      </w:r>
      <w:r w:rsidRPr="007443B1">
        <w:rPr>
          <w:rFonts w:ascii="Times New Roman" w:hAnsi="Times New Roman"/>
        </w:rPr>
        <w:t xml:space="preserve"> coat protein 70-1 (HSCP 70-1)</w:t>
      </w:r>
      <w:r w:rsidR="007443B1" w:rsidRPr="007443B1">
        <w:rPr>
          <w:rFonts w:ascii="Times New Roman" w:hAnsi="Times New Roman"/>
        </w:rPr>
        <w:t xml:space="preserve">, lipid transfer protein (LTP3), </w:t>
      </w:r>
      <w:r w:rsidR="007C3294" w:rsidRPr="007443B1">
        <w:rPr>
          <w:rFonts w:ascii="Times New Roman" w:hAnsi="Times New Roman"/>
        </w:rPr>
        <w:t>senescence</w:t>
      </w:r>
      <w:r w:rsidR="007443B1" w:rsidRPr="007443B1">
        <w:rPr>
          <w:rFonts w:ascii="Times New Roman" w:hAnsi="Times New Roman"/>
        </w:rPr>
        <w:t xml:space="preserve"> associated gene (SAG20) and </w:t>
      </w:r>
      <w:proofErr w:type="spellStart"/>
      <w:r w:rsidR="007443B1" w:rsidRPr="007443B1">
        <w:rPr>
          <w:rFonts w:ascii="Times New Roman" w:hAnsi="Times New Roman"/>
        </w:rPr>
        <w:t>thioredoxin</w:t>
      </w:r>
      <w:proofErr w:type="spellEnd"/>
      <w:r w:rsidR="007443B1" w:rsidRPr="007443B1">
        <w:rPr>
          <w:rFonts w:ascii="Times New Roman" w:hAnsi="Times New Roman"/>
        </w:rPr>
        <w:t xml:space="preserve"> superfamily protein (TXN).  This is the first report on the possible complex molecular mechanisms involved in antiviral defense response in </w:t>
      </w:r>
      <w:r w:rsidR="007443B1" w:rsidRPr="007443B1">
        <w:rPr>
          <w:rFonts w:ascii="Times New Roman" w:hAnsi="Times New Roman"/>
          <w:i/>
        </w:rPr>
        <w:t xml:space="preserve">Musa </w:t>
      </w:r>
      <w:proofErr w:type="spellStart"/>
      <w:r w:rsidR="007443B1" w:rsidRPr="007443B1">
        <w:rPr>
          <w:rFonts w:ascii="Times New Roman" w:hAnsi="Times New Roman"/>
          <w:i/>
        </w:rPr>
        <w:t>textilis</w:t>
      </w:r>
      <w:proofErr w:type="spellEnd"/>
      <w:r w:rsidR="007443B1" w:rsidRPr="007443B1">
        <w:rPr>
          <w:rFonts w:ascii="Times New Roman" w:hAnsi="Times New Roman"/>
          <w:i/>
        </w:rPr>
        <w:t xml:space="preserve"> Nee</w:t>
      </w:r>
      <w:r w:rsidR="007443B1">
        <w:rPr>
          <w:rFonts w:ascii="Times New Roman" w:hAnsi="Times New Roman"/>
          <w:i/>
        </w:rPr>
        <w:t>.</w:t>
      </w:r>
    </w:p>
    <w:p w14:paraId="7D85D9C9" w14:textId="77777777" w:rsidR="007443B1" w:rsidRPr="007443B1" w:rsidRDefault="007443B1" w:rsidP="007443B1">
      <w:pPr>
        <w:spacing w:line="240" w:lineRule="auto"/>
        <w:contextualSpacing/>
        <w:jc w:val="both"/>
        <w:rPr>
          <w:rFonts w:ascii="Times New Roman" w:hAnsi="Times New Roman"/>
        </w:rPr>
      </w:pPr>
      <w:r w:rsidRPr="007443B1">
        <w:rPr>
          <w:rFonts w:ascii="Times New Roman" w:hAnsi="Times New Roman"/>
        </w:rPr>
        <w:t xml:space="preserve">Keywords: abaca </w:t>
      </w:r>
      <w:proofErr w:type="spellStart"/>
      <w:r w:rsidRPr="007443B1">
        <w:rPr>
          <w:rFonts w:ascii="Times New Roman" w:hAnsi="Times New Roman"/>
        </w:rPr>
        <w:t>buncy</w:t>
      </w:r>
      <w:proofErr w:type="spellEnd"/>
      <w:r w:rsidRPr="007443B1">
        <w:rPr>
          <w:rFonts w:ascii="Times New Roman" w:hAnsi="Times New Roman"/>
        </w:rPr>
        <w:t xml:space="preserve"> top virus, abaca antiviral resistance genes, abaca transcriptome, innate immunity in abaca</w:t>
      </w:r>
    </w:p>
    <w:p w14:paraId="1300E59D" w14:textId="77777777" w:rsidR="007443B1" w:rsidRPr="007443B1" w:rsidRDefault="007443B1" w:rsidP="007443B1">
      <w:pPr>
        <w:jc w:val="both"/>
        <w:rPr>
          <w:rFonts w:ascii="Times New Roman" w:hAnsi="Times New Roman"/>
        </w:rPr>
      </w:pPr>
    </w:p>
    <w:sectPr w:rsidR="007443B1" w:rsidRPr="007443B1" w:rsidSect="007443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E75"/>
    <w:rsid w:val="001B3B67"/>
    <w:rsid w:val="00610B1E"/>
    <w:rsid w:val="006E65C7"/>
    <w:rsid w:val="007443B1"/>
    <w:rsid w:val="007C3294"/>
    <w:rsid w:val="009373B8"/>
    <w:rsid w:val="00A01CBE"/>
    <w:rsid w:val="00C67DEF"/>
    <w:rsid w:val="00C73DD3"/>
    <w:rsid w:val="00CE59D2"/>
    <w:rsid w:val="00F40E75"/>
    <w:rsid w:val="00FB4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81ABD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3B1"/>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43B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mailto:precgem@yahoo.com"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485</Words>
  <Characters>2765</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Geraldine Muncada</dc:creator>
  <cp:keywords/>
  <dc:description/>
  <cp:lastModifiedBy>Geraldine Muncada</cp:lastModifiedBy>
  <cp:revision>2</cp:revision>
  <dcterms:created xsi:type="dcterms:W3CDTF">2018-11-21T02:40:00Z</dcterms:created>
  <dcterms:modified xsi:type="dcterms:W3CDTF">2018-11-21T02:40:00Z</dcterms:modified>
</cp:coreProperties>
</file>