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113F" w:rsidRPr="007427D3" w:rsidRDefault="00645141" w:rsidP="001530A8">
      <w:pPr>
        <w:bidi w:val="0"/>
        <w:spacing w:line="240" w:lineRule="auto"/>
        <w:rPr>
          <w:rFonts w:asciiTheme="majorBidi" w:hAnsiTheme="majorBidi" w:cstheme="majorBidi"/>
          <w:b/>
          <w:bCs/>
          <w:sz w:val="28"/>
          <w:szCs w:val="28"/>
        </w:rPr>
      </w:pPr>
      <w:r w:rsidRPr="007427D3">
        <w:rPr>
          <w:rFonts w:asciiTheme="majorBidi" w:hAnsiTheme="majorBidi" w:cstheme="majorBidi"/>
          <w:b/>
          <w:bCs/>
          <w:sz w:val="28"/>
          <w:szCs w:val="28"/>
        </w:rPr>
        <w:t>YIELD STABILTY OF SOME SUGARCANE GENOTYPES ACROSS SEASONS AND LOCATIONS</w:t>
      </w:r>
    </w:p>
    <w:p w:rsidR="00645141" w:rsidRPr="007427D3" w:rsidRDefault="00645141" w:rsidP="001530A8">
      <w:pPr>
        <w:bidi w:val="0"/>
        <w:spacing w:line="240" w:lineRule="auto"/>
        <w:rPr>
          <w:rFonts w:asciiTheme="majorBidi" w:hAnsiTheme="majorBidi" w:cstheme="majorBidi"/>
          <w:b/>
          <w:bCs/>
          <w:sz w:val="24"/>
          <w:szCs w:val="24"/>
        </w:rPr>
      </w:pPr>
      <w:r w:rsidRPr="007427D3">
        <w:rPr>
          <w:rFonts w:asciiTheme="majorBidi" w:hAnsiTheme="majorBidi" w:cstheme="majorBidi"/>
          <w:b/>
          <w:bCs/>
          <w:sz w:val="24"/>
          <w:szCs w:val="24"/>
        </w:rPr>
        <w:t xml:space="preserve">Ayman M. </w:t>
      </w:r>
      <w:proofErr w:type="spellStart"/>
      <w:r w:rsidRPr="007427D3">
        <w:rPr>
          <w:rFonts w:asciiTheme="majorBidi" w:hAnsiTheme="majorBidi" w:cstheme="majorBidi"/>
          <w:b/>
          <w:bCs/>
          <w:sz w:val="24"/>
          <w:szCs w:val="24"/>
        </w:rPr>
        <w:t>Abd</w:t>
      </w:r>
      <w:proofErr w:type="spellEnd"/>
      <w:r w:rsidRPr="007427D3">
        <w:rPr>
          <w:rFonts w:asciiTheme="majorBidi" w:hAnsiTheme="majorBidi" w:cstheme="majorBidi"/>
          <w:b/>
          <w:bCs/>
          <w:sz w:val="24"/>
          <w:szCs w:val="24"/>
        </w:rPr>
        <w:t xml:space="preserve"> El-</w:t>
      </w:r>
      <w:proofErr w:type="spellStart"/>
      <w:r w:rsidRPr="007427D3">
        <w:rPr>
          <w:rFonts w:asciiTheme="majorBidi" w:hAnsiTheme="majorBidi" w:cstheme="majorBidi"/>
          <w:b/>
          <w:bCs/>
          <w:sz w:val="24"/>
          <w:szCs w:val="24"/>
        </w:rPr>
        <w:t>Razek</w:t>
      </w:r>
      <w:proofErr w:type="spellEnd"/>
    </w:p>
    <w:p w:rsidR="00645141" w:rsidRPr="007427D3" w:rsidRDefault="00645141" w:rsidP="001530A8">
      <w:pPr>
        <w:bidi w:val="0"/>
        <w:spacing w:line="240" w:lineRule="auto"/>
        <w:rPr>
          <w:rFonts w:asciiTheme="majorBidi" w:hAnsiTheme="majorBidi" w:cstheme="majorBidi"/>
          <w:sz w:val="20"/>
          <w:szCs w:val="20"/>
        </w:rPr>
      </w:pPr>
      <w:r w:rsidRPr="007427D3">
        <w:rPr>
          <w:rFonts w:asciiTheme="majorBidi" w:hAnsiTheme="majorBidi" w:cstheme="majorBidi"/>
          <w:sz w:val="20"/>
          <w:szCs w:val="20"/>
        </w:rPr>
        <w:t>Sugar Crops Research Institute, Agriculture Research Center, Giza</w:t>
      </w:r>
      <w:r w:rsidR="007427D3" w:rsidRPr="007427D3">
        <w:rPr>
          <w:rFonts w:asciiTheme="majorBidi" w:hAnsiTheme="majorBidi" w:cstheme="majorBidi"/>
          <w:sz w:val="20"/>
          <w:szCs w:val="20"/>
        </w:rPr>
        <w:t xml:space="preserve"> 12619</w:t>
      </w:r>
      <w:r w:rsidRPr="007427D3">
        <w:rPr>
          <w:rFonts w:asciiTheme="majorBidi" w:hAnsiTheme="majorBidi" w:cstheme="majorBidi"/>
          <w:sz w:val="20"/>
          <w:szCs w:val="20"/>
        </w:rPr>
        <w:t>, Egypt</w:t>
      </w:r>
    </w:p>
    <w:p w:rsidR="00E40B2E" w:rsidRDefault="00645141" w:rsidP="00E40B2E">
      <w:pPr>
        <w:bidi w:val="0"/>
        <w:spacing w:line="240" w:lineRule="auto"/>
        <w:rPr>
          <w:rFonts w:asciiTheme="majorBidi" w:hAnsiTheme="majorBidi" w:cstheme="majorBidi"/>
          <w:b/>
          <w:bCs/>
        </w:rPr>
      </w:pPr>
      <w:r w:rsidRPr="007427D3">
        <w:rPr>
          <w:rFonts w:asciiTheme="majorBidi" w:hAnsiTheme="majorBidi" w:cstheme="majorBidi"/>
          <w:b/>
          <w:bCs/>
        </w:rPr>
        <w:t xml:space="preserve">ABSTRACT </w:t>
      </w:r>
    </w:p>
    <w:p w:rsidR="0023690A" w:rsidRDefault="0023690A" w:rsidP="00363A9F">
      <w:pPr>
        <w:bidi w:val="0"/>
        <w:spacing w:line="240" w:lineRule="auto"/>
        <w:jc w:val="both"/>
        <w:rPr>
          <w:rFonts w:asciiTheme="majorBidi" w:hAnsiTheme="majorBidi" w:cstheme="majorBidi"/>
          <w:sz w:val="24"/>
          <w:szCs w:val="24"/>
        </w:rPr>
        <w:sectPr w:rsidR="0023690A" w:rsidSect="009D0152">
          <w:pgSz w:w="11906" w:h="16838"/>
          <w:pgMar w:top="1440" w:right="1800" w:bottom="1440" w:left="1800" w:header="720" w:footer="720" w:gutter="0"/>
          <w:cols w:space="720"/>
          <w:bidi/>
          <w:rtlGutter/>
          <w:docGrid w:linePitch="360"/>
        </w:sectPr>
      </w:pPr>
    </w:p>
    <w:p w:rsidR="00C12BFD" w:rsidRPr="00363A9F" w:rsidRDefault="00645141" w:rsidP="00363A9F">
      <w:pPr>
        <w:bidi w:val="0"/>
        <w:spacing w:line="240" w:lineRule="auto"/>
        <w:jc w:val="both"/>
        <w:rPr>
          <w:rFonts w:asciiTheme="majorBidi" w:hAnsiTheme="majorBidi" w:cstheme="majorBidi"/>
          <w:sz w:val="24"/>
          <w:szCs w:val="24"/>
        </w:rPr>
      </w:pPr>
      <w:r w:rsidRPr="00363A9F">
        <w:rPr>
          <w:rFonts w:asciiTheme="majorBidi" w:hAnsiTheme="majorBidi" w:cstheme="majorBidi"/>
          <w:sz w:val="24"/>
          <w:szCs w:val="24"/>
        </w:rPr>
        <w:lastRenderedPageBreak/>
        <w:t>The objectives of this study were to determine the relative magnitude of G X E interaction effects and to evaluate phenotypic stability in sugarcane (</w:t>
      </w:r>
      <w:proofErr w:type="spellStart"/>
      <w:r w:rsidRPr="00363A9F">
        <w:rPr>
          <w:rFonts w:asciiTheme="majorBidi" w:hAnsiTheme="majorBidi" w:cstheme="majorBidi"/>
          <w:sz w:val="24"/>
          <w:szCs w:val="24"/>
        </w:rPr>
        <w:t>Saccharum</w:t>
      </w:r>
      <w:proofErr w:type="spellEnd"/>
      <w:r w:rsidRPr="00363A9F">
        <w:rPr>
          <w:rFonts w:asciiTheme="majorBidi" w:hAnsiTheme="majorBidi" w:cstheme="majorBidi"/>
          <w:sz w:val="24"/>
          <w:szCs w:val="24"/>
        </w:rPr>
        <w:t xml:space="preserve"> </w:t>
      </w:r>
      <w:r w:rsidRPr="00363A9F">
        <w:rPr>
          <w:rFonts w:asciiTheme="majorBidi" w:hAnsiTheme="majorBidi" w:cstheme="majorBidi"/>
          <w:i/>
          <w:iCs/>
          <w:sz w:val="24"/>
          <w:szCs w:val="24"/>
        </w:rPr>
        <w:t>spp</w:t>
      </w:r>
      <w:r w:rsidRPr="00363A9F">
        <w:rPr>
          <w:rFonts w:asciiTheme="majorBidi" w:hAnsiTheme="majorBidi" w:cstheme="majorBidi"/>
          <w:sz w:val="24"/>
          <w:szCs w:val="24"/>
        </w:rPr>
        <w:t>.)</w:t>
      </w:r>
      <w:r w:rsidR="00620931" w:rsidRPr="00363A9F">
        <w:rPr>
          <w:rFonts w:asciiTheme="majorBidi" w:hAnsiTheme="majorBidi" w:cstheme="majorBidi"/>
          <w:sz w:val="24"/>
          <w:szCs w:val="24"/>
        </w:rPr>
        <w:t xml:space="preserve">. Seven </w:t>
      </w:r>
      <w:r w:rsidR="00D910BD" w:rsidRPr="00363A9F">
        <w:rPr>
          <w:rFonts w:asciiTheme="majorBidi" w:hAnsiTheme="majorBidi" w:cstheme="majorBidi"/>
          <w:sz w:val="24"/>
          <w:szCs w:val="24"/>
        </w:rPr>
        <w:t>sugarcane promising varieties</w:t>
      </w:r>
      <w:r w:rsidR="00C12BFD" w:rsidRPr="00363A9F">
        <w:rPr>
          <w:rFonts w:asciiTheme="majorBidi" w:hAnsiTheme="majorBidi" w:cstheme="majorBidi"/>
          <w:sz w:val="24"/>
          <w:szCs w:val="24"/>
        </w:rPr>
        <w:t>: G99/165, G84/47, G98/28, G98/24, G95/19, G95/21 and G98/87 and two sugarcane commercial cultivars G.T54/9 and Ph8013 were evaluated for two years (plant cane and 1</w:t>
      </w:r>
      <w:r w:rsidR="00C12BFD" w:rsidRPr="00363A9F">
        <w:rPr>
          <w:rFonts w:asciiTheme="majorBidi" w:hAnsiTheme="majorBidi" w:cstheme="majorBidi"/>
          <w:sz w:val="24"/>
          <w:szCs w:val="24"/>
          <w:vertAlign w:val="superscript"/>
        </w:rPr>
        <w:t>st</w:t>
      </w:r>
      <w:r w:rsidR="00C12BFD" w:rsidRPr="00363A9F">
        <w:rPr>
          <w:rFonts w:asciiTheme="majorBidi" w:hAnsiTheme="majorBidi" w:cstheme="majorBidi"/>
          <w:sz w:val="24"/>
          <w:szCs w:val="24"/>
        </w:rPr>
        <w:t xml:space="preserve"> </w:t>
      </w:r>
      <w:proofErr w:type="spellStart"/>
      <w:r w:rsidR="00C12BFD" w:rsidRPr="00363A9F">
        <w:rPr>
          <w:rFonts w:asciiTheme="majorBidi" w:hAnsiTheme="majorBidi" w:cstheme="majorBidi"/>
          <w:sz w:val="24"/>
          <w:szCs w:val="24"/>
        </w:rPr>
        <w:t>ratoon</w:t>
      </w:r>
      <w:proofErr w:type="spellEnd"/>
      <w:r w:rsidR="00C12BFD" w:rsidRPr="00363A9F">
        <w:rPr>
          <w:rFonts w:asciiTheme="majorBidi" w:hAnsiTheme="majorBidi" w:cstheme="majorBidi"/>
          <w:sz w:val="24"/>
          <w:szCs w:val="24"/>
        </w:rPr>
        <w:t>) at two locations (</w:t>
      </w:r>
      <w:proofErr w:type="spellStart"/>
      <w:r w:rsidR="00C12BFD" w:rsidRPr="00363A9F">
        <w:rPr>
          <w:rFonts w:asciiTheme="majorBidi" w:hAnsiTheme="majorBidi" w:cstheme="majorBidi"/>
          <w:sz w:val="24"/>
          <w:szCs w:val="24"/>
        </w:rPr>
        <w:t>Sohag</w:t>
      </w:r>
      <w:proofErr w:type="spellEnd"/>
      <w:r w:rsidR="00C12BFD" w:rsidRPr="00363A9F">
        <w:rPr>
          <w:rFonts w:asciiTheme="majorBidi" w:hAnsiTheme="majorBidi" w:cstheme="majorBidi"/>
          <w:sz w:val="24"/>
          <w:szCs w:val="24"/>
        </w:rPr>
        <w:t xml:space="preserve"> and </w:t>
      </w:r>
      <w:proofErr w:type="spellStart"/>
      <w:r w:rsidR="00C12BFD" w:rsidRPr="00363A9F">
        <w:rPr>
          <w:rFonts w:asciiTheme="majorBidi" w:hAnsiTheme="majorBidi" w:cstheme="majorBidi"/>
          <w:sz w:val="24"/>
          <w:szCs w:val="24"/>
        </w:rPr>
        <w:t>Quena</w:t>
      </w:r>
      <w:proofErr w:type="spellEnd"/>
      <w:r w:rsidR="00C12BFD" w:rsidRPr="00363A9F">
        <w:rPr>
          <w:rFonts w:asciiTheme="majorBidi" w:hAnsiTheme="majorBidi" w:cstheme="majorBidi"/>
          <w:sz w:val="24"/>
          <w:szCs w:val="24"/>
        </w:rPr>
        <w:t xml:space="preserve"> Governorates) during two successive growing seasons, (2014/05 and 2015/06) to study the effect of environmental conditions, i.e. locations and seasons on cane yield tons/fed (TCF) and apparent sucrose content (pol%). A randomized complete block design with three replicates was used.</w:t>
      </w:r>
    </w:p>
    <w:p w:rsidR="0027317C" w:rsidRDefault="00363A9F" w:rsidP="00363A9F">
      <w:pPr>
        <w:bidi w:val="0"/>
        <w:spacing w:line="240" w:lineRule="auto"/>
        <w:jc w:val="both"/>
        <w:rPr>
          <w:rFonts w:asciiTheme="majorBidi" w:hAnsiTheme="majorBidi" w:cstheme="majorBidi"/>
        </w:rPr>
      </w:pPr>
      <w:r w:rsidRPr="00363A9F">
        <w:rPr>
          <w:rFonts w:asciiTheme="majorBidi" w:hAnsiTheme="majorBidi" w:cstheme="majorBidi"/>
          <w:sz w:val="24"/>
          <w:szCs w:val="24"/>
        </w:rPr>
        <w:t xml:space="preserve">The genotype X locations interaction for cane yield and pol% indicated that genotypes ranking differed and the </w:t>
      </w:r>
      <w:r w:rsidRPr="00363A9F">
        <w:rPr>
          <w:rFonts w:asciiTheme="majorBidi" w:hAnsiTheme="majorBidi" w:cstheme="majorBidi"/>
          <w:sz w:val="24"/>
          <w:szCs w:val="24"/>
        </w:rPr>
        <w:lastRenderedPageBreak/>
        <w:t>magnitude of differences between genotypes changed from one environment to another. The second order interaction was not significant for both traits.</w:t>
      </w:r>
      <w:r>
        <w:rPr>
          <w:rFonts w:asciiTheme="majorBidi" w:hAnsiTheme="majorBidi" w:cstheme="majorBidi"/>
        </w:rPr>
        <w:t xml:space="preserve"> </w:t>
      </w:r>
      <w:proofErr w:type="spellStart"/>
      <w:r>
        <w:rPr>
          <w:rFonts w:asciiTheme="majorBidi" w:hAnsiTheme="majorBidi" w:cstheme="majorBidi"/>
        </w:rPr>
        <w:t>Sohag</w:t>
      </w:r>
      <w:proofErr w:type="spellEnd"/>
      <w:r>
        <w:rPr>
          <w:rFonts w:asciiTheme="majorBidi" w:hAnsiTheme="majorBidi" w:cstheme="majorBidi"/>
        </w:rPr>
        <w:t xml:space="preserve"> location surpassed </w:t>
      </w:r>
      <w:proofErr w:type="spellStart"/>
      <w:r>
        <w:rPr>
          <w:rFonts w:asciiTheme="majorBidi" w:hAnsiTheme="majorBidi" w:cstheme="majorBidi"/>
        </w:rPr>
        <w:t>Quena</w:t>
      </w:r>
      <w:proofErr w:type="spellEnd"/>
      <w:r>
        <w:rPr>
          <w:rFonts w:asciiTheme="majorBidi" w:hAnsiTheme="majorBidi" w:cstheme="majorBidi"/>
        </w:rPr>
        <w:t xml:space="preserve"> location in cane </w:t>
      </w:r>
      <w:proofErr w:type="gramStart"/>
      <w:r>
        <w:rPr>
          <w:rFonts w:asciiTheme="majorBidi" w:hAnsiTheme="majorBidi" w:cstheme="majorBidi"/>
        </w:rPr>
        <w:t>yield,</w:t>
      </w:r>
      <w:proofErr w:type="gramEnd"/>
      <w:r>
        <w:rPr>
          <w:rFonts w:asciiTheme="majorBidi" w:hAnsiTheme="majorBidi" w:cstheme="majorBidi"/>
        </w:rPr>
        <w:t xml:space="preserve"> however, </w:t>
      </w:r>
      <w:proofErr w:type="spellStart"/>
      <w:r>
        <w:rPr>
          <w:rFonts w:asciiTheme="majorBidi" w:hAnsiTheme="majorBidi" w:cstheme="majorBidi"/>
        </w:rPr>
        <w:t>Quena</w:t>
      </w:r>
      <w:proofErr w:type="spellEnd"/>
      <w:r>
        <w:rPr>
          <w:rFonts w:asciiTheme="majorBidi" w:hAnsiTheme="majorBidi" w:cstheme="majorBidi"/>
        </w:rPr>
        <w:t xml:space="preserve"> location produced higher value of pol% compared with </w:t>
      </w:r>
      <w:proofErr w:type="spellStart"/>
      <w:r>
        <w:rPr>
          <w:rFonts w:asciiTheme="majorBidi" w:hAnsiTheme="majorBidi" w:cstheme="majorBidi"/>
        </w:rPr>
        <w:t>Sohag</w:t>
      </w:r>
      <w:proofErr w:type="spellEnd"/>
      <w:r>
        <w:rPr>
          <w:rFonts w:asciiTheme="majorBidi" w:hAnsiTheme="majorBidi" w:cstheme="majorBidi"/>
        </w:rPr>
        <w:t xml:space="preserve"> location</w:t>
      </w:r>
      <w:r w:rsidR="0027317C">
        <w:rPr>
          <w:rFonts w:asciiTheme="majorBidi" w:hAnsiTheme="majorBidi" w:cstheme="majorBidi"/>
        </w:rPr>
        <w:t>. GT</w:t>
      </w:r>
      <w:r>
        <w:rPr>
          <w:rFonts w:asciiTheme="majorBidi" w:hAnsiTheme="majorBidi" w:cstheme="majorBidi"/>
        </w:rPr>
        <w:t xml:space="preserve">54/9 and Ph8013 cultivars were significantly superior to the rest of genotypes for cane yield. While the lowest cane yield was produced by G98/87 and G99/165 clones. The promising </w:t>
      </w:r>
      <w:r w:rsidR="0027317C">
        <w:rPr>
          <w:rFonts w:asciiTheme="majorBidi" w:hAnsiTheme="majorBidi" w:cstheme="majorBidi"/>
        </w:rPr>
        <w:t xml:space="preserve">variety G98/24 had the best performance for pol% content. Only, (GT54/9 and Ph8013 cultivars could </w:t>
      </w:r>
      <w:proofErr w:type="gramStart"/>
      <w:r w:rsidR="0027317C">
        <w:rPr>
          <w:rFonts w:asciiTheme="majorBidi" w:hAnsiTheme="majorBidi" w:cstheme="majorBidi"/>
        </w:rPr>
        <w:t>classified</w:t>
      </w:r>
      <w:proofErr w:type="gramEnd"/>
      <w:r w:rsidR="0027317C">
        <w:rPr>
          <w:rFonts w:asciiTheme="majorBidi" w:hAnsiTheme="majorBidi" w:cstheme="majorBidi"/>
        </w:rPr>
        <w:t xml:space="preserve"> as stable. G98/24 and G98/28 clones performance were consistent but were low in cane yield. This study suggests that the stability analysis can contribute with supplementary information on the performance of new sugarcane selections prior to release for commercial cultivation and increases the efficiency of cultivar development programs. </w:t>
      </w:r>
      <w:r>
        <w:rPr>
          <w:rFonts w:asciiTheme="majorBidi" w:hAnsiTheme="majorBidi" w:cstheme="majorBidi"/>
        </w:rPr>
        <w:t xml:space="preserve"> </w:t>
      </w:r>
    </w:p>
    <w:p w:rsidR="0023690A" w:rsidRDefault="0023690A" w:rsidP="0008705D">
      <w:pPr>
        <w:bidi w:val="0"/>
        <w:spacing w:line="204" w:lineRule="exact"/>
        <w:rPr>
          <w:rFonts w:asciiTheme="majorBidi" w:hAnsiTheme="majorBidi" w:cstheme="majorBidi"/>
          <w:b/>
          <w:color w:val="BF5A14"/>
          <w:sz w:val="20"/>
        </w:rPr>
        <w:sectPr w:rsidR="0023690A" w:rsidSect="0023690A">
          <w:type w:val="continuous"/>
          <w:pgSz w:w="11906" w:h="16838"/>
          <w:pgMar w:top="1440" w:right="1800" w:bottom="1440" w:left="1800" w:header="720" w:footer="720" w:gutter="0"/>
          <w:cols w:num="2" w:space="720"/>
          <w:bidi/>
          <w:rtlGutter/>
          <w:docGrid w:linePitch="360"/>
        </w:sectPr>
      </w:pPr>
    </w:p>
    <w:p w:rsidR="0008705D" w:rsidRDefault="0008705D" w:rsidP="0008705D">
      <w:pPr>
        <w:bidi w:val="0"/>
        <w:spacing w:line="204" w:lineRule="exact"/>
        <w:rPr>
          <w:rFonts w:asciiTheme="majorBidi" w:hAnsiTheme="majorBidi" w:cstheme="majorBidi"/>
          <w:b/>
          <w:sz w:val="20"/>
        </w:rPr>
      </w:pPr>
      <w:r w:rsidRPr="007D76CA">
        <w:rPr>
          <w:rFonts w:asciiTheme="majorBidi" w:hAnsiTheme="majorBidi" w:cstheme="majorBidi"/>
          <w:b/>
          <w:color w:val="BF5A14"/>
          <w:sz w:val="20"/>
        </w:rPr>
        <w:lastRenderedPageBreak/>
        <w:br/>
      </w:r>
      <w:r w:rsidRPr="007D76CA">
        <w:rPr>
          <w:rFonts w:asciiTheme="majorBidi" w:hAnsiTheme="majorBidi" w:cstheme="majorBidi"/>
          <w:b/>
          <w:sz w:val="20"/>
        </w:rPr>
        <w:t>Recent Publications</w:t>
      </w:r>
      <w:r w:rsidRPr="007D76CA">
        <w:rPr>
          <w:rFonts w:asciiTheme="majorBidi" w:hAnsiTheme="majorBidi" w:cstheme="majorBidi"/>
          <w:b/>
          <w:color w:val="BF5A14"/>
          <w:sz w:val="20"/>
        </w:rPr>
        <w:t xml:space="preserve"> </w:t>
      </w:r>
    </w:p>
    <w:p w:rsidR="0023690A" w:rsidRDefault="0023690A" w:rsidP="007D76CA">
      <w:pPr>
        <w:bidi w:val="0"/>
        <w:spacing w:line="204" w:lineRule="exact"/>
        <w:rPr>
          <w:rFonts w:asciiTheme="majorBidi" w:hAnsiTheme="majorBidi" w:cstheme="majorBidi"/>
          <w:bCs/>
        </w:rPr>
        <w:sectPr w:rsidR="0023690A" w:rsidSect="0023690A">
          <w:type w:val="continuous"/>
          <w:pgSz w:w="11906" w:h="16838"/>
          <w:pgMar w:top="1440" w:right="1800" w:bottom="1440" w:left="1800" w:header="720" w:footer="720" w:gutter="0"/>
          <w:cols w:space="720"/>
          <w:bidi/>
          <w:rtlGutter/>
          <w:docGrid w:linePitch="360"/>
        </w:sectPr>
      </w:pPr>
    </w:p>
    <w:p w:rsidR="007D76CA" w:rsidRDefault="007D76CA" w:rsidP="007D76CA">
      <w:pPr>
        <w:bidi w:val="0"/>
        <w:spacing w:line="204" w:lineRule="exact"/>
        <w:rPr>
          <w:rFonts w:asciiTheme="majorBidi" w:hAnsiTheme="majorBidi" w:cstheme="majorBidi"/>
          <w:bCs/>
        </w:rPr>
      </w:pPr>
      <w:proofErr w:type="gramStart"/>
      <w:r w:rsidRPr="007D76CA">
        <w:rPr>
          <w:rFonts w:asciiTheme="majorBidi" w:hAnsiTheme="majorBidi" w:cstheme="majorBidi"/>
          <w:bCs/>
        </w:rPr>
        <w:lastRenderedPageBreak/>
        <w:t>Baker, H.C. and J. Leon (1988).</w:t>
      </w:r>
      <w:proofErr w:type="gramEnd"/>
      <w:r w:rsidRPr="007D76CA">
        <w:rPr>
          <w:rFonts w:asciiTheme="majorBidi" w:hAnsiTheme="majorBidi" w:cstheme="majorBidi"/>
          <w:bCs/>
        </w:rPr>
        <w:t xml:space="preserve">  </w:t>
      </w:r>
      <w:proofErr w:type="gramStart"/>
      <w:r>
        <w:rPr>
          <w:rFonts w:asciiTheme="majorBidi" w:hAnsiTheme="majorBidi" w:cstheme="majorBidi"/>
          <w:bCs/>
        </w:rPr>
        <w:t>Stability analysis in plant breeding.</w:t>
      </w:r>
      <w:proofErr w:type="gramEnd"/>
      <w:r w:rsidRPr="00D073FE">
        <w:rPr>
          <w:rFonts w:asciiTheme="majorBidi" w:hAnsiTheme="majorBidi" w:cstheme="majorBidi"/>
          <w:bCs/>
          <w:i/>
          <w:iCs/>
        </w:rPr>
        <w:t xml:space="preserve"> Plant breeding </w:t>
      </w:r>
      <w:r>
        <w:rPr>
          <w:rFonts w:asciiTheme="majorBidi" w:hAnsiTheme="majorBidi" w:cstheme="majorBidi"/>
          <w:bCs/>
        </w:rPr>
        <w:t>101:</w:t>
      </w:r>
      <w:r w:rsidR="00D073FE">
        <w:rPr>
          <w:rFonts w:asciiTheme="majorBidi" w:hAnsiTheme="majorBidi" w:cstheme="majorBidi"/>
          <w:bCs/>
        </w:rPr>
        <w:t>-23.</w:t>
      </w:r>
      <w:r>
        <w:rPr>
          <w:rFonts w:asciiTheme="majorBidi" w:hAnsiTheme="majorBidi" w:cstheme="majorBidi"/>
          <w:bCs/>
        </w:rPr>
        <w:t xml:space="preserve"> </w:t>
      </w:r>
    </w:p>
    <w:p w:rsidR="00D073FE" w:rsidRDefault="00D073FE" w:rsidP="00D073FE">
      <w:pPr>
        <w:bidi w:val="0"/>
        <w:spacing w:line="204" w:lineRule="exact"/>
        <w:rPr>
          <w:rFonts w:asciiTheme="majorBidi" w:hAnsiTheme="majorBidi" w:cstheme="majorBidi"/>
          <w:bCs/>
        </w:rPr>
      </w:pPr>
      <w:proofErr w:type="gramStart"/>
      <w:r>
        <w:rPr>
          <w:rFonts w:asciiTheme="majorBidi" w:hAnsiTheme="majorBidi" w:cstheme="majorBidi"/>
          <w:bCs/>
        </w:rPr>
        <w:t>Phenotypic stability for some sugarcane genotypes.</w:t>
      </w:r>
      <w:proofErr w:type="gramEnd"/>
      <w:r>
        <w:rPr>
          <w:rFonts w:asciiTheme="majorBidi" w:hAnsiTheme="majorBidi" w:cstheme="majorBidi"/>
          <w:bCs/>
        </w:rPr>
        <w:t xml:space="preserve"> </w:t>
      </w:r>
      <w:proofErr w:type="gramStart"/>
      <w:r>
        <w:rPr>
          <w:rFonts w:asciiTheme="majorBidi" w:hAnsiTheme="majorBidi" w:cstheme="majorBidi"/>
          <w:bCs/>
        </w:rPr>
        <w:t>Inter. Conf. on "The Arab Region and Africa in the world sugar context" 9-12 March 2003, Aswan, Egypt 4/1-4/11.</w:t>
      </w:r>
      <w:proofErr w:type="gramEnd"/>
    </w:p>
    <w:p w:rsidR="003B2BF3" w:rsidRDefault="003B2BF3" w:rsidP="003B2BF3">
      <w:pPr>
        <w:bidi w:val="0"/>
        <w:spacing w:line="204" w:lineRule="exact"/>
        <w:rPr>
          <w:rFonts w:asciiTheme="majorBidi" w:hAnsiTheme="majorBidi" w:cstheme="majorBidi"/>
          <w:bCs/>
        </w:rPr>
      </w:pPr>
      <w:proofErr w:type="gramStart"/>
      <w:r>
        <w:rPr>
          <w:rFonts w:asciiTheme="majorBidi" w:hAnsiTheme="majorBidi" w:cstheme="majorBidi"/>
          <w:bCs/>
        </w:rPr>
        <w:t xml:space="preserve">Flores, F.M.; LT. Moreno and J.I. </w:t>
      </w:r>
      <w:proofErr w:type="spellStart"/>
      <w:r>
        <w:rPr>
          <w:rFonts w:asciiTheme="majorBidi" w:hAnsiTheme="majorBidi" w:cstheme="majorBidi"/>
          <w:bCs/>
        </w:rPr>
        <w:t>Cubero</w:t>
      </w:r>
      <w:proofErr w:type="spellEnd"/>
      <w:r>
        <w:rPr>
          <w:rFonts w:asciiTheme="majorBidi" w:hAnsiTheme="majorBidi" w:cstheme="majorBidi"/>
          <w:bCs/>
        </w:rPr>
        <w:t xml:space="preserve"> (1998).</w:t>
      </w:r>
      <w:proofErr w:type="gramEnd"/>
      <w:r>
        <w:rPr>
          <w:rFonts w:asciiTheme="majorBidi" w:hAnsiTheme="majorBidi" w:cstheme="majorBidi"/>
          <w:bCs/>
        </w:rPr>
        <w:t xml:space="preserve"> A comparison of </w:t>
      </w:r>
      <w:proofErr w:type="spellStart"/>
      <w:r>
        <w:rPr>
          <w:rFonts w:asciiTheme="majorBidi" w:hAnsiTheme="majorBidi" w:cstheme="majorBidi"/>
          <w:bCs/>
        </w:rPr>
        <w:t>unvariate</w:t>
      </w:r>
      <w:proofErr w:type="spellEnd"/>
      <w:r>
        <w:rPr>
          <w:rFonts w:asciiTheme="majorBidi" w:hAnsiTheme="majorBidi" w:cstheme="majorBidi"/>
          <w:bCs/>
        </w:rPr>
        <w:t xml:space="preserve"> and multivariate methods to analyze G x E interaction </w:t>
      </w:r>
      <w:r w:rsidRPr="003B2BF3">
        <w:rPr>
          <w:rFonts w:asciiTheme="majorBidi" w:hAnsiTheme="majorBidi" w:cstheme="majorBidi"/>
          <w:bCs/>
          <w:i/>
          <w:iCs/>
        </w:rPr>
        <w:t>field Crops Res</w:t>
      </w:r>
      <w:r>
        <w:rPr>
          <w:rFonts w:asciiTheme="majorBidi" w:hAnsiTheme="majorBidi" w:cstheme="majorBidi"/>
          <w:bCs/>
        </w:rPr>
        <w:t>. 47: 117-127.</w:t>
      </w:r>
      <w:r w:rsidR="00D073FE">
        <w:rPr>
          <w:rFonts w:asciiTheme="majorBidi" w:hAnsiTheme="majorBidi" w:cstheme="majorBidi"/>
          <w:bCs/>
        </w:rPr>
        <w:t xml:space="preserve"> </w:t>
      </w:r>
    </w:p>
    <w:p w:rsidR="00D073FE" w:rsidRDefault="003B2BF3" w:rsidP="003B2BF3">
      <w:pPr>
        <w:bidi w:val="0"/>
        <w:spacing w:line="204" w:lineRule="exact"/>
        <w:rPr>
          <w:rFonts w:asciiTheme="majorBidi" w:hAnsiTheme="majorBidi" w:cstheme="majorBidi"/>
          <w:bCs/>
        </w:rPr>
      </w:pPr>
      <w:r>
        <w:rPr>
          <w:rFonts w:asciiTheme="majorBidi" w:hAnsiTheme="majorBidi" w:cstheme="majorBidi"/>
          <w:bCs/>
        </w:rPr>
        <w:lastRenderedPageBreak/>
        <w:t>Hay</w:t>
      </w:r>
      <w:proofErr w:type="gramStart"/>
      <w:r>
        <w:rPr>
          <w:rFonts w:asciiTheme="majorBidi" w:hAnsiTheme="majorBidi" w:cstheme="majorBidi"/>
          <w:bCs/>
        </w:rPr>
        <w:t>,  R.M</w:t>
      </w:r>
      <w:proofErr w:type="gramEnd"/>
      <w:r>
        <w:rPr>
          <w:rFonts w:asciiTheme="majorBidi" w:hAnsiTheme="majorBidi" w:cstheme="majorBidi"/>
          <w:bCs/>
        </w:rPr>
        <w:t xml:space="preserve">. and A.T. Walker (1998). An </w:t>
      </w:r>
      <w:proofErr w:type="spellStart"/>
      <w:r>
        <w:rPr>
          <w:rFonts w:asciiTheme="majorBidi" w:hAnsiTheme="majorBidi" w:cstheme="majorBidi"/>
          <w:bCs/>
        </w:rPr>
        <w:t>interoduction</w:t>
      </w:r>
      <w:proofErr w:type="spellEnd"/>
      <w:r>
        <w:rPr>
          <w:rFonts w:asciiTheme="majorBidi" w:hAnsiTheme="majorBidi" w:cstheme="majorBidi"/>
          <w:bCs/>
        </w:rPr>
        <w:t xml:space="preserve"> to the physiology of crop yield, photosynthetic efficient: 36-47. 1</w:t>
      </w:r>
      <w:r w:rsidRPr="003B2BF3">
        <w:rPr>
          <w:rFonts w:asciiTheme="majorBidi" w:hAnsiTheme="majorBidi" w:cstheme="majorBidi"/>
          <w:bCs/>
          <w:vertAlign w:val="superscript"/>
        </w:rPr>
        <w:t>st</w:t>
      </w:r>
      <w:r>
        <w:rPr>
          <w:rFonts w:asciiTheme="majorBidi" w:hAnsiTheme="majorBidi" w:cstheme="majorBidi"/>
          <w:bCs/>
        </w:rPr>
        <w:t xml:space="preserve"> Ed. Longman Scientific and Technical Co-published in USA with John Willey and Sons, Inc., </w:t>
      </w:r>
      <w:proofErr w:type="spellStart"/>
      <w:proofErr w:type="gramStart"/>
      <w:r>
        <w:rPr>
          <w:rFonts w:asciiTheme="majorBidi" w:hAnsiTheme="majorBidi" w:cstheme="majorBidi"/>
          <w:bCs/>
        </w:rPr>
        <w:t>ew</w:t>
      </w:r>
      <w:proofErr w:type="spellEnd"/>
      <w:proofErr w:type="gramEnd"/>
      <w:r>
        <w:rPr>
          <w:rFonts w:asciiTheme="majorBidi" w:hAnsiTheme="majorBidi" w:cstheme="majorBidi"/>
          <w:bCs/>
        </w:rPr>
        <w:t xml:space="preserve"> York.</w:t>
      </w:r>
    </w:p>
    <w:p w:rsidR="003B2BF3" w:rsidRPr="007D76CA" w:rsidRDefault="003B2BF3" w:rsidP="003B2BF3">
      <w:pPr>
        <w:bidi w:val="0"/>
        <w:spacing w:line="204" w:lineRule="exact"/>
        <w:rPr>
          <w:rFonts w:asciiTheme="majorBidi" w:hAnsiTheme="majorBidi" w:cstheme="majorBidi"/>
          <w:bCs/>
        </w:rPr>
      </w:pPr>
      <w:proofErr w:type="spellStart"/>
      <w:r>
        <w:rPr>
          <w:rFonts w:asciiTheme="majorBidi" w:hAnsiTheme="majorBidi" w:cstheme="majorBidi"/>
          <w:bCs/>
        </w:rPr>
        <w:t>Rady</w:t>
      </w:r>
      <w:proofErr w:type="spellEnd"/>
      <w:r>
        <w:rPr>
          <w:rFonts w:asciiTheme="majorBidi" w:hAnsiTheme="majorBidi" w:cstheme="majorBidi"/>
          <w:bCs/>
        </w:rPr>
        <w:t>, M.S</w:t>
      </w:r>
      <w:proofErr w:type="gramStart"/>
      <w:r>
        <w:rPr>
          <w:rFonts w:asciiTheme="majorBidi" w:hAnsiTheme="majorBidi" w:cstheme="majorBidi"/>
          <w:bCs/>
        </w:rPr>
        <w:t>. ;</w:t>
      </w:r>
      <w:proofErr w:type="gramEnd"/>
      <w:r>
        <w:rPr>
          <w:rFonts w:asciiTheme="majorBidi" w:hAnsiTheme="majorBidi" w:cstheme="majorBidi"/>
          <w:bCs/>
        </w:rPr>
        <w:t xml:space="preserve"> H.A. </w:t>
      </w:r>
      <w:proofErr w:type="spellStart"/>
      <w:r>
        <w:rPr>
          <w:rFonts w:asciiTheme="majorBidi" w:hAnsiTheme="majorBidi" w:cstheme="majorBidi"/>
          <w:bCs/>
        </w:rPr>
        <w:t>Dawwam</w:t>
      </w:r>
      <w:proofErr w:type="spellEnd"/>
      <w:r>
        <w:rPr>
          <w:rFonts w:asciiTheme="majorBidi" w:hAnsiTheme="majorBidi" w:cstheme="majorBidi"/>
          <w:bCs/>
        </w:rPr>
        <w:t>; F.</w:t>
      </w:r>
      <w:r w:rsidR="00714005">
        <w:rPr>
          <w:rFonts w:asciiTheme="majorBidi" w:hAnsiTheme="majorBidi" w:cstheme="majorBidi"/>
          <w:bCs/>
        </w:rPr>
        <w:t xml:space="preserve">A. </w:t>
      </w:r>
      <w:proofErr w:type="spellStart"/>
      <w:r w:rsidR="00714005">
        <w:rPr>
          <w:rFonts w:asciiTheme="majorBidi" w:hAnsiTheme="majorBidi" w:cstheme="majorBidi"/>
          <w:bCs/>
        </w:rPr>
        <w:t>Hendawy</w:t>
      </w:r>
      <w:proofErr w:type="spellEnd"/>
      <w:r w:rsidR="00714005">
        <w:rPr>
          <w:rFonts w:asciiTheme="majorBidi" w:hAnsiTheme="majorBidi" w:cstheme="majorBidi"/>
          <w:bCs/>
        </w:rPr>
        <w:t>; I.H. El-</w:t>
      </w:r>
      <w:proofErr w:type="spellStart"/>
      <w:r w:rsidR="00714005">
        <w:rPr>
          <w:rFonts w:asciiTheme="majorBidi" w:hAnsiTheme="majorBidi" w:cstheme="majorBidi"/>
          <w:bCs/>
        </w:rPr>
        <w:t>Geddawy</w:t>
      </w:r>
      <w:proofErr w:type="spellEnd"/>
      <w:r w:rsidR="00714005">
        <w:rPr>
          <w:rFonts w:asciiTheme="majorBidi" w:hAnsiTheme="majorBidi" w:cstheme="majorBidi"/>
          <w:bCs/>
        </w:rPr>
        <w:t xml:space="preserve"> and R.A.M. Abo El-</w:t>
      </w:r>
      <w:proofErr w:type="spellStart"/>
      <w:r w:rsidR="00714005">
        <w:rPr>
          <w:rFonts w:asciiTheme="majorBidi" w:hAnsiTheme="majorBidi" w:cstheme="majorBidi"/>
          <w:bCs/>
        </w:rPr>
        <w:t>Gjait</w:t>
      </w:r>
      <w:proofErr w:type="spellEnd"/>
      <w:r w:rsidR="00714005">
        <w:rPr>
          <w:rFonts w:asciiTheme="majorBidi" w:hAnsiTheme="majorBidi" w:cstheme="majorBidi"/>
          <w:bCs/>
        </w:rPr>
        <w:t xml:space="preserve"> (2000). </w:t>
      </w:r>
      <w:proofErr w:type="gramStart"/>
      <w:r w:rsidR="00714005">
        <w:rPr>
          <w:rFonts w:asciiTheme="majorBidi" w:hAnsiTheme="majorBidi" w:cstheme="majorBidi"/>
          <w:bCs/>
        </w:rPr>
        <w:t>Estimation of stability parameters for some sugarcane varieties.</w:t>
      </w:r>
      <w:proofErr w:type="gramEnd"/>
      <w:r w:rsidR="00714005">
        <w:rPr>
          <w:rFonts w:asciiTheme="majorBidi" w:hAnsiTheme="majorBidi" w:cstheme="majorBidi"/>
          <w:bCs/>
        </w:rPr>
        <w:t xml:space="preserve"> 1- Phenotypic and genotypic stability study for some sugarcane varieties. Proc. 9</w:t>
      </w:r>
      <w:r w:rsidR="00714005" w:rsidRPr="00714005">
        <w:rPr>
          <w:rFonts w:asciiTheme="majorBidi" w:hAnsiTheme="majorBidi" w:cstheme="majorBidi"/>
          <w:bCs/>
          <w:vertAlign w:val="superscript"/>
        </w:rPr>
        <w:t>th</w:t>
      </w:r>
      <w:r w:rsidR="00714005">
        <w:rPr>
          <w:rFonts w:asciiTheme="majorBidi" w:hAnsiTheme="majorBidi" w:cstheme="majorBidi"/>
          <w:bCs/>
        </w:rPr>
        <w:t xml:space="preserve"> Conf. </w:t>
      </w:r>
      <w:proofErr w:type="spellStart"/>
      <w:r w:rsidR="00714005">
        <w:rPr>
          <w:rFonts w:asciiTheme="majorBidi" w:hAnsiTheme="majorBidi" w:cstheme="majorBidi"/>
          <w:bCs/>
        </w:rPr>
        <w:t>Agron</w:t>
      </w:r>
      <w:proofErr w:type="spellEnd"/>
      <w:r w:rsidR="00714005">
        <w:rPr>
          <w:rFonts w:asciiTheme="majorBidi" w:hAnsiTheme="majorBidi" w:cstheme="majorBidi"/>
          <w:bCs/>
        </w:rPr>
        <w:t xml:space="preserve">., </w:t>
      </w:r>
      <w:proofErr w:type="spellStart"/>
      <w:r w:rsidR="00714005">
        <w:rPr>
          <w:rFonts w:asciiTheme="majorBidi" w:hAnsiTheme="majorBidi" w:cstheme="majorBidi"/>
          <w:bCs/>
        </w:rPr>
        <w:t>Minufiya</w:t>
      </w:r>
      <w:proofErr w:type="spellEnd"/>
      <w:r w:rsidR="00714005">
        <w:rPr>
          <w:rFonts w:asciiTheme="majorBidi" w:hAnsiTheme="majorBidi" w:cstheme="majorBidi"/>
          <w:bCs/>
        </w:rPr>
        <w:t xml:space="preserve"> Univ., 1-2 Sept. 2000: 507-525. </w:t>
      </w:r>
      <w:r>
        <w:rPr>
          <w:rFonts w:asciiTheme="majorBidi" w:hAnsiTheme="majorBidi" w:cstheme="majorBidi"/>
          <w:bCs/>
        </w:rPr>
        <w:t xml:space="preserve"> </w:t>
      </w:r>
    </w:p>
    <w:p w:rsidR="0023690A" w:rsidRDefault="0023690A" w:rsidP="0027317C">
      <w:pPr>
        <w:bidi w:val="0"/>
        <w:spacing w:line="240" w:lineRule="auto"/>
        <w:jc w:val="both"/>
        <w:rPr>
          <w:rFonts w:asciiTheme="majorBidi" w:hAnsiTheme="majorBidi" w:cstheme="majorBidi"/>
        </w:rPr>
        <w:sectPr w:rsidR="0023690A" w:rsidSect="0023690A">
          <w:type w:val="continuous"/>
          <w:pgSz w:w="11906" w:h="16838"/>
          <w:pgMar w:top="1440" w:right="1800" w:bottom="1440" w:left="1800" w:header="720" w:footer="720" w:gutter="0"/>
          <w:cols w:num="2" w:space="720"/>
          <w:bidi/>
          <w:rtlGutter/>
          <w:docGrid w:linePitch="360"/>
        </w:sectPr>
      </w:pPr>
    </w:p>
    <w:p w:rsidR="00645141" w:rsidRDefault="00645141" w:rsidP="0027317C">
      <w:pPr>
        <w:bidi w:val="0"/>
        <w:spacing w:line="240" w:lineRule="auto"/>
        <w:jc w:val="both"/>
        <w:rPr>
          <w:rFonts w:asciiTheme="majorBidi" w:hAnsiTheme="majorBidi" w:cstheme="majorBidi"/>
        </w:rPr>
      </w:pPr>
    </w:p>
    <w:p w:rsidR="005265B1" w:rsidRDefault="005265B1" w:rsidP="005265B1">
      <w:pPr>
        <w:bidi w:val="0"/>
        <w:spacing w:line="240" w:lineRule="auto"/>
        <w:jc w:val="both"/>
        <w:rPr>
          <w:rFonts w:asciiTheme="majorBidi" w:hAnsiTheme="majorBidi" w:cstheme="majorBidi"/>
        </w:rPr>
      </w:pPr>
    </w:p>
    <w:p w:rsidR="005265B1" w:rsidRDefault="005265B1" w:rsidP="005265B1">
      <w:pPr>
        <w:bidi w:val="0"/>
        <w:spacing w:line="240" w:lineRule="auto"/>
        <w:jc w:val="both"/>
        <w:rPr>
          <w:rFonts w:asciiTheme="majorBidi" w:hAnsiTheme="majorBidi" w:cstheme="majorBidi"/>
        </w:rPr>
      </w:pPr>
    </w:p>
    <w:p w:rsidR="005265B1" w:rsidRDefault="005265B1" w:rsidP="005265B1">
      <w:pPr>
        <w:bidi w:val="0"/>
        <w:spacing w:line="240" w:lineRule="auto"/>
        <w:jc w:val="both"/>
        <w:rPr>
          <w:rFonts w:asciiTheme="majorBidi" w:hAnsiTheme="majorBidi" w:cstheme="majorBidi"/>
        </w:rPr>
      </w:pPr>
    </w:p>
    <w:p w:rsidR="005265B1" w:rsidRDefault="005265B1" w:rsidP="005265B1">
      <w:pPr>
        <w:bidi w:val="0"/>
        <w:spacing w:line="360" w:lineRule="auto"/>
        <w:ind w:left="450" w:firstLine="90"/>
        <w:jc w:val="lowKashida"/>
        <w:rPr>
          <w:rFonts w:asciiTheme="majorBidi" w:hAnsiTheme="majorBidi" w:cstheme="majorBidi"/>
          <w:b/>
          <w:bCs/>
          <w:sz w:val="24"/>
          <w:szCs w:val="24"/>
        </w:rPr>
      </w:pPr>
      <w:r>
        <w:rPr>
          <w:noProof/>
        </w:rPr>
        <w:drawing>
          <wp:anchor distT="0" distB="0" distL="114300" distR="114300" simplePos="0" relativeHeight="251659264" behindDoc="0" locked="0" layoutInCell="1" allowOverlap="1" wp14:anchorId="6FCB81B4" wp14:editId="6D3BC73B">
            <wp:simplePos x="0" y="0"/>
            <wp:positionH relativeFrom="column">
              <wp:posOffset>-24130</wp:posOffset>
            </wp:positionH>
            <wp:positionV relativeFrom="paragraph">
              <wp:posOffset>34290</wp:posOffset>
            </wp:positionV>
            <wp:extent cx="1362710" cy="1021715"/>
            <wp:effectExtent l="0" t="953" r="7938" b="7937"/>
            <wp:wrapSquare wrapText="bothSides"/>
            <wp:docPr id="1" name="Picture 1" descr="D:\Dr. Ayman\Ayman\Camera\20161009_2007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r. Ayman\Ayman\Camera\20161009_200756.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rot="5400000">
                      <a:off x="0" y="0"/>
                      <a:ext cx="1362710" cy="102171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5265B1" w:rsidRDefault="005265B1" w:rsidP="005265B1">
      <w:pPr>
        <w:bidi w:val="0"/>
        <w:spacing w:line="360" w:lineRule="auto"/>
        <w:ind w:left="450" w:firstLine="90"/>
        <w:jc w:val="lowKashida"/>
        <w:rPr>
          <w:rFonts w:asciiTheme="majorBidi" w:hAnsiTheme="majorBidi" w:cstheme="majorBidi"/>
          <w:b/>
          <w:bCs/>
          <w:sz w:val="24"/>
          <w:szCs w:val="24"/>
        </w:rPr>
      </w:pPr>
      <w:bookmarkStart w:id="0" w:name="_GoBack"/>
    </w:p>
    <w:bookmarkEnd w:id="0"/>
    <w:p w:rsidR="005265B1" w:rsidRDefault="005265B1" w:rsidP="005265B1">
      <w:pPr>
        <w:bidi w:val="0"/>
        <w:spacing w:line="360" w:lineRule="auto"/>
        <w:ind w:left="450" w:firstLine="90"/>
        <w:jc w:val="lowKashida"/>
        <w:rPr>
          <w:rFonts w:asciiTheme="majorBidi" w:hAnsiTheme="majorBidi" w:cstheme="majorBidi"/>
          <w:b/>
          <w:bCs/>
          <w:sz w:val="24"/>
          <w:szCs w:val="24"/>
        </w:rPr>
      </w:pPr>
    </w:p>
    <w:p w:rsidR="005265B1" w:rsidRPr="005265B1" w:rsidRDefault="005265B1" w:rsidP="005265B1">
      <w:pPr>
        <w:bidi w:val="0"/>
        <w:spacing w:line="360" w:lineRule="auto"/>
        <w:ind w:left="450" w:firstLine="90"/>
        <w:jc w:val="lowKashida"/>
        <w:rPr>
          <w:rFonts w:asciiTheme="majorBidi" w:hAnsiTheme="majorBidi" w:cstheme="majorBidi"/>
          <w:sz w:val="24"/>
          <w:szCs w:val="24"/>
        </w:rPr>
      </w:pPr>
      <w:r w:rsidRPr="005265B1">
        <w:rPr>
          <w:rFonts w:asciiTheme="majorBidi" w:hAnsiTheme="majorBidi" w:cstheme="majorBidi"/>
          <w:b/>
          <w:bCs/>
          <w:sz w:val="24"/>
          <w:szCs w:val="24"/>
        </w:rPr>
        <w:t xml:space="preserve">Prof. Dr. Ayman Mohamed </w:t>
      </w:r>
      <w:proofErr w:type="spellStart"/>
      <w:r w:rsidRPr="005265B1">
        <w:rPr>
          <w:rFonts w:asciiTheme="majorBidi" w:hAnsiTheme="majorBidi" w:cstheme="majorBidi"/>
          <w:b/>
          <w:bCs/>
          <w:sz w:val="24"/>
          <w:szCs w:val="24"/>
        </w:rPr>
        <w:t>Abd</w:t>
      </w:r>
      <w:proofErr w:type="spellEnd"/>
      <w:r w:rsidRPr="005265B1">
        <w:rPr>
          <w:rFonts w:asciiTheme="majorBidi" w:hAnsiTheme="majorBidi" w:cstheme="majorBidi"/>
          <w:b/>
          <w:bCs/>
          <w:sz w:val="24"/>
          <w:szCs w:val="24"/>
        </w:rPr>
        <w:t xml:space="preserve"> El-</w:t>
      </w:r>
      <w:proofErr w:type="spellStart"/>
      <w:r w:rsidRPr="005265B1">
        <w:rPr>
          <w:rFonts w:asciiTheme="majorBidi" w:hAnsiTheme="majorBidi" w:cstheme="majorBidi"/>
          <w:b/>
          <w:bCs/>
          <w:sz w:val="24"/>
          <w:szCs w:val="24"/>
        </w:rPr>
        <w:t>Razek</w:t>
      </w:r>
      <w:proofErr w:type="spellEnd"/>
      <w:r w:rsidRPr="005265B1">
        <w:rPr>
          <w:rFonts w:asciiTheme="majorBidi" w:hAnsiTheme="majorBidi" w:cstheme="majorBidi"/>
          <w:sz w:val="24"/>
          <w:szCs w:val="24"/>
        </w:rPr>
        <w:t xml:space="preserve"> </w:t>
      </w:r>
      <w:r w:rsidRPr="005265B1">
        <w:rPr>
          <w:rFonts w:asciiTheme="majorBidi" w:hAnsiTheme="majorBidi" w:cstheme="majorBidi"/>
          <w:color w:val="000000"/>
          <w:sz w:val="24"/>
          <w:szCs w:val="24"/>
        </w:rPr>
        <w:t xml:space="preserve">is working as Professor and department head (Plant Breeding and Genetic and Varietal Maintenance Dept.) at Sugar Crops Research Institute, ARC, </w:t>
      </w:r>
      <w:proofErr w:type="gramStart"/>
      <w:r w:rsidRPr="005265B1">
        <w:rPr>
          <w:rFonts w:asciiTheme="majorBidi" w:hAnsiTheme="majorBidi" w:cstheme="majorBidi"/>
          <w:color w:val="000000"/>
          <w:sz w:val="24"/>
          <w:szCs w:val="24"/>
        </w:rPr>
        <w:t>Egypt</w:t>
      </w:r>
      <w:proofErr w:type="gramEnd"/>
      <w:r w:rsidRPr="005265B1">
        <w:rPr>
          <w:rFonts w:asciiTheme="majorBidi" w:hAnsiTheme="majorBidi" w:cstheme="majorBidi"/>
          <w:color w:val="000000"/>
          <w:sz w:val="24"/>
          <w:szCs w:val="24"/>
        </w:rPr>
        <w:t xml:space="preserve">. He did his Ph.D. in Plant Breeding (Sugar Crops) in 2003. He attended studies and training programs in India, China and United States. He has published 45 research papers in Sugar Crops fields. Hi </w:t>
      </w:r>
      <w:proofErr w:type="gramStart"/>
      <w:r w:rsidRPr="005265B1">
        <w:rPr>
          <w:rFonts w:asciiTheme="majorBidi" w:hAnsiTheme="majorBidi" w:cstheme="majorBidi"/>
          <w:color w:val="000000"/>
          <w:sz w:val="24"/>
          <w:szCs w:val="24"/>
        </w:rPr>
        <w:t>is</w:t>
      </w:r>
      <w:proofErr w:type="gramEnd"/>
      <w:r w:rsidRPr="005265B1">
        <w:rPr>
          <w:rFonts w:asciiTheme="majorBidi" w:hAnsiTheme="majorBidi" w:cstheme="majorBidi"/>
          <w:color w:val="000000"/>
          <w:sz w:val="24"/>
          <w:szCs w:val="24"/>
        </w:rPr>
        <w:t xml:space="preserve"> Member and Regional Coordinators for the Regional Office for Middle East IAPSIT- ROM</w:t>
      </w:r>
      <w:r w:rsidRPr="005265B1">
        <w:rPr>
          <w:rFonts w:asciiTheme="majorBidi" w:hAnsiTheme="majorBidi" w:cstheme="majorBidi"/>
          <w:sz w:val="24"/>
          <w:szCs w:val="24"/>
        </w:rPr>
        <w:t xml:space="preserve"> (The International Association of Professionals in Sugar and Integrated Technologies) and</w:t>
      </w:r>
      <w:r w:rsidRPr="005265B1">
        <w:rPr>
          <w:rFonts w:asciiTheme="majorBidi" w:hAnsiTheme="majorBidi" w:cstheme="majorBidi"/>
          <w:color w:val="000000"/>
          <w:sz w:val="24"/>
          <w:szCs w:val="24"/>
        </w:rPr>
        <w:t xml:space="preserve"> Member of</w:t>
      </w:r>
      <w:r w:rsidRPr="005265B1">
        <w:rPr>
          <w:rFonts w:asciiTheme="majorBidi" w:hAnsiTheme="majorBidi" w:cstheme="majorBidi"/>
          <w:sz w:val="24"/>
          <w:szCs w:val="24"/>
          <w:lang w:bidi="ar-EG"/>
        </w:rPr>
        <w:t xml:space="preserve"> The Egyptian Association of Sugar Professionals,</w:t>
      </w:r>
      <w:r w:rsidRPr="005265B1">
        <w:rPr>
          <w:rFonts w:asciiTheme="majorBidi" w:hAnsiTheme="majorBidi" w:cstheme="majorBidi"/>
          <w:color w:val="000000"/>
          <w:sz w:val="24"/>
          <w:szCs w:val="24"/>
        </w:rPr>
        <w:t xml:space="preserve"> </w:t>
      </w:r>
      <w:r w:rsidRPr="005265B1">
        <w:rPr>
          <w:rFonts w:asciiTheme="majorBidi" w:hAnsiTheme="majorBidi" w:cstheme="majorBidi"/>
          <w:sz w:val="24"/>
          <w:szCs w:val="24"/>
        </w:rPr>
        <w:t>The Egyptian Society of Sugar Technologists (ESST), Fidelity of Sugar Crops Council, The Egyptian Association of Applied Sciences (ESAS), The Egyptian Association of Agricultural Economics.</w:t>
      </w:r>
    </w:p>
    <w:p w:rsidR="005265B1" w:rsidRPr="00E40B2E" w:rsidRDefault="005265B1" w:rsidP="005265B1">
      <w:pPr>
        <w:bidi w:val="0"/>
        <w:spacing w:line="240" w:lineRule="auto"/>
        <w:jc w:val="both"/>
        <w:rPr>
          <w:rFonts w:asciiTheme="majorBidi" w:hAnsiTheme="majorBidi" w:cstheme="majorBidi"/>
          <w:b/>
          <w:bCs/>
        </w:rPr>
      </w:pPr>
    </w:p>
    <w:sectPr w:rsidR="005265B1" w:rsidRPr="00E40B2E" w:rsidSect="0023690A">
      <w:type w:val="continuous"/>
      <w:pgSz w:w="11906" w:h="16838"/>
      <w:pgMar w:top="1440" w:right="1800" w:bottom="1440" w:left="1800" w:header="720" w:footer="720" w:gutter="0"/>
      <w:cols w:space="720"/>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141"/>
    <w:rsid w:val="0008705D"/>
    <w:rsid w:val="001530A8"/>
    <w:rsid w:val="0023690A"/>
    <w:rsid w:val="0027317C"/>
    <w:rsid w:val="00363A9F"/>
    <w:rsid w:val="003B2BF3"/>
    <w:rsid w:val="005265B1"/>
    <w:rsid w:val="00620931"/>
    <w:rsid w:val="00645141"/>
    <w:rsid w:val="00714005"/>
    <w:rsid w:val="007427D3"/>
    <w:rsid w:val="007D76CA"/>
    <w:rsid w:val="0090113F"/>
    <w:rsid w:val="009D0152"/>
    <w:rsid w:val="00C12BFD"/>
    <w:rsid w:val="00D073FE"/>
    <w:rsid w:val="00D910BD"/>
    <w:rsid w:val="00E40B2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1814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A8B256-DE1B-431E-A33D-7EBE9F40DD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TotalTime>
  <Pages>2</Pages>
  <Words>551</Words>
  <Characters>3143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dcterms:created xsi:type="dcterms:W3CDTF">2018-04-02T15:40:00Z</dcterms:created>
  <dcterms:modified xsi:type="dcterms:W3CDTF">2018-04-04T09:50:00Z</dcterms:modified>
</cp:coreProperties>
</file>