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41D" w:rsidRPr="00BA2F5E" w:rsidRDefault="0076741D" w:rsidP="00494130">
      <w:pPr>
        <w:pStyle w:val="Nagwek1"/>
        <w:spacing w:before="170"/>
        <w:ind w:left="0"/>
        <w:rPr>
          <w:color w:val="0070C0"/>
        </w:rPr>
      </w:pPr>
      <w:r w:rsidRPr="00BA2F5E">
        <w:rPr>
          <w:rFonts w:cs="Arial"/>
          <w:color w:val="0070C0"/>
        </w:rPr>
        <w:t>The Pierre Auger Observatory</w:t>
      </w:r>
    </w:p>
    <w:p w:rsidR="005973B9" w:rsidRDefault="0076741D" w:rsidP="005973B9">
      <w:pPr>
        <w:pStyle w:val="Tekstpodstawowy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Zbigniew Szadkowski, University of Lodz, Poland</w:t>
      </w: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gwe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6741D" w:rsidRDefault="0076741D" w:rsidP="0076741D">
      <w:pPr>
        <w:pStyle w:val="Nagwek3"/>
        <w:spacing w:before="120"/>
        <w:ind w:left="102"/>
        <w:rPr>
          <w:rFonts w:ascii="Tw Cen MT" w:hAnsi="Tw Cen MT"/>
          <w:b w:val="0"/>
          <w:sz w:val="18"/>
          <w:szCs w:val="18"/>
        </w:rPr>
      </w:pPr>
      <w:r w:rsidRPr="0076741D">
        <w:rPr>
          <w:rFonts w:ascii="Tw Cen MT" w:hAnsi="Tw Cen MT"/>
          <w:b w:val="0"/>
          <w:sz w:val="18"/>
          <w:szCs w:val="18"/>
        </w:rPr>
        <w:t>T</w:t>
      </w:r>
      <w:r w:rsidRPr="0076741D">
        <w:rPr>
          <w:rFonts w:ascii="Tw Cen MT" w:hAnsi="Tw Cen MT"/>
          <w:b w:val="0"/>
          <w:sz w:val="18"/>
          <w:szCs w:val="18"/>
        </w:rPr>
        <w:t>he Pierre Auger Observatory was built to study cosmic rays of the</w:t>
      </w:r>
      <w:r w:rsidRPr="0076741D">
        <w:rPr>
          <w:rFonts w:ascii="Tw Cen MT" w:hAnsi="Tw Cen MT"/>
          <w:b w:val="0"/>
          <w:sz w:val="18"/>
          <w:szCs w:val="18"/>
        </w:rPr>
        <w:t xml:space="preserve"> </w:t>
      </w:r>
      <w:r w:rsidRPr="0076741D">
        <w:rPr>
          <w:rFonts w:ascii="Tw Cen MT" w:hAnsi="Tw Cen MT"/>
          <w:b w:val="0"/>
          <w:sz w:val="18"/>
          <w:szCs w:val="18"/>
        </w:rPr>
        <w:t xml:space="preserve">highest energies. It is installed in the Departments of </w:t>
      </w:r>
      <w:proofErr w:type="spellStart"/>
      <w:r w:rsidRPr="0076741D">
        <w:rPr>
          <w:rFonts w:ascii="Tw Cen MT" w:hAnsi="Tw Cen MT"/>
          <w:b w:val="0"/>
          <w:sz w:val="18"/>
          <w:szCs w:val="18"/>
        </w:rPr>
        <w:t>Malargue</w:t>
      </w:r>
      <w:proofErr w:type="spellEnd"/>
      <w:r w:rsidRPr="0076741D">
        <w:rPr>
          <w:rFonts w:ascii="Tw Cen MT" w:hAnsi="Tw Cen MT"/>
          <w:b w:val="0"/>
          <w:sz w:val="18"/>
          <w:szCs w:val="18"/>
        </w:rPr>
        <w:t xml:space="preserve"> and</w:t>
      </w:r>
      <w:r w:rsidRPr="0076741D">
        <w:rPr>
          <w:rFonts w:ascii="Tw Cen MT" w:hAnsi="Tw Cen MT"/>
          <w:b w:val="0"/>
          <w:sz w:val="18"/>
          <w:szCs w:val="18"/>
        </w:rPr>
        <w:t xml:space="preserve"> </w:t>
      </w:r>
      <w:r w:rsidRPr="0076741D">
        <w:rPr>
          <w:rFonts w:ascii="Tw Cen MT" w:hAnsi="Tw Cen MT"/>
          <w:b w:val="0"/>
          <w:sz w:val="18"/>
          <w:szCs w:val="18"/>
        </w:rPr>
        <w:t>San Rafael in the Province of Mendoza, Argentina. The Observatory</w:t>
      </w:r>
      <w:r w:rsidRPr="0076741D">
        <w:rPr>
          <w:rFonts w:ascii="Tw Cen MT" w:hAnsi="Tw Cen MT"/>
          <w:b w:val="0"/>
          <w:sz w:val="18"/>
          <w:szCs w:val="18"/>
        </w:rPr>
        <w:t xml:space="preserve"> </w:t>
      </w:r>
      <w:r w:rsidRPr="0076741D">
        <w:rPr>
          <w:rFonts w:ascii="Tw Cen MT" w:hAnsi="Tw Cen MT"/>
          <w:b w:val="0"/>
          <w:sz w:val="18"/>
          <w:szCs w:val="18"/>
        </w:rPr>
        <w:t>is based on a hybrid design, comprised by two detector systems: a</w:t>
      </w:r>
      <w:r w:rsidRPr="0076741D">
        <w:rPr>
          <w:rFonts w:ascii="Tw Cen MT" w:hAnsi="Tw Cen MT"/>
          <w:b w:val="0"/>
          <w:sz w:val="18"/>
          <w:szCs w:val="18"/>
        </w:rPr>
        <w:t xml:space="preserve"> </w:t>
      </w:r>
      <w:r w:rsidRPr="0076741D">
        <w:rPr>
          <w:rFonts w:ascii="Tw Cen MT" w:hAnsi="Tw Cen MT"/>
          <w:b w:val="0"/>
          <w:sz w:val="18"/>
          <w:szCs w:val="18"/>
        </w:rPr>
        <w:t>surface array of 1660 water Cherenkov detectors is complemented</w:t>
      </w:r>
      <w:r w:rsidRPr="0076741D">
        <w:rPr>
          <w:rFonts w:ascii="Tw Cen MT" w:hAnsi="Tw Cen MT"/>
          <w:b w:val="0"/>
          <w:sz w:val="18"/>
          <w:szCs w:val="18"/>
        </w:rPr>
        <w:t xml:space="preserve"> </w:t>
      </w:r>
      <w:r w:rsidRPr="0076741D">
        <w:rPr>
          <w:rFonts w:ascii="Tw Cen MT" w:hAnsi="Tw Cen MT"/>
          <w:b w:val="0"/>
          <w:sz w:val="18"/>
          <w:szCs w:val="18"/>
        </w:rPr>
        <w:t>with 27 fluorescence telescopes which overlook the atmosphere</w:t>
      </w:r>
      <w:r w:rsidRPr="0076741D">
        <w:rPr>
          <w:rFonts w:ascii="Tw Cen MT" w:hAnsi="Tw Cen MT"/>
          <w:b w:val="0"/>
          <w:sz w:val="18"/>
          <w:szCs w:val="18"/>
        </w:rPr>
        <w:t xml:space="preserve"> </w:t>
      </w:r>
      <w:r w:rsidRPr="0076741D">
        <w:rPr>
          <w:rFonts w:ascii="Tw Cen MT" w:hAnsi="Tw Cen MT"/>
          <w:b w:val="0"/>
          <w:sz w:val="18"/>
          <w:szCs w:val="18"/>
        </w:rPr>
        <w:t>above the surface array. Covering a total area in excess of 3000km</w:t>
      </w:r>
      <w:r w:rsidRPr="0076741D">
        <w:rPr>
          <w:rFonts w:ascii="Tw Cen MT" w:hAnsi="Tw Cen MT" w:cs="Courier New"/>
          <w:b w:val="0"/>
          <w:sz w:val="18"/>
          <w:szCs w:val="18"/>
          <w:vertAlign w:val="superscript"/>
        </w:rPr>
        <w:t>2</w:t>
      </w:r>
      <w:r w:rsidRPr="0076741D">
        <w:rPr>
          <w:rFonts w:ascii="Tw Cen MT" w:hAnsi="Tw Cen MT"/>
          <w:b w:val="0"/>
          <w:sz w:val="18"/>
          <w:szCs w:val="18"/>
        </w:rPr>
        <w:t>, it is the largest and most precise observatory of its kind. It</w:t>
      </w:r>
      <w:r w:rsidRPr="0076741D">
        <w:rPr>
          <w:rFonts w:ascii="Tw Cen MT" w:hAnsi="Tw Cen MT"/>
          <w:b w:val="0"/>
          <w:sz w:val="18"/>
          <w:szCs w:val="18"/>
        </w:rPr>
        <w:t xml:space="preserve"> </w:t>
      </w:r>
      <w:r w:rsidRPr="0076741D">
        <w:rPr>
          <w:rFonts w:ascii="Tw Cen MT" w:hAnsi="Tw Cen MT"/>
          <w:b w:val="0"/>
          <w:sz w:val="18"/>
          <w:szCs w:val="18"/>
        </w:rPr>
        <w:t xml:space="preserve">has been in full operation for over a decade now. </w:t>
      </w:r>
    </w:p>
    <w:p w:rsidR="0076741D" w:rsidRDefault="0076741D" w:rsidP="0076741D">
      <w:pPr>
        <w:pStyle w:val="Nagwek3"/>
        <w:spacing w:before="120"/>
        <w:ind w:left="102"/>
        <w:rPr>
          <w:rFonts w:ascii="Tw Cen MT" w:hAnsi="Tw Cen MT"/>
          <w:b w:val="0"/>
          <w:sz w:val="18"/>
          <w:szCs w:val="18"/>
        </w:rPr>
      </w:pPr>
    </w:p>
    <w:p w:rsidR="0076741D" w:rsidRDefault="0076741D" w:rsidP="0076741D">
      <w:pPr>
        <w:pStyle w:val="Nagwek3"/>
        <w:spacing w:before="120"/>
        <w:ind w:left="102"/>
        <w:rPr>
          <w:rFonts w:ascii="Tw Cen MT" w:hAnsi="Tw Cen MT"/>
          <w:b w:val="0"/>
        </w:rPr>
      </w:pPr>
      <w:r w:rsidRPr="0076741D">
        <w:rPr>
          <w:rFonts w:ascii="Tw Cen MT" w:hAnsi="Tw Cen MT"/>
          <w:b w:val="0"/>
        </w:rPr>
        <w:t>The discovery of cosmic rays is attributed to Viktor Hess, who in 1912 demonstrated the extraterrestrial origin of the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 xml:space="preserve">very penetrating </w:t>
      </w:r>
      <w:proofErr w:type="spellStart"/>
      <w:r w:rsidRPr="0076741D">
        <w:rPr>
          <w:rFonts w:ascii="Tw Cen MT" w:hAnsi="Tw Cen MT"/>
          <w:b w:val="0"/>
        </w:rPr>
        <w:t>ionising</w:t>
      </w:r>
      <w:proofErr w:type="spellEnd"/>
      <w:r w:rsidRPr="0076741D">
        <w:rPr>
          <w:rFonts w:ascii="Tw Cen MT" w:hAnsi="Tw Cen MT"/>
          <w:b w:val="0"/>
        </w:rPr>
        <w:t xml:space="preserve"> radiation that had already been measured years before. Although it was soon established that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>this energetic radiation originated beyond the solar system, it was hard to discern if it was caused by photons or massive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 xml:space="preserve">particles. It took nearly two decades of intense research and after heated debates among the top scientists in the field, </w:t>
      </w:r>
      <w:proofErr w:type="spellStart"/>
      <w:r w:rsidRPr="0076741D">
        <w:rPr>
          <w:rFonts w:ascii="Tw Cen MT" w:hAnsi="Tw Cen MT"/>
          <w:b w:val="0"/>
        </w:rPr>
        <w:t>itcould</w:t>
      </w:r>
      <w:proofErr w:type="spellEnd"/>
      <w:r w:rsidRPr="0076741D">
        <w:rPr>
          <w:rFonts w:ascii="Tw Cen MT" w:hAnsi="Tw Cen MT"/>
          <w:b w:val="0"/>
        </w:rPr>
        <w:t xml:space="preserve"> be concluded that cosmic rays are composed of massive, charged particles, mostly high energy protons and, to a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>lesser degree, heavier atomic nuclei.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 xml:space="preserve">Cosmic ray physics was a very active field of research in the first half of the </w:t>
      </w:r>
      <w:proofErr w:type="spellStart"/>
      <w:r w:rsidRPr="0076741D">
        <w:rPr>
          <w:rFonts w:ascii="Tw Cen MT" w:hAnsi="Tw Cen MT"/>
          <w:b w:val="0"/>
        </w:rPr>
        <w:t>XXth</w:t>
      </w:r>
      <w:proofErr w:type="spellEnd"/>
      <w:r w:rsidRPr="0076741D">
        <w:rPr>
          <w:rFonts w:ascii="Tw Cen MT" w:hAnsi="Tw Cen MT"/>
          <w:b w:val="0"/>
        </w:rPr>
        <w:t xml:space="preserve"> century. The main breakthroughs in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>the dawn of particle physics were possible thanks to the existence of this cosmic radiation of very high energy. Through its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 xml:space="preserve">study, the foundations of elementary particle physics were laid, when the positron, the muon, the </w:t>
      </w:r>
      <w:proofErr w:type="spellStart"/>
      <w:r w:rsidRPr="0076741D">
        <w:rPr>
          <w:rFonts w:ascii="Tw Cen MT" w:hAnsi="Tw Cen MT"/>
          <w:b w:val="0"/>
        </w:rPr>
        <w:t>pions</w:t>
      </w:r>
      <w:proofErr w:type="spellEnd"/>
      <w:r w:rsidRPr="0076741D">
        <w:rPr>
          <w:rFonts w:ascii="Tw Cen MT" w:hAnsi="Tw Cen MT"/>
          <w:b w:val="0"/>
        </w:rPr>
        <w:t xml:space="preserve"> and many other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>subatomic particles were discovered as by-products of interactions of cosmic rays.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 xml:space="preserve">At the end of the 1930s, Pierre Auger operated a number of Geiger-M </w:t>
      </w:r>
      <w:r w:rsidRPr="0076741D">
        <w:rPr>
          <w:b w:val="0"/>
        </w:rPr>
        <w:t>̈</w:t>
      </w:r>
      <w:proofErr w:type="spellStart"/>
      <w:r w:rsidRPr="0076741D">
        <w:rPr>
          <w:rFonts w:ascii="Tw Cen MT" w:hAnsi="Tw Cen MT"/>
          <w:b w:val="0"/>
        </w:rPr>
        <w:t>uller</w:t>
      </w:r>
      <w:proofErr w:type="spellEnd"/>
      <w:r w:rsidRPr="0076741D">
        <w:rPr>
          <w:rFonts w:ascii="Tw Cen MT" w:hAnsi="Tw Cen MT"/>
          <w:b w:val="0"/>
        </w:rPr>
        <w:t xml:space="preserve"> counters in coincidence at high altitude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>sites in the Alps, and concluded that the penetrating radiation detected at ground level is due to so called extensive air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>showers (EAS), i.e., secondary particles produced by the interaction of very high energy cosmic rays with the atoms of the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>atmospheric air. In his studies, Auger concluded that the cosmi</w:t>
      </w:r>
      <w:r>
        <w:rPr>
          <w:rFonts w:ascii="Tw Cen MT" w:hAnsi="Tw Cen MT"/>
          <w:b w:val="0"/>
        </w:rPr>
        <w:t xml:space="preserve">c </w:t>
      </w:r>
      <w:r w:rsidRPr="0076741D">
        <w:rPr>
          <w:rFonts w:ascii="Tw Cen MT" w:hAnsi="Tw Cen MT"/>
          <w:b w:val="0"/>
        </w:rPr>
        <w:t>radiation must include particles with energies in excess of 10</w:t>
      </w:r>
      <w:r w:rsidRPr="0076741D">
        <w:rPr>
          <w:rFonts w:ascii="Tw Cen MT" w:hAnsi="Tw Cen MT"/>
          <w:b w:val="0"/>
          <w:vertAlign w:val="superscript"/>
        </w:rPr>
        <w:t>15</w:t>
      </w:r>
      <w:r w:rsidRPr="0076741D">
        <w:rPr>
          <w:rFonts w:ascii="Tw Cen MT" w:hAnsi="Tw Cen MT"/>
          <w:b w:val="0"/>
        </w:rPr>
        <w:t>eV. Following Pierre Auger’s discovery, systematic effort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 xml:space="preserve">was invested in the study of cosmic air showers, their development and characteristics. Pioneering work by Bethe, </w:t>
      </w:r>
      <w:proofErr w:type="spellStart"/>
      <w:r w:rsidRPr="0076741D">
        <w:rPr>
          <w:rFonts w:ascii="Tw Cen MT" w:hAnsi="Tw Cen MT"/>
          <w:b w:val="0"/>
        </w:rPr>
        <w:t>Heitler</w:t>
      </w:r>
      <w:proofErr w:type="spellEnd"/>
      <w:r w:rsidRPr="0076741D">
        <w:rPr>
          <w:rFonts w:ascii="Tw Cen MT" w:hAnsi="Tw Cen MT"/>
          <w:b w:val="0"/>
        </w:rPr>
        <w:t>,</w:t>
      </w:r>
      <w:r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 xml:space="preserve">Greisen, </w:t>
      </w:r>
      <w:proofErr w:type="spellStart"/>
      <w:r w:rsidRPr="0076741D">
        <w:rPr>
          <w:rFonts w:ascii="Tw Cen MT" w:hAnsi="Tw Cen MT"/>
          <w:b w:val="0"/>
        </w:rPr>
        <w:t>Hillas</w:t>
      </w:r>
      <w:proofErr w:type="spellEnd"/>
      <w:r w:rsidRPr="0076741D">
        <w:rPr>
          <w:rFonts w:ascii="Tw Cen MT" w:hAnsi="Tw Cen MT"/>
          <w:b w:val="0"/>
        </w:rPr>
        <w:t>, Nishimura and many others set the foundations for their description</w:t>
      </w:r>
      <w:r w:rsidR="005C7D38">
        <w:rPr>
          <w:rFonts w:ascii="Tw Cen MT" w:hAnsi="Tw Cen MT"/>
          <w:b w:val="0"/>
        </w:rPr>
        <w:t xml:space="preserve"> [1]</w:t>
      </w:r>
      <w:r>
        <w:rPr>
          <w:rFonts w:ascii="Tw Cen MT" w:hAnsi="Tw Cen MT"/>
          <w:b w:val="0"/>
        </w:rPr>
        <w:t>.</w:t>
      </w:r>
    </w:p>
    <w:p w:rsidR="0076741D" w:rsidRDefault="0076741D" w:rsidP="0076741D">
      <w:pPr>
        <w:pStyle w:val="Nagwek3"/>
        <w:spacing w:before="120"/>
        <w:ind w:left="102"/>
        <w:rPr>
          <w:rFonts w:ascii="Tw Cen MT" w:hAnsi="Tw Cen MT"/>
          <w:b w:val="0"/>
        </w:rPr>
      </w:pPr>
      <w:r w:rsidRPr="0076741D">
        <w:rPr>
          <w:rFonts w:ascii="Tw Cen MT" w:hAnsi="Tw Cen MT"/>
          <w:b w:val="0"/>
        </w:rPr>
        <w:t>After the discovery of the cosmic microwave background radiation (CMBR) by Penzias and Wilson in 1964 [</w:t>
      </w:r>
      <w:r w:rsidR="005C7D38">
        <w:rPr>
          <w:rFonts w:ascii="Tw Cen MT" w:hAnsi="Tw Cen MT"/>
          <w:b w:val="0"/>
        </w:rPr>
        <w:t>2</w:t>
      </w:r>
      <w:r w:rsidRPr="0076741D">
        <w:rPr>
          <w:rFonts w:ascii="Tw Cen MT" w:hAnsi="Tw Cen MT"/>
          <w:b w:val="0"/>
        </w:rPr>
        <w:t>],</w:t>
      </w:r>
      <w:r w:rsidR="005C7D38"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>Kenneth Greisen [</w:t>
      </w:r>
      <w:r w:rsidR="005C7D38">
        <w:rPr>
          <w:rFonts w:ascii="Tw Cen MT" w:hAnsi="Tw Cen MT"/>
          <w:b w:val="0"/>
        </w:rPr>
        <w:t>3</w:t>
      </w:r>
      <w:r w:rsidRPr="0076741D">
        <w:rPr>
          <w:rFonts w:ascii="Tw Cen MT" w:hAnsi="Tw Cen MT"/>
          <w:b w:val="0"/>
        </w:rPr>
        <w:t xml:space="preserve">] and independently </w:t>
      </w:r>
      <w:proofErr w:type="spellStart"/>
      <w:r w:rsidRPr="0076741D">
        <w:rPr>
          <w:rFonts w:ascii="Tw Cen MT" w:hAnsi="Tw Cen MT"/>
          <w:b w:val="0"/>
        </w:rPr>
        <w:t>Zatsepin</w:t>
      </w:r>
      <w:proofErr w:type="spellEnd"/>
      <w:r w:rsidRPr="0076741D">
        <w:rPr>
          <w:rFonts w:ascii="Tw Cen MT" w:hAnsi="Tw Cen MT"/>
          <w:b w:val="0"/>
        </w:rPr>
        <w:t xml:space="preserve"> and </w:t>
      </w:r>
      <w:proofErr w:type="spellStart"/>
      <w:r w:rsidRPr="0076741D">
        <w:rPr>
          <w:rFonts w:ascii="Tw Cen MT" w:hAnsi="Tw Cen MT"/>
          <w:b w:val="0"/>
        </w:rPr>
        <w:t>Kuz’min</w:t>
      </w:r>
      <w:proofErr w:type="spellEnd"/>
      <w:r w:rsidRPr="0076741D">
        <w:rPr>
          <w:rFonts w:ascii="Tw Cen MT" w:hAnsi="Tw Cen MT"/>
          <w:b w:val="0"/>
        </w:rPr>
        <w:t xml:space="preserve"> </w:t>
      </w:r>
      <w:r w:rsidR="005C7D38">
        <w:rPr>
          <w:rFonts w:ascii="Tw Cen MT" w:hAnsi="Tw Cen MT"/>
          <w:b w:val="0"/>
        </w:rPr>
        <w:t xml:space="preserve">[4] </w:t>
      </w:r>
      <w:r w:rsidRPr="0076741D">
        <w:rPr>
          <w:rFonts w:ascii="Tw Cen MT" w:hAnsi="Tw Cen MT"/>
          <w:b w:val="0"/>
        </w:rPr>
        <w:t>demonstrated that for protons with</w:t>
      </w:r>
      <w:r w:rsidRPr="0076741D"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/>
          <w:b w:val="0"/>
        </w:rPr>
        <w:t>energies above</w:t>
      </w:r>
      <w:r w:rsidRPr="0076741D">
        <w:rPr>
          <w:rFonts w:ascii="Cambria Math" w:hAnsi="Cambria Math" w:cs="Cambria Math"/>
          <w:b w:val="0"/>
        </w:rPr>
        <w:t>∼</w:t>
      </w:r>
      <w:r w:rsidRPr="0076741D">
        <w:rPr>
          <w:rFonts w:ascii="Tw Cen MT" w:hAnsi="Tw Cen MT"/>
          <w:b w:val="0"/>
        </w:rPr>
        <w:t>5×10</w:t>
      </w:r>
      <w:r w:rsidRPr="0076741D">
        <w:rPr>
          <w:rFonts w:ascii="Tw Cen MT" w:hAnsi="Tw Cen MT"/>
          <w:b w:val="0"/>
          <w:vertAlign w:val="superscript"/>
        </w:rPr>
        <w:t>19</w:t>
      </w:r>
      <w:r w:rsidRPr="0076741D">
        <w:rPr>
          <w:rFonts w:ascii="Tw Cen MT" w:hAnsi="Tw Cen MT"/>
          <w:b w:val="0"/>
        </w:rPr>
        <w:t>eV, the cross section for the interaction with the CMB photons has a sharp increase due to the</w:t>
      </w:r>
      <w:r w:rsidRPr="0076741D">
        <w:rPr>
          <w:rFonts w:ascii="Tw Cen MT" w:hAnsi="Tw Cen MT"/>
          <w:b w:val="0"/>
        </w:rPr>
        <w:t xml:space="preserve"> </w:t>
      </w:r>
      <w:r w:rsidRPr="0076741D">
        <w:rPr>
          <w:rFonts w:ascii="Tw Cen MT" w:hAnsi="Tw Cen MT" w:cs="Courier New"/>
          <w:b w:val="0"/>
        </w:rPr>
        <w:t>∆</w:t>
      </w:r>
      <w:r w:rsidRPr="0076741D">
        <w:rPr>
          <w:rFonts w:ascii="Tw Cen MT" w:hAnsi="Tw Cen MT" w:cs="Courier New"/>
          <w:b w:val="0"/>
        </w:rPr>
        <w:t xml:space="preserve"> </w:t>
      </w:r>
      <w:r w:rsidRPr="0076741D">
        <w:rPr>
          <w:rFonts w:ascii="Tw Cen MT" w:hAnsi="Tw Cen MT"/>
          <w:b w:val="0"/>
        </w:rPr>
        <w:t xml:space="preserve">resonance for production of </w:t>
      </w:r>
      <w:proofErr w:type="spellStart"/>
      <w:r w:rsidRPr="0076741D">
        <w:rPr>
          <w:rFonts w:ascii="Tw Cen MT" w:hAnsi="Tw Cen MT"/>
          <w:b w:val="0"/>
        </w:rPr>
        <w:t>pions</w:t>
      </w:r>
      <w:proofErr w:type="spellEnd"/>
      <w:r>
        <w:rPr>
          <w:rFonts w:ascii="Tw Cen MT" w:hAnsi="Tw Cen MT"/>
          <w:b w:val="0"/>
        </w:rPr>
        <w:t xml:space="preserve">. </w:t>
      </w:r>
    </w:p>
    <w:p w:rsidR="00AE3E37" w:rsidRDefault="0076741D" w:rsidP="00BA2F5E">
      <w:pPr>
        <w:pStyle w:val="Nagwek3"/>
        <w:spacing w:before="120"/>
        <w:ind w:left="102"/>
        <w:rPr>
          <w:sz w:val="25"/>
          <w:szCs w:val="25"/>
        </w:rPr>
      </w:pPr>
      <w:r w:rsidRPr="00BA2F5E">
        <w:rPr>
          <w:rFonts w:ascii="Tw Cen MT" w:hAnsi="Tw Cen MT"/>
          <w:b w:val="0"/>
        </w:rPr>
        <w:t>In 1996, after a world-wide survey for suitable sites for installation of the observatories, including Argentina, South Africa</w:t>
      </w:r>
      <w:r w:rsidR="00BA2F5E">
        <w:rPr>
          <w:rFonts w:ascii="Tw Cen MT" w:hAnsi="Tw Cen MT"/>
          <w:b w:val="0"/>
        </w:rPr>
        <w:t xml:space="preserve"> </w:t>
      </w:r>
      <w:r w:rsidRPr="00BA2F5E">
        <w:rPr>
          <w:rFonts w:ascii="Tw Cen MT" w:hAnsi="Tw Cen MT"/>
          <w:b w:val="0"/>
        </w:rPr>
        <w:t>and Australia in the Southern Hemisphere, the International Collaboration agreed to install the Southern Pierre Auger</w:t>
      </w:r>
      <w:r w:rsidR="00BA2F5E">
        <w:rPr>
          <w:rFonts w:ascii="Tw Cen MT" w:hAnsi="Tw Cen MT"/>
          <w:b w:val="0"/>
        </w:rPr>
        <w:t xml:space="preserve"> </w:t>
      </w:r>
      <w:r w:rsidRPr="00BA2F5E">
        <w:rPr>
          <w:rFonts w:ascii="Tw Cen MT" w:hAnsi="Tw Cen MT"/>
          <w:b w:val="0"/>
        </w:rPr>
        <w:t>Observatory in Argentina. This decision was based on the fact that Argentina could provide suitable sites, but also political,</w:t>
      </w:r>
      <w:r w:rsidR="00BA2F5E">
        <w:rPr>
          <w:rFonts w:ascii="Tw Cen MT" w:hAnsi="Tw Cen MT"/>
          <w:b w:val="0"/>
        </w:rPr>
        <w:t xml:space="preserve"> </w:t>
      </w:r>
      <w:r w:rsidRPr="00BA2F5E">
        <w:rPr>
          <w:rFonts w:ascii="Tw Cen MT" w:hAnsi="Tw Cen MT"/>
          <w:b w:val="0"/>
        </w:rPr>
        <w:t xml:space="preserve">scientific and technological support. Main candidate sites in Argentina that were considered more seriously were </w:t>
      </w:r>
      <w:r w:rsidRPr="00BA2F5E">
        <w:rPr>
          <w:rFonts w:ascii="Tw Cen MT" w:hAnsi="Tw Cen MT"/>
          <w:b w:val="0"/>
        </w:rPr>
        <w:lastRenderedPageBreak/>
        <w:t>Pampa</w:t>
      </w:r>
      <w:r w:rsidR="00BA2F5E">
        <w:rPr>
          <w:rFonts w:ascii="Tw Cen MT" w:hAnsi="Tw Cen MT"/>
          <w:b w:val="0"/>
        </w:rPr>
        <w:t xml:space="preserve"> </w:t>
      </w:r>
      <w:proofErr w:type="spellStart"/>
      <w:r w:rsidRPr="00BA2F5E">
        <w:rPr>
          <w:rFonts w:ascii="Tw Cen MT" w:hAnsi="Tw Cen MT"/>
          <w:b w:val="0"/>
        </w:rPr>
        <w:t>Amarilla</w:t>
      </w:r>
      <w:proofErr w:type="spellEnd"/>
      <w:r w:rsidRPr="00BA2F5E">
        <w:rPr>
          <w:rFonts w:ascii="Tw Cen MT" w:hAnsi="Tw Cen MT"/>
          <w:b w:val="0"/>
        </w:rPr>
        <w:t xml:space="preserve"> in the Departments of </w:t>
      </w:r>
      <w:proofErr w:type="spellStart"/>
      <w:r w:rsidRPr="00BA2F5E">
        <w:rPr>
          <w:rFonts w:ascii="Tw Cen MT" w:hAnsi="Tw Cen MT"/>
          <w:b w:val="0"/>
        </w:rPr>
        <w:t>Malargue</w:t>
      </w:r>
      <w:proofErr w:type="spellEnd"/>
      <w:r w:rsidRPr="00BA2F5E">
        <w:rPr>
          <w:rFonts w:ascii="Tw Cen MT" w:hAnsi="Tw Cen MT"/>
          <w:b w:val="0"/>
        </w:rPr>
        <w:t xml:space="preserve"> and San Rafael in the Province of Mendoza, and the </w:t>
      </w:r>
      <w:proofErr w:type="spellStart"/>
      <w:r w:rsidRPr="00BA2F5E">
        <w:rPr>
          <w:rFonts w:ascii="Tw Cen MT" w:hAnsi="Tw Cen MT"/>
          <w:b w:val="0"/>
        </w:rPr>
        <w:t>Meseta</w:t>
      </w:r>
      <w:proofErr w:type="spellEnd"/>
      <w:r w:rsidRPr="00BA2F5E">
        <w:rPr>
          <w:rFonts w:ascii="Tw Cen MT" w:hAnsi="Tw Cen MT"/>
          <w:b w:val="0"/>
        </w:rPr>
        <w:t xml:space="preserve"> de </w:t>
      </w:r>
      <w:proofErr w:type="spellStart"/>
      <w:r w:rsidRPr="00BA2F5E">
        <w:rPr>
          <w:rFonts w:ascii="Tw Cen MT" w:hAnsi="Tw Cen MT"/>
          <w:b w:val="0"/>
        </w:rPr>
        <w:t>Somuncura</w:t>
      </w:r>
      <w:r w:rsidR="00832AD9">
        <w:rPr>
          <w:rFonts w:ascii="Tw Cen MT" w:hAnsi="Tw Cen MT"/>
          <w:b w:val="0"/>
        </w:rPr>
        <w:t>in</w:t>
      </w:r>
      <w:proofErr w:type="spellEnd"/>
      <w:r w:rsidR="00832AD9">
        <w:rPr>
          <w:rFonts w:ascii="Tw Cen MT" w:hAnsi="Tw Cen MT"/>
          <w:b w:val="0"/>
        </w:rPr>
        <w:t xml:space="preserve"> Rio Negro Province</w:t>
      </w:r>
      <w:r w:rsidRPr="00BA2F5E">
        <w:rPr>
          <w:rFonts w:ascii="Tw Cen MT" w:hAnsi="Tw Cen MT"/>
          <w:b w:val="0"/>
        </w:rPr>
        <w:t xml:space="preserve">. In 1998 the Pampa </w:t>
      </w:r>
      <w:proofErr w:type="spellStart"/>
      <w:r w:rsidRPr="00BA2F5E">
        <w:rPr>
          <w:rFonts w:ascii="Tw Cen MT" w:hAnsi="Tw Cen MT"/>
          <w:b w:val="0"/>
        </w:rPr>
        <w:t>Amarilla</w:t>
      </w:r>
      <w:proofErr w:type="spellEnd"/>
      <w:r w:rsidRPr="00BA2F5E">
        <w:rPr>
          <w:rFonts w:ascii="Tw Cen MT" w:hAnsi="Tw Cen MT"/>
          <w:b w:val="0"/>
        </w:rPr>
        <w:t xml:space="preserve"> site was chosen, located at35</w:t>
      </w:r>
      <w:r w:rsidRPr="00BA2F5E">
        <w:rPr>
          <w:rFonts w:ascii="Tw Cen MT" w:hAnsi="Tw Cen MT" w:cs="Courier New"/>
          <w:b w:val="0"/>
        </w:rPr>
        <w:t>.</w:t>
      </w:r>
      <w:r w:rsidRPr="00BA2F5E">
        <w:rPr>
          <w:rFonts w:ascii="Tw Cen MT" w:hAnsi="Tw Cen MT"/>
          <w:b w:val="0"/>
        </w:rPr>
        <w:t>0</w:t>
      </w:r>
      <w:r w:rsidRPr="00BA2F5E">
        <w:rPr>
          <w:b w:val="0"/>
        </w:rPr>
        <w:t>◦</w:t>
      </w:r>
      <w:r w:rsidRPr="00BA2F5E">
        <w:rPr>
          <w:rFonts w:ascii="Tw Cen MT" w:hAnsi="Tw Cen MT"/>
          <w:b w:val="0"/>
        </w:rPr>
        <w:t>–35</w:t>
      </w:r>
      <w:r w:rsidRPr="00BA2F5E">
        <w:rPr>
          <w:rFonts w:ascii="Tw Cen MT" w:hAnsi="Tw Cen MT" w:cs="Courier New"/>
          <w:b w:val="0"/>
        </w:rPr>
        <w:t>.</w:t>
      </w:r>
      <w:r w:rsidRPr="00BA2F5E">
        <w:rPr>
          <w:rFonts w:ascii="Tw Cen MT" w:hAnsi="Tw Cen MT"/>
          <w:b w:val="0"/>
        </w:rPr>
        <w:t>3</w:t>
      </w:r>
      <w:r w:rsidRPr="00BA2F5E">
        <w:rPr>
          <w:b w:val="0"/>
        </w:rPr>
        <w:t>◦</w:t>
      </w:r>
      <w:r w:rsidRPr="00BA2F5E">
        <w:rPr>
          <w:rFonts w:ascii="Tw Cen MT" w:hAnsi="Tw Cen MT"/>
          <w:b w:val="0"/>
        </w:rPr>
        <w:t>S,69</w:t>
      </w:r>
      <w:r w:rsidRPr="00BA2F5E">
        <w:rPr>
          <w:rFonts w:ascii="Tw Cen MT" w:hAnsi="Tw Cen MT" w:cs="Courier New"/>
          <w:b w:val="0"/>
        </w:rPr>
        <w:t>.</w:t>
      </w:r>
      <w:r w:rsidRPr="00BA2F5E">
        <w:rPr>
          <w:rFonts w:ascii="Tw Cen MT" w:hAnsi="Tw Cen MT"/>
          <w:b w:val="0"/>
        </w:rPr>
        <w:t>0</w:t>
      </w:r>
      <w:r w:rsidRPr="00BA2F5E">
        <w:rPr>
          <w:b w:val="0"/>
        </w:rPr>
        <w:t>◦</w:t>
      </w:r>
      <w:r w:rsidRPr="00BA2F5E">
        <w:rPr>
          <w:rFonts w:ascii="Tw Cen MT" w:hAnsi="Tw Cen MT"/>
          <w:b w:val="0"/>
        </w:rPr>
        <w:t>–69</w:t>
      </w:r>
      <w:r w:rsidRPr="00BA2F5E">
        <w:rPr>
          <w:rFonts w:ascii="Tw Cen MT" w:hAnsi="Tw Cen MT" w:cs="Courier New"/>
          <w:b w:val="0"/>
        </w:rPr>
        <w:t>.</w:t>
      </w:r>
      <w:r w:rsidRPr="00BA2F5E">
        <w:rPr>
          <w:rFonts w:ascii="Tw Cen MT" w:hAnsi="Tw Cen MT"/>
          <w:b w:val="0"/>
        </w:rPr>
        <w:t>4</w:t>
      </w:r>
      <w:r w:rsidRPr="00BA2F5E">
        <w:rPr>
          <w:b w:val="0"/>
        </w:rPr>
        <w:t>◦</w:t>
      </w:r>
      <w:r w:rsidRPr="00BA2F5E">
        <w:rPr>
          <w:rFonts w:ascii="Tw Cen MT" w:hAnsi="Tw Cen MT"/>
          <w:b w:val="0"/>
        </w:rPr>
        <w:t>Wand1340</w:t>
      </w:r>
      <w:r w:rsidRPr="00BA2F5E">
        <w:rPr>
          <w:b w:val="0"/>
        </w:rPr>
        <w:t>−</w:t>
      </w:r>
      <w:r w:rsidRPr="00BA2F5E">
        <w:rPr>
          <w:rFonts w:ascii="Tw Cen MT" w:hAnsi="Tw Cen MT"/>
          <w:b w:val="0"/>
        </w:rPr>
        <w:t>1610m above sea level. The observatory spans a total area of approximately 3000 km2. It is the first hybrid</w:t>
      </w:r>
      <w:r w:rsidR="00BA2F5E">
        <w:rPr>
          <w:rFonts w:ascii="Tw Cen MT" w:hAnsi="Tw Cen MT"/>
          <w:b w:val="0"/>
        </w:rPr>
        <w:t xml:space="preserve"> </w:t>
      </w:r>
      <w:r w:rsidRPr="00BA2F5E">
        <w:rPr>
          <w:rFonts w:ascii="Tw Cen MT" w:hAnsi="Tw Cen MT"/>
          <w:b w:val="0"/>
        </w:rPr>
        <w:t>observatory combining a surface array of water-Cherenkov detectors and a set of fluorescence detectors at the periphery of</w:t>
      </w:r>
      <w:r w:rsidR="00BA2F5E">
        <w:rPr>
          <w:rFonts w:ascii="Tw Cen MT" w:hAnsi="Tw Cen MT"/>
          <w:b w:val="0"/>
        </w:rPr>
        <w:t xml:space="preserve"> </w:t>
      </w:r>
      <w:r w:rsidRPr="00BA2F5E">
        <w:rPr>
          <w:rFonts w:ascii="Tw Cen MT" w:hAnsi="Tw Cen MT"/>
          <w:b w:val="0"/>
        </w:rPr>
        <w:t>the array</w:t>
      </w:r>
      <w:r>
        <w:rPr>
          <w:sz w:val="25"/>
          <w:szCs w:val="25"/>
        </w:rPr>
        <w:t>.</w:t>
      </w:r>
      <w:r w:rsidR="00BA2F5E">
        <w:rPr>
          <w:sz w:val="25"/>
          <w:szCs w:val="25"/>
        </w:rPr>
        <w:t xml:space="preserve"> </w:t>
      </w:r>
    </w:p>
    <w:p w:rsidR="005C7D38" w:rsidRDefault="005C7D38" w:rsidP="00BA2F5E">
      <w:pPr>
        <w:pStyle w:val="Nagwek3"/>
        <w:spacing w:before="120"/>
        <w:ind w:left="102"/>
        <w:rPr>
          <w:rFonts w:ascii="Tw Cen MT" w:hAnsi="Tw Cen MT"/>
          <w:b w:val="0"/>
        </w:rPr>
      </w:pPr>
      <w:r w:rsidRPr="005C7D38">
        <w:rPr>
          <w:rFonts w:ascii="Tw Cen MT" w:hAnsi="Tw Cen MT"/>
          <w:b w:val="0"/>
        </w:rPr>
        <w:t xml:space="preserve">The principle of operation of the SD stations </w:t>
      </w:r>
      <w:r w:rsidR="00832AD9">
        <w:rPr>
          <w:rFonts w:ascii="Tw Cen MT" w:hAnsi="Tw Cen MT"/>
          <w:b w:val="0"/>
        </w:rPr>
        <w:t>[5</w:t>
      </w:r>
      <w:r w:rsidRPr="005C7D38">
        <w:rPr>
          <w:rFonts w:ascii="Tw Cen MT" w:hAnsi="Tw Cen MT"/>
          <w:b w:val="0"/>
        </w:rPr>
        <w:t>] is based on the Cherenkov light emission in water. When relativistic</w:t>
      </w:r>
      <w:r w:rsidR="00832AD9"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secondary particles from an air shower propagate in water, they produce Cherenkov light. This is true for charged particles</w:t>
      </w:r>
      <w:r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such as electrons, positrons and muons of the air shower when their speed exceeds the speed of light in water. Also, when</w:t>
      </w:r>
      <w:r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high energy photons interact with the water, they produce electron-positron pairs which can also be detected by their</w:t>
      </w:r>
      <w:r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Cherenkov emission.</w:t>
      </w:r>
      <w:r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 xml:space="preserve">Each WCD consists of a volume of 12,000 </w:t>
      </w:r>
      <w:proofErr w:type="spellStart"/>
      <w:r w:rsidRPr="005C7D38">
        <w:rPr>
          <w:rFonts w:ascii="Tw Cen MT" w:hAnsi="Tw Cen MT"/>
          <w:b w:val="0"/>
        </w:rPr>
        <w:t>litres</w:t>
      </w:r>
      <w:proofErr w:type="spellEnd"/>
      <w:r w:rsidRPr="005C7D38">
        <w:rPr>
          <w:rFonts w:ascii="Tw Cen MT" w:hAnsi="Tw Cen MT"/>
          <w:b w:val="0"/>
        </w:rPr>
        <w:t xml:space="preserve"> of ultra-pure water contained in a liner within a roto</w:t>
      </w:r>
      <w:r>
        <w:rPr>
          <w:rFonts w:ascii="Tw Cen MT" w:hAnsi="Tw Cen MT"/>
          <w:b w:val="0"/>
        </w:rPr>
        <w:t>-</w:t>
      </w:r>
      <w:r w:rsidRPr="005C7D38">
        <w:rPr>
          <w:rFonts w:ascii="Tw Cen MT" w:hAnsi="Tw Cen MT"/>
          <w:b w:val="0"/>
        </w:rPr>
        <w:t>molded polyethylene</w:t>
      </w:r>
      <w:r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tank. The tanks are 3.6 m in diameter and 1.5 m high. The liner is black on the outside, for light tightness, and covered</w:t>
      </w:r>
      <w:r w:rsidR="00832AD9"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with a highly reflective and diffusive inner surface, provided by a Tyvek film, to distribute uniformly the Cherenkov light</w:t>
      </w:r>
      <w:r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within the water volume.</w:t>
      </w:r>
      <w:r w:rsidR="00832AD9"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The ultra-pure water (resistivity above 12 M</w:t>
      </w:r>
      <w:r w:rsidRPr="005C7D38">
        <w:rPr>
          <w:rFonts w:ascii="Tw Cen MT" w:hAnsi="Tw Cen MT" w:cs="Courier New"/>
          <w:b w:val="0"/>
        </w:rPr>
        <w:t>Ω</w:t>
      </w:r>
      <w:r w:rsidRPr="005C7D38">
        <w:rPr>
          <w:rFonts w:ascii="Tw Cen MT" w:hAnsi="Tw Cen MT"/>
          <w:b w:val="0"/>
        </w:rPr>
        <w:t>-cm) is produced in a water purification plant that was installed in</w:t>
      </w:r>
      <w:r w:rsidR="00832AD9"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 xml:space="preserve">the Auger Central Station in </w:t>
      </w:r>
      <w:proofErr w:type="spellStart"/>
      <w:r w:rsidRPr="005C7D38">
        <w:rPr>
          <w:rFonts w:ascii="Tw Cen MT" w:hAnsi="Tw Cen MT"/>
          <w:b w:val="0"/>
        </w:rPr>
        <w:t>Malarg</w:t>
      </w:r>
      <w:proofErr w:type="spellEnd"/>
      <w:r w:rsidRPr="005C7D38">
        <w:rPr>
          <w:rFonts w:ascii="Tw Cen MT" w:hAnsi="Tw Cen MT"/>
          <w:b w:val="0"/>
        </w:rPr>
        <w:t xml:space="preserve"> </w:t>
      </w:r>
      <w:r w:rsidRPr="005C7D38">
        <w:rPr>
          <w:b w:val="0"/>
        </w:rPr>
        <w:t>̈</w:t>
      </w:r>
      <w:proofErr w:type="spellStart"/>
      <w:r w:rsidRPr="005C7D38">
        <w:rPr>
          <w:rFonts w:ascii="Tw Cen MT" w:hAnsi="Tw Cen MT"/>
          <w:b w:val="0"/>
        </w:rPr>
        <w:t>ue</w:t>
      </w:r>
      <w:proofErr w:type="spellEnd"/>
      <w:r w:rsidRPr="005C7D38">
        <w:rPr>
          <w:rFonts w:ascii="Tw Cen MT" w:hAnsi="Tw Cen MT"/>
          <w:b w:val="0"/>
        </w:rPr>
        <w:t>. Once deployed at their correct positions in the field, the tanks are filled with</w:t>
      </w:r>
      <w:r w:rsidR="00832AD9"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 xml:space="preserve">ultra-pure water transported in clean specialized transport tanks. Because of its high purity, the water maintains its </w:t>
      </w:r>
      <w:r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tory. Periodic bacteriological tests have indicated that the</w:t>
      </w:r>
      <w:r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ultra-pure water and the environment free of light and organic residues does not support bacterial growth which could lead</w:t>
      </w:r>
      <w:r>
        <w:rPr>
          <w:rFonts w:ascii="Tw Cen MT" w:hAnsi="Tw Cen MT"/>
          <w:b w:val="0"/>
        </w:rPr>
        <w:t xml:space="preserve"> </w:t>
      </w:r>
      <w:r w:rsidRPr="005C7D38">
        <w:rPr>
          <w:rFonts w:ascii="Tw Cen MT" w:hAnsi="Tw Cen MT"/>
          <w:b w:val="0"/>
        </w:rPr>
        <w:t>to reduced water clarity.</w:t>
      </w:r>
    </w:p>
    <w:p w:rsidR="00832AD9" w:rsidRPr="005C7D38" w:rsidRDefault="00832AD9" w:rsidP="00BA2F5E">
      <w:pPr>
        <w:pStyle w:val="Nagwek3"/>
        <w:spacing w:before="120"/>
        <w:ind w:left="102"/>
        <w:rPr>
          <w:rFonts w:ascii="Tw Cen MT" w:hAnsi="Tw Cen MT"/>
          <w:b w:val="0"/>
        </w:rPr>
      </w:pPr>
      <w:bookmarkStart w:id="0" w:name="_GoBack"/>
      <w:bookmarkEnd w:id="0"/>
    </w:p>
    <w:p w:rsidR="00832AD9" w:rsidRDefault="00832AD9" w:rsidP="00832AD9">
      <w:pPr>
        <w:widowControl/>
        <w:autoSpaceDE w:val="0"/>
        <w:autoSpaceDN w:val="0"/>
        <w:adjustRightInd w:val="0"/>
        <w:rPr>
          <w:rFonts w:ascii="NimbusRomNo9L-Regu" w:eastAsiaTheme="minorHAnsi" w:hAnsi="NimbusRomNo9L-Regu" w:cs="NimbusRomNo9L-Regu"/>
          <w:sz w:val="20"/>
          <w:szCs w:val="20"/>
        </w:rPr>
      </w:pPr>
      <w:r>
        <w:rPr>
          <w:rFonts w:ascii="NimbusRomNo9L-Regu" w:eastAsiaTheme="minorHAnsi" w:hAnsi="NimbusRomNo9L-Regu" w:cs="NimbusRomNo9L-Regu"/>
          <w:sz w:val="20"/>
          <w:szCs w:val="20"/>
        </w:rPr>
        <w:t>This work is supported by the National Science</w:t>
      </w:r>
    </w:p>
    <w:p w:rsidR="00832AD9" w:rsidRDefault="00832AD9" w:rsidP="00832AD9">
      <w:pPr>
        <w:widowControl/>
        <w:autoSpaceDE w:val="0"/>
        <w:autoSpaceDN w:val="0"/>
        <w:adjustRightInd w:val="0"/>
        <w:rPr>
          <w:rFonts w:ascii="NimbusRomNo9L-Regu" w:eastAsiaTheme="minorHAnsi" w:hAnsi="NimbusRomNo9L-Regu" w:cs="NimbusRomNo9L-Regu"/>
          <w:sz w:val="20"/>
          <w:szCs w:val="20"/>
        </w:rPr>
      </w:pPr>
      <w:r>
        <w:rPr>
          <w:rFonts w:ascii="NimbusRomNo9L-Regu" w:eastAsiaTheme="minorHAnsi" w:hAnsi="NimbusRomNo9L-Regu" w:cs="NimbusRomNo9L-Regu"/>
          <w:sz w:val="20"/>
          <w:szCs w:val="20"/>
        </w:rPr>
        <w:t>Centre (Poland) under NCN Grant HARMONIA-8 No.</w:t>
      </w:r>
    </w:p>
    <w:p w:rsidR="00AE3E37" w:rsidRDefault="00832AD9" w:rsidP="00832AD9">
      <w:pPr>
        <w:pStyle w:val="Tekstpodstawowy"/>
        <w:spacing w:before="2"/>
        <w:rPr>
          <w:rFonts w:ascii="Arial"/>
          <w:b/>
          <w:sz w:val="16"/>
        </w:rPr>
      </w:pPr>
      <w:r>
        <w:rPr>
          <w:rFonts w:ascii="NimbusRomNo9L-Regu" w:eastAsiaTheme="minorHAnsi" w:hAnsi="NimbusRomNo9L-Regu" w:cs="NimbusRomNo9L-Regu"/>
          <w:sz w:val="20"/>
          <w:szCs w:val="20"/>
        </w:rPr>
        <w:t>2016/22/M/ST9/00198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C7D38" w:rsidRPr="005C7D38" w:rsidRDefault="005C7D38" w:rsidP="005973B9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/>
          <w:sz w:val="18"/>
          <w:szCs w:val="18"/>
        </w:rPr>
      </w:pPr>
      <w:r w:rsidRPr="005C7D38">
        <w:rPr>
          <w:rFonts w:asciiTheme="minorHAnsi" w:hAnsiTheme="minorHAnsi" w:cs="Arial"/>
          <w:sz w:val="18"/>
          <w:szCs w:val="18"/>
        </w:rPr>
        <w:t xml:space="preserve">K.-H. </w:t>
      </w:r>
      <w:proofErr w:type="spellStart"/>
      <w:r w:rsidRPr="005C7D38">
        <w:rPr>
          <w:rFonts w:asciiTheme="minorHAnsi" w:hAnsiTheme="minorHAnsi" w:cs="Arial"/>
          <w:sz w:val="18"/>
          <w:szCs w:val="18"/>
        </w:rPr>
        <w:t>Kampert</w:t>
      </w:r>
      <w:proofErr w:type="spellEnd"/>
      <w:r w:rsidRPr="005C7D38">
        <w:rPr>
          <w:rFonts w:asciiTheme="minorHAnsi" w:hAnsiTheme="minorHAnsi" w:cs="Arial"/>
          <w:sz w:val="18"/>
          <w:szCs w:val="18"/>
        </w:rPr>
        <w:t xml:space="preserve"> and A. Watson, “Extensive Air Showers and Ultra High-Energy Cosmic Rays: A Historical Review”,</w:t>
      </w:r>
      <w:r>
        <w:rPr>
          <w:rFonts w:asciiTheme="minorHAnsi" w:hAnsiTheme="minorHAnsi" w:cs="Arial"/>
          <w:sz w:val="18"/>
          <w:szCs w:val="18"/>
        </w:rPr>
        <w:t xml:space="preserve"> </w:t>
      </w:r>
      <w:r w:rsidRPr="005C7D38">
        <w:rPr>
          <w:rFonts w:asciiTheme="minorHAnsi" w:hAnsiTheme="minorHAnsi" w:cs="Arial"/>
          <w:sz w:val="18"/>
          <w:szCs w:val="18"/>
        </w:rPr>
        <w:t>EPJ-H 37 (2012) 359</w:t>
      </w:r>
    </w:p>
    <w:p w:rsidR="005C7D38" w:rsidRPr="005C7D38" w:rsidRDefault="005C7D38" w:rsidP="005973B9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/>
          <w:sz w:val="18"/>
          <w:szCs w:val="18"/>
        </w:rPr>
      </w:pPr>
      <w:r w:rsidRPr="005C7D38">
        <w:rPr>
          <w:rFonts w:asciiTheme="minorHAnsi" w:hAnsiTheme="minorHAnsi" w:cs="Arial"/>
          <w:sz w:val="18"/>
          <w:szCs w:val="18"/>
        </w:rPr>
        <w:t>A. A. Penzias and R. W. Wilson, “A Measurement of Excess Antenna Temperature at 4080 Mc/s”, Astrophysical</w:t>
      </w:r>
      <w:r>
        <w:rPr>
          <w:rFonts w:asciiTheme="minorHAnsi" w:hAnsiTheme="minorHAnsi" w:cs="Arial"/>
          <w:sz w:val="18"/>
          <w:szCs w:val="18"/>
        </w:rPr>
        <w:t xml:space="preserve"> </w:t>
      </w:r>
      <w:r w:rsidRPr="005C7D38">
        <w:rPr>
          <w:rFonts w:asciiTheme="minorHAnsi" w:hAnsiTheme="minorHAnsi" w:cs="Arial"/>
          <w:sz w:val="18"/>
          <w:szCs w:val="18"/>
        </w:rPr>
        <w:t>Journal, 142 (1965) 419</w:t>
      </w:r>
    </w:p>
    <w:p w:rsidR="005C7D38" w:rsidRPr="005C7D38" w:rsidRDefault="005C7D38" w:rsidP="005973B9">
      <w:pPr>
        <w:pStyle w:val="Akapitzlist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r w:rsidRPr="005C7D38">
        <w:rPr>
          <w:rFonts w:asciiTheme="minorHAnsi" w:hAnsiTheme="minorHAnsi" w:cs="Arial"/>
          <w:sz w:val="18"/>
          <w:szCs w:val="18"/>
        </w:rPr>
        <w:t>K. Greisen, “End to the Cosmic-Ray Spectrum?”, Physical Review Letters 16 (1966) 748[7]</w:t>
      </w:r>
    </w:p>
    <w:p w:rsidR="005C7D38" w:rsidRPr="005C7D38" w:rsidRDefault="005C7D38" w:rsidP="005973B9">
      <w:pPr>
        <w:pStyle w:val="Akapitzlist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r w:rsidRPr="005C7D38">
        <w:rPr>
          <w:rFonts w:asciiTheme="minorHAnsi" w:hAnsiTheme="minorHAnsi" w:cs="Arial"/>
          <w:sz w:val="18"/>
          <w:szCs w:val="18"/>
        </w:rPr>
        <w:t xml:space="preserve">G. T. </w:t>
      </w:r>
      <w:proofErr w:type="spellStart"/>
      <w:r w:rsidRPr="005C7D38">
        <w:rPr>
          <w:rFonts w:asciiTheme="minorHAnsi" w:hAnsiTheme="minorHAnsi" w:cs="Arial"/>
          <w:sz w:val="18"/>
          <w:szCs w:val="18"/>
        </w:rPr>
        <w:t>Zatsepin</w:t>
      </w:r>
      <w:proofErr w:type="spellEnd"/>
      <w:r w:rsidRPr="005C7D38">
        <w:rPr>
          <w:rFonts w:asciiTheme="minorHAnsi" w:hAnsiTheme="minorHAnsi" w:cs="Arial"/>
          <w:sz w:val="18"/>
          <w:szCs w:val="18"/>
        </w:rPr>
        <w:t xml:space="preserve"> and V. A. </w:t>
      </w:r>
      <w:proofErr w:type="spellStart"/>
      <w:r w:rsidRPr="005C7D38">
        <w:rPr>
          <w:rFonts w:asciiTheme="minorHAnsi" w:hAnsiTheme="minorHAnsi" w:cs="Arial"/>
          <w:sz w:val="18"/>
          <w:szCs w:val="18"/>
        </w:rPr>
        <w:t>Kuz’min,“Upper</w:t>
      </w:r>
      <w:proofErr w:type="spellEnd"/>
      <w:r w:rsidRPr="005C7D38">
        <w:rPr>
          <w:rFonts w:asciiTheme="minorHAnsi" w:hAnsiTheme="minorHAnsi" w:cs="Arial"/>
          <w:sz w:val="18"/>
          <w:szCs w:val="18"/>
        </w:rPr>
        <w:t xml:space="preserve"> Limit of the Spectrum of Cosmic Rays”, Journal of Experimental and</w:t>
      </w:r>
      <w:r>
        <w:rPr>
          <w:rFonts w:asciiTheme="minorHAnsi" w:hAnsiTheme="minorHAnsi" w:cs="Arial"/>
          <w:sz w:val="18"/>
          <w:szCs w:val="18"/>
        </w:rPr>
        <w:t xml:space="preserve"> </w:t>
      </w:r>
      <w:r w:rsidRPr="005C7D38">
        <w:rPr>
          <w:rFonts w:asciiTheme="minorHAnsi" w:hAnsiTheme="minorHAnsi" w:cs="Arial"/>
          <w:sz w:val="18"/>
          <w:szCs w:val="18"/>
        </w:rPr>
        <w:t>Theoretical Physics Letters 4 (1966) 78</w:t>
      </w:r>
    </w:p>
    <w:p w:rsidR="005973B9" w:rsidRPr="005C7D38" w:rsidRDefault="005C7D38" w:rsidP="005973B9">
      <w:pPr>
        <w:pStyle w:val="Akapitzlist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r w:rsidRPr="005C7D38">
        <w:rPr>
          <w:rFonts w:asciiTheme="minorHAnsi" w:hAnsiTheme="minorHAnsi" w:cs="Arial"/>
          <w:sz w:val="20"/>
          <w:szCs w:val="20"/>
        </w:rPr>
        <w:t>The Pierre Auger Collaboration, “The Pierre Auger Cosmic Ray Observatory”, Nuclear Instruments and Methods in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5C7D38">
        <w:rPr>
          <w:rFonts w:asciiTheme="minorHAnsi" w:hAnsiTheme="minorHAnsi" w:cs="Arial"/>
          <w:sz w:val="20"/>
          <w:szCs w:val="20"/>
        </w:rPr>
        <w:t>Physics Research A 798 (2015) 172</w:t>
      </w:r>
      <w:r w:rsidR="005973B9" w:rsidRPr="005C7D38">
        <w:rPr>
          <w:rFonts w:asciiTheme="minorHAnsi" w:hAnsiTheme="minorHAnsi"/>
          <w:sz w:val="20"/>
          <w:szCs w:val="20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kstpodstawowy"/>
        <w:rPr>
          <w:rFonts w:ascii="Calibri"/>
          <w:sz w:val="20"/>
        </w:rPr>
      </w:pPr>
    </w:p>
    <w:p w:rsidR="00AE3E37" w:rsidRDefault="00AE3E37">
      <w:pPr>
        <w:pStyle w:val="Tekstpodstawowy"/>
        <w:spacing w:line="40" w:lineRule="exact"/>
        <w:ind w:left="2202"/>
        <w:rPr>
          <w:rFonts w:ascii="Calibri"/>
          <w:sz w:val="4"/>
        </w:rPr>
      </w:pPr>
    </w:p>
    <w:p w:rsidR="009910DF" w:rsidRDefault="009910DF" w:rsidP="00404E5B">
      <w:pPr>
        <w:spacing w:before="92"/>
        <w:ind w:right="4234"/>
        <w:rPr>
          <w:noProof/>
        </w:rPr>
        <w:sectPr w:rsidR="009910DF" w:rsidSect="00CD6F55">
          <w:type w:val="continuous"/>
          <w:pgSz w:w="11910" w:h="16840"/>
          <w:pgMar w:top="1740" w:right="580" w:bottom="840" w:left="620" w:header="720" w:footer="720" w:gutter="0"/>
          <w:cols w:num="2" w:space="720" w:equalWidth="0">
            <w:col w:w="5214" w:space="138"/>
            <w:col w:w="5358"/>
          </w:cols>
        </w:sectPr>
      </w:pP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</w:t>
      </w:r>
      <w:r w:rsidR="009910DF">
        <w:rPr>
          <w:rFonts w:ascii="Arial"/>
          <w:noProof/>
        </w:rPr>
        <w:drawing>
          <wp:inline distT="0" distB="0" distL="0" distR="0" wp14:anchorId="16C17E77" wp14:editId="181D4B56">
            <wp:extent cx="883299" cy="1177704"/>
            <wp:effectExtent l="0" t="0" r="0" b="381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2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316" cy="117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BA2F5E">
        <w:rPr>
          <w:rFonts w:ascii="Arial"/>
          <w:color w:val="BF5A14"/>
        </w:rPr>
        <w:t xml:space="preserve">      </w:t>
      </w:r>
    </w:p>
    <w:p w:rsidR="00AE3E37" w:rsidRDefault="00BA2F5E" w:rsidP="005C7D38">
      <w:pPr>
        <w:widowControl/>
        <w:autoSpaceDE w:val="0"/>
        <w:autoSpaceDN w:val="0"/>
        <w:adjustRightInd w:val="0"/>
        <w:jc w:val="both"/>
        <w:rPr>
          <w:rFonts w:ascii="Minion Pro"/>
          <w:sz w:val="26"/>
        </w:rPr>
      </w:pPr>
      <w:r>
        <w:rPr>
          <w:rFonts w:ascii="NimbusRomNo9L-Medi" w:eastAsiaTheme="minorHAnsi" w:hAnsi="NimbusRomNo9L-Medi" w:cs="NimbusRomNo9L-Medi"/>
          <w:sz w:val="16"/>
          <w:szCs w:val="16"/>
        </w:rPr>
        <w:t xml:space="preserve">Zbigniew Szadkowski </w:t>
      </w:r>
      <w:r>
        <w:rPr>
          <w:rFonts w:ascii="NimbusRomNo9L-Regu" w:eastAsiaTheme="minorHAnsi" w:hAnsi="NimbusRomNo9L-Regu" w:cs="NimbusRomNo9L-Regu"/>
          <w:sz w:val="16"/>
          <w:szCs w:val="16"/>
        </w:rPr>
        <w:t xml:space="preserve">obtained in 1987 his PhD in Theoretical Physics at the University of </w:t>
      </w:r>
      <w:r>
        <w:rPr>
          <w:rFonts w:ascii="NimbusRomNo9L-Regu" w:eastAsiaTheme="minorHAnsi" w:hAnsi="NimbusRomNo9L-Regu" w:cs="NimbusRomNo9L-Regu"/>
          <w:sz w:val="16"/>
          <w:szCs w:val="16"/>
        </w:rPr>
        <w:t>Lodz</w:t>
      </w:r>
      <w:r>
        <w:rPr>
          <w:rFonts w:ascii="NimbusRomNo9L-Regu" w:eastAsiaTheme="minorHAnsi" w:hAnsi="NimbusRomNo9L-Regu" w:cs="NimbusRomNo9L-Regu"/>
          <w:sz w:val="16"/>
          <w:szCs w:val="16"/>
        </w:rPr>
        <w:t xml:space="preserve"> (Poland) based on thesis: “Quark mixing in the  SU(4) x SU(4) and SU(6) x SU(6) chiral symmetries”. In 2007 he obtained the </w:t>
      </w:r>
      <w:proofErr w:type="spellStart"/>
      <w:r>
        <w:rPr>
          <w:rFonts w:ascii="NimbusRomNo9L-Regu" w:eastAsiaTheme="minorHAnsi" w:hAnsi="NimbusRomNo9L-Regu" w:cs="NimbusRomNo9L-Regu"/>
          <w:sz w:val="16"/>
          <w:szCs w:val="16"/>
        </w:rPr>
        <w:t>D.Sci</w:t>
      </w:r>
      <w:proofErr w:type="spellEnd"/>
      <w:r>
        <w:rPr>
          <w:rFonts w:ascii="NimbusRomNo9L-Regu" w:eastAsiaTheme="minorHAnsi" w:hAnsi="NimbusRomNo9L-Regu" w:cs="NimbusRomNo9L-Regu"/>
          <w:sz w:val="16"/>
          <w:szCs w:val="16"/>
        </w:rPr>
        <w:t>. degree in Experimental Physics based on the thesis “Triggers in the Pierre Auger Observatory”. Since 1998 he has been working in the Pierre Auger Observatory designing</w:t>
      </w:r>
      <w:r>
        <w:rPr>
          <w:rFonts w:ascii="CMSY8" w:eastAsiaTheme="minorHAnsi" w:hAnsi="CMSY8" w:cs="CMSY8"/>
          <w:sz w:val="16"/>
          <w:szCs w:val="16"/>
        </w:rPr>
        <w:t xml:space="preserve"> </w:t>
      </w:r>
      <w:r>
        <w:rPr>
          <w:rFonts w:ascii="NimbusRomNo9L-Regu" w:eastAsiaTheme="minorHAnsi" w:hAnsi="NimbusRomNo9L-Regu" w:cs="NimbusRomNo9L-Regu"/>
          <w:sz w:val="16"/>
          <w:szCs w:val="16"/>
        </w:rPr>
        <w:t>the 2nd level trigger implemented in all 24 fluorescence telescopes, the 1st level trigger implemented in all 1680 surface detectors,</w:t>
      </w:r>
      <w:r>
        <w:rPr>
          <w:rFonts w:ascii="CMSY8" w:eastAsiaTheme="minorHAnsi" w:hAnsi="CMSY8" w:cs="CMSY8"/>
          <w:sz w:val="16"/>
          <w:szCs w:val="16"/>
        </w:rPr>
        <w:t xml:space="preserve"> </w:t>
      </w:r>
      <w:r>
        <w:rPr>
          <w:rFonts w:ascii="NimbusRomNo9L-Regu" w:eastAsiaTheme="minorHAnsi" w:hAnsi="NimbusRomNo9L-Regu" w:cs="NimbusRomNo9L-Regu"/>
          <w:sz w:val="16"/>
          <w:szCs w:val="16"/>
        </w:rPr>
        <w:t xml:space="preserve">the Front-End Boards with ACEX (800 pieces) and Cyclone (900 pieces) FPGAs, many algorithms for triggers. Within 1999-2002 worked in the Michigan Technological University (USA), 2002-2003 in College de France (Paris) and within 2003-2006 in </w:t>
      </w:r>
      <w:proofErr w:type="spellStart"/>
      <w:r>
        <w:rPr>
          <w:rFonts w:ascii="NimbusRomNo9L-Regu" w:eastAsiaTheme="minorHAnsi" w:hAnsi="NimbusRomNo9L-Regu" w:cs="NimbusRomNo9L-Regu"/>
          <w:sz w:val="16"/>
          <w:szCs w:val="16"/>
        </w:rPr>
        <w:t>Bergische</w:t>
      </w:r>
      <w:proofErr w:type="spellEnd"/>
      <w:r>
        <w:rPr>
          <w:rFonts w:ascii="NimbusRomNo9L-Regu" w:eastAsiaTheme="minorHAnsi" w:hAnsi="NimbusRomNo9L-Regu" w:cs="NimbusRomNo9L-Regu"/>
          <w:sz w:val="16"/>
          <w:szCs w:val="16"/>
        </w:rPr>
        <w:t xml:space="preserve"> University of Wuppertal (Germany) In Kandy his paper has been recognized as the best paper on the conference. Within 2014-2018 he was the head of Department of High-Energy Astrophysics.</w:t>
      </w:r>
      <w:r>
        <w:rPr>
          <w:rFonts w:ascii="NimbusRomNo9L-Regu" w:eastAsiaTheme="minorHAnsi" w:hAnsi="NimbusRomNo9L-Regu" w:cs="NimbusRomNo9L-Regu"/>
          <w:sz w:val="16"/>
          <w:szCs w:val="16"/>
        </w:rPr>
        <w:t xml:space="preserve"> </w:t>
      </w:r>
      <w:r w:rsidR="00A9710C">
        <w:rPr>
          <w:rFonts w:ascii="Arial"/>
          <w:sz w:val="14"/>
        </w:rPr>
        <w:t xml:space="preserve">Email: </w:t>
      </w:r>
      <w:hyperlink r:id="rId11" w:history="1">
        <w:r w:rsidRPr="002043F8">
          <w:rPr>
            <w:rStyle w:val="Hipercze"/>
            <w:rFonts w:ascii="Arial"/>
            <w:sz w:val="14"/>
          </w:rPr>
          <w:t>zbigniew.szadkowski@uni.lodz.pl</w:t>
        </w:r>
      </w:hyperlink>
    </w:p>
    <w:sectPr w:rsidR="00AE3E37" w:rsidSect="005C7D38">
      <w:type w:val="continuous"/>
      <w:pgSz w:w="11910" w:h="16840"/>
      <w:pgMar w:top="1740" w:right="580" w:bottom="840" w:left="620" w:header="720" w:footer="720" w:gutter="0"/>
      <w:cols w:space="1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D22" w:rsidRDefault="00B37D22">
      <w:r>
        <w:separator/>
      </w:r>
    </w:p>
  </w:endnote>
  <w:endnote w:type="continuationSeparator" w:id="0">
    <w:p w:rsidR="00B37D22" w:rsidRDefault="00B37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NimbusRomNo9L-Reg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RomNo9L-Me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SY8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D22" w:rsidRDefault="00B37D22">
      <w:r>
        <w:separator/>
      </w:r>
    </w:p>
  </w:footnote>
  <w:footnote w:type="continuationSeparator" w:id="0">
    <w:p w:rsidR="00B37D22" w:rsidRDefault="00B37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kstpodstawowy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kstpodstawowy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5C7D38"/>
    <w:rsid w:val="006060CE"/>
    <w:rsid w:val="0063497F"/>
    <w:rsid w:val="0076741D"/>
    <w:rsid w:val="00832AD9"/>
    <w:rsid w:val="00873DF0"/>
    <w:rsid w:val="008756E6"/>
    <w:rsid w:val="008A08B6"/>
    <w:rsid w:val="0091423B"/>
    <w:rsid w:val="009910DF"/>
    <w:rsid w:val="009B2D44"/>
    <w:rsid w:val="00A07E82"/>
    <w:rsid w:val="00A9710C"/>
    <w:rsid w:val="00AE3E37"/>
    <w:rsid w:val="00B21A57"/>
    <w:rsid w:val="00B37D22"/>
    <w:rsid w:val="00BA2F5E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zbigniew.szadkowski@uni.lodz.p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1075</Words>
  <Characters>6133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4</cp:revision>
  <dcterms:created xsi:type="dcterms:W3CDTF">2021-01-12T19:47:00Z</dcterms:created>
  <dcterms:modified xsi:type="dcterms:W3CDTF">2021-01-12T20:20:00Z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