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5635B7" w:rsidP="00E17694">
      <w:pPr>
        <w:pStyle w:val="1"/>
        <w:spacing w:before="170"/>
        <w:ind w:left="0"/>
      </w:pPr>
      <w:r>
        <w:rPr>
          <w:color w:val="337AB7"/>
        </w:rPr>
        <w:t>L</w:t>
      </w:r>
      <w:r w:rsidR="00E17694" w:rsidRPr="00E17694">
        <w:rPr>
          <w:color w:val="337AB7"/>
        </w:rPr>
        <w:t xml:space="preserve">uminescent composite </w:t>
      </w:r>
      <w:r>
        <w:rPr>
          <w:color w:val="337AB7"/>
        </w:rPr>
        <w:t>material</w:t>
      </w:r>
      <w:r w:rsidR="00E17694" w:rsidRPr="00E17694">
        <w:rPr>
          <w:color w:val="337AB7"/>
        </w:rPr>
        <w:t xml:space="preserve"> based on porous</w:t>
      </w:r>
      <w:r w:rsidR="00C23828">
        <w:rPr>
          <w:color w:val="337AB7"/>
        </w:rPr>
        <w:t xml:space="preserve"> </w:t>
      </w:r>
      <w:r w:rsidR="00E17694" w:rsidRPr="00E17694">
        <w:rPr>
          <w:color w:val="337AB7"/>
        </w:rPr>
        <w:t xml:space="preserve">silica </w:t>
      </w:r>
      <w:r>
        <w:rPr>
          <w:color w:val="337AB7"/>
        </w:rPr>
        <w:t xml:space="preserve">microspheres </w:t>
      </w:r>
      <w:r w:rsidR="00E17694" w:rsidRPr="00E17694">
        <w:rPr>
          <w:color w:val="337AB7"/>
        </w:rPr>
        <w:t>with embedded CsPbBr</w:t>
      </w:r>
      <w:r w:rsidR="00E17694" w:rsidRPr="00E05C62">
        <w:rPr>
          <w:color w:val="337AB7"/>
          <w:vertAlign w:val="subscript"/>
        </w:rPr>
        <w:t>3</w:t>
      </w:r>
      <w:r w:rsidR="00E17694" w:rsidRPr="00E17694">
        <w:rPr>
          <w:color w:val="337AB7"/>
        </w:rPr>
        <w:t xml:space="preserve"> perovskite nanocrystals</w:t>
      </w:r>
    </w:p>
    <w:p w:rsidR="00E17694" w:rsidRPr="00E17694" w:rsidRDefault="00E17694" w:rsidP="007A2AAB">
      <w:pPr>
        <w:pStyle w:val="a3"/>
        <w:spacing w:before="73" w:line="198" w:lineRule="exact"/>
        <w:ind w:left="102" w:right="5988"/>
        <w:rPr>
          <w:rFonts w:ascii="Arial"/>
        </w:rPr>
      </w:pPr>
      <w:r w:rsidRPr="00E17694">
        <w:rPr>
          <w:rFonts w:ascii="Arial"/>
        </w:rPr>
        <w:t xml:space="preserve">Sergei A </w:t>
      </w:r>
      <w:proofErr w:type="spellStart"/>
      <w:r w:rsidRPr="00E17694">
        <w:rPr>
          <w:rFonts w:ascii="Arial"/>
        </w:rPr>
        <w:t>Cherevkov</w:t>
      </w:r>
      <w:proofErr w:type="spellEnd"/>
      <w:r w:rsidRPr="00E17694">
        <w:rPr>
          <w:rFonts w:ascii="Arial"/>
        </w:rPr>
        <w:t xml:space="preserve">, PhD, ITMO University, </w:t>
      </w:r>
      <w:r>
        <w:rPr>
          <w:rFonts w:ascii="Arial"/>
        </w:rPr>
        <w:t>Russia</w:t>
      </w:r>
    </w:p>
    <w:p w:rsidR="00E17694" w:rsidRPr="00E45252" w:rsidRDefault="00E17694" w:rsidP="007A2AAB">
      <w:pPr>
        <w:pStyle w:val="a3"/>
        <w:spacing w:line="198" w:lineRule="exact"/>
        <w:ind w:left="102" w:right="5988"/>
        <w:rPr>
          <w:rFonts w:ascii="Arial"/>
        </w:rPr>
      </w:pPr>
      <w:r w:rsidRPr="00E17694">
        <w:rPr>
          <w:rFonts w:ascii="Arial"/>
        </w:rPr>
        <w:t>Elena V Ushakova, PhD, City University of Hong Kong</w:t>
      </w:r>
      <w:r w:rsidR="00E45252" w:rsidRPr="00E45252">
        <w:rPr>
          <w:rFonts w:ascii="Arial"/>
        </w:rPr>
        <w:t>, China</w:t>
      </w:r>
    </w:p>
    <w:p w:rsidR="00E17694" w:rsidRDefault="00E17694" w:rsidP="007A2AAB">
      <w:pPr>
        <w:pStyle w:val="a3"/>
        <w:spacing w:line="198" w:lineRule="exact"/>
        <w:ind w:left="102" w:right="5988"/>
        <w:rPr>
          <w:rFonts w:ascii="Arial"/>
        </w:rPr>
      </w:pPr>
      <w:proofErr w:type="spellStart"/>
      <w:r w:rsidRPr="00E17694">
        <w:rPr>
          <w:rFonts w:ascii="Arial"/>
        </w:rPr>
        <w:t>Anastasiia</w:t>
      </w:r>
      <w:proofErr w:type="spellEnd"/>
      <w:r w:rsidRPr="00E17694">
        <w:rPr>
          <w:rFonts w:ascii="Arial"/>
        </w:rPr>
        <w:t xml:space="preserve"> V </w:t>
      </w:r>
      <w:proofErr w:type="spellStart"/>
      <w:r w:rsidRPr="00E17694">
        <w:rPr>
          <w:rFonts w:ascii="Arial"/>
        </w:rPr>
        <w:t>Sokolova</w:t>
      </w:r>
      <w:proofErr w:type="spellEnd"/>
      <w:r w:rsidRPr="00E17694">
        <w:rPr>
          <w:rFonts w:ascii="Arial"/>
        </w:rPr>
        <w:t xml:space="preserve">, </w:t>
      </w:r>
      <w:r w:rsidR="00E45252" w:rsidRPr="00E17694">
        <w:rPr>
          <w:rFonts w:ascii="Arial"/>
        </w:rPr>
        <w:t xml:space="preserve">ITMO University, </w:t>
      </w:r>
      <w:r w:rsidR="00E45252">
        <w:rPr>
          <w:rFonts w:ascii="Arial"/>
        </w:rPr>
        <w:t>Russia</w:t>
      </w:r>
    </w:p>
    <w:p w:rsidR="00E17694" w:rsidRPr="00E17694" w:rsidRDefault="00E17694" w:rsidP="007A2AAB">
      <w:pPr>
        <w:pStyle w:val="a3"/>
        <w:spacing w:line="198" w:lineRule="exact"/>
        <w:ind w:left="102" w:right="5988"/>
        <w:rPr>
          <w:rFonts w:ascii="Arial"/>
        </w:rPr>
      </w:pPr>
      <w:proofErr w:type="spellStart"/>
      <w:r w:rsidRPr="00E17694">
        <w:rPr>
          <w:rFonts w:ascii="Arial"/>
        </w:rPr>
        <w:t>Yanxiu</w:t>
      </w:r>
      <w:proofErr w:type="spellEnd"/>
      <w:r w:rsidRPr="00E17694">
        <w:rPr>
          <w:rFonts w:ascii="Arial"/>
        </w:rPr>
        <w:t xml:space="preserve"> Li</w:t>
      </w:r>
      <w:r w:rsidR="00C23828" w:rsidRPr="00C23828">
        <w:rPr>
          <w:rFonts w:ascii="Arial"/>
        </w:rPr>
        <w:t>, PhD, City University of Hong Kong, China</w:t>
      </w:r>
    </w:p>
    <w:p w:rsidR="00E17694" w:rsidRPr="00E17694" w:rsidRDefault="00E17694" w:rsidP="007A2AAB">
      <w:pPr>
        <w:pStyle w:val="a3"/>
        <w:spacing w:line="198" w:lineRule="exact"/>
        <w:ind w:left="102" w:right="5988"/>
        <w:rPr>
          <w:rFonts w:ascii="Arial"/>
        </w:rPr>
      </w:pPr>
      <w:proofErr w:type="spellStart"/>
      <w:r w:rsidRPr="00E17694">
        <w:rPr>
          <w:rFonts w:ascii="Arial"/>
        </w:rPr>
        <w:t>Ruslan</w:t>
      </w:r>
      <w:proofErr w:type="spellEnd"/>
      <w:r w:rsidRPr="00E17694">
        <w:rPr>
          <w:rFonts w:ascii="Arial"/>
        </w:rPr>
        <w:t xml:space="preserve"> R </w:t>
      </w:r>
      <w:proofErr w:type="spellStart"/>
      <w:r w:rsidRPr="00E17694">
        <w:rPr>
          <w:rFonts w:ascii="Arial"/>
        </w:rPr>
        <w:t>Azizov</w:t>
      </w:r>
      <w:proofErr w:type="spellEnd"/>
      <w:r w:rsidR="00E45252" w:rsidRPr="00E45252">
        <w:rPr>
          <w:rFonts w:ascii="Arial"/>
        </w:rPr>
        <w:t xml:space="preserve">, </w:t>
      </w:r>
      <w:r w:rsidR="00E45252" w:rsidRPr="00E17694">
        <w:rPr>
          <w:rFonts w:ascii="Arial"/>
        </w:rPr>
        <w:t xml:space="preserve">ITMO University, </w:t>
      </w:r>
      <w:r w:rsidR="00E45252">
        <w:rPr>
          <w:rFonts w:ascii="Arial"/>
        </w:rPr>
        <w:t>Russia</w:t>
      </w:r>
    </w:p>
    <w:p w:rsidR="00E17694" w:rsidRPr="00E17694" w:rsidRDefault="00E17694" w:rsidP="007A2AAB">
      <w:pPr>
        <w:pStyle w:val="a3"/>
        <w:spacing w:line="198" w:lineRule="exact"/>
        <w:ind w:left="102" w:right="5988"/>
        <w:rPr>
          <w:rFonts w:ascii="Arial"/>
        </w:rPr>
      </w:pPr>
      <w:r w:rsidRPr="00E17694">
        <w:rPr>
          <w:rFonts w:ascii="Arial"/>
        </w:rPr>
        <w:t xml:space="preserve">Dmitry A </w:t>
      </w:r>
      <w:proofErr w:type="spellStart"/>
      <w:r w:rsidRPr="00E17694">
        <w:rPr>
          <w:rFonts w:ascii="Arial"/>
        </w:rPr>
        <w:t>Kurdyukov</w:t>
      </w:r>
      <w:proofErr w:type="spellEnd"/>
      <w:r w:rsidR="009D097E">
        <w:rPr>
          <w:rFonts w:ascii="Arial"/>
        </w:rPr>
        <w:t xml:space="preserve">, </w:t>
      </w:r>
      <w:r w:rsidR="00E05C62">
        <w:rPr>
          <w:rFonts w:ascii="Arial"/>
        </w:rPr>
        <w:t xml:space="preserve">PhD, </w:t>
      </w:r>
      <w:proofErr w:type="spellStart"/>
      <w:r w:rsidR="009D097E" w:rsidRPr="009D097E">
        <w:rPr>
          <w:rFonts w:ascii="Arial"/>
        </w:rPr>
        <w:t>Ioffe</w:t>
      </w:r>
      <w:proofErr w:type="spellEnd"/>
      <w:r w:rsidR="009D097E" w:rsidRPr="009D097E">
        <w:rPr>
          <w:rFonts w:ascii="Arial"/>
        </w:rPr>
        <w:t xml:space="preserve"> Institute</w:t>
      </w:r>
      <w:r w:rsidR="00C23828">
        <w:rPr>
          <w:rFonts w:ascii="Arial"/>
        </w:rPr>
        <w:t>, Russia</w:t>
      </w:r>
    </w:p>
    <w:p w:rsidR="00E17694" w:rsidRPr="00E17694" w:rsidRDefault="00E17694" w:rsidP="007A2AAB">
      <w:pPr>
        <w:pStyle w:val="a3"/>
        <w:spacing w:line="198" w:lineRule="exact"/>
        <w:ind w:left="102" w:right="5988"/>
        <w:rPr>
          <w:rFonts w:ascii="Arial"/>
        </w:rPr>
      </w:pPr>
      <w:r w:rsidRPr="00E17694">
        <w:rPr>
          <w:rFonts w:ascii="Arial"/>
        </w:rPr>
        <w:t xml:space="preserve">Ekaterina Yu </w:t>
      </w:r>
      <w:proofErr w:type="spellStart"/>
      <w:r w:rsidRPr="00E17694">
        <w:rPr>
          <w:rFonts w:ascii="Arial"/>
        </w:rPr>
        <w:t>Stovpiaga</w:t>
      </w:r>
      <w:proofErr w:type="spellEnd"/>
      <w:r w:rsidR="00C23828">
        <w:rPr>
          <w:rFonts w:ascii="Arial"/>
        </w:rPr>
        <w:t xml:space="preserve">, </w:t>
      </w:r>
      <w:r w:rsidR="00E05C62">
        <w:rPr>
          <w:rFonts w:ascii="Arial"/>
        </w:rPr>
        <w:t xml:space="preserve">PhD, </w:t>
      </w:r>
      <w:proofErr w:type="spellStart"/>
      <w:r w:rsidR="00C23828" w:rsidRPr="00C23828">
        <w:rPr>
          <w:rFonts w:ascii="Arial"/>
        </w:rPr>
        <w:t>Ioffe</w:t>
      </w:r>
      <w:proofErr w:type="spellEnd"/>
      <w:r w:rsidR="00C23828" w:rsidRPr="00C23828">
        <w:rPr>
          <w:rFonts w:ascii="Arial"/>
        </w:rPr>
        <w:t xml:space="preserve"> Institute, Russia</w:t>
      </w:r>
    </w:p>
    <w:p w:rsidR="00E17694" w:rsidRPr="00E17694" w:rsidRDefault="00E17694" w:rsidP="007A2AAB">
      <w:pPr>
        <w:pStyle w:val="a3"/>
        <w:spacing w:line="198" w:lineRule="exact"/>
        <w:ind w:left="102" w:right="5988"/>
        <w:rPr>
          <w:rFonts w:ascii="Arial"/>
        </w:rPr>
      </w:pPr>
      <w:r w:rsidRPr="00E17694">
        <w:rPr>
          <w:rFonts w:ascii="Arial"/>
        </w:rPr>
        <w:t xml:space="preserve">Valery G </w:t>
      </w:r>
      <w:proofErr w:type="spellStart"/>
      <w:r w:rsidRPr="00E17694">
        <w:rPr>
          <w:rFonts w:ascii="Arial"/>
        </w:rPr>
        <w:t>Golubev</w:t>
      </w:r>
      <w:proofErr w:type="spellEnd"/>
      <w:r w:rsidR="00C23828">
        <w:rPr>
          <w:rFonts w:ascii="Arial"/>
        </w:rPr>
        <w:t xml:space="preserve">, </w:t>
      </w:r>
      <w:r w:rsidR="00C23828" w:rsidRPr="00C23828">
        <w:rPr>
          <w:rFonts w:ascii="Arial"/>
        </w:rPr>
        <w:t>Prof. Dr.</w:t>
      </w:r>
      <w:r w:rsidR="00C23828">
        <w:rPr>
          <w:rFonts w:ascii="Arial"/>
        </w:rPr>
        <w:t xml:space="preserve">, </w:t>
      </w:r>
      <w:proofErr w:type="spellStart"/>
      <w:r w:rsidR="00C23828" w:rsidRPr="00C23828">
        <w:rPr>
          <w:rFonts w:ascii="Arial"/>
        </w:rPr>
        <w:t>Ioffe</w:t>
      </w:r>
      <w:proofErr w:type="spellEnd"/>
      <w:r w:rsidR="00C23828" w:rsidRPr="00C23828">
        <w:rPr>
          <w:rFonts w:ascii="Arial"/>
        </w:rPr>
        <w:t xml:space="preserve"> Institute, Russia</w:t>
      </w:r>
    </w:p>
    <w:p w:rsidR="00E17694" w:rsidRPr="00E17694" w:rsidRDefault="00E17694" w:rsidP="007A2AAB">
      <w:pPr>
        <w:pStyle w:val="a3"/>
        <w:spacing w:line="198" w:lineRule="exact"/>
        <w:ind w:left="102" w:right="5988"/>
        <w:rPr>
          <w:rFonts w:ascii="Arial"/>
        </w:rPr>
      </w:pPr>
      <w:proofErr w:type="spellStart"/>
      <w:r w:rsidRPr="00E17694">
        <w:rPr>
          <w:rFonts w:ascii="Arial"/>
        </w:rPr>
        <w:t>Andrey</w:t>
      </w:r>
      <w:proofErr w:type="spellEnd"/>
      <w:r w:rsidRPr="00E17694">
        <w:rPr>
          <w:rFonts w:ascii="Arial"/>
        </w:rPr>
        <w:t xml:space="preserve"> L </w:t>
      </w:r>
      <w:proofErr w:type="spellStart"/>
      <w:r w:rsidRPr="00E17694">
        <w:rPr>
          <w:rFonts w:ascii="Arial"/>
        </w:rPr>
        <w:t>Rogach</w:t>
      </w:r>
      <w:proofErr w:type="spellEnd"/>
      <w:r w:rsidR="00C23828" w:rsidRPr="00C23828">
        <w:rPr>
          <w:rFonts w:ascii="Arial"/>
        </w:rPr>
        <w:t>, Prof. Dr., City University of Hong Kong, China</w:t>
      </w:r>
    </w:p>
    <w:p w:rsidR="00E17694" w:rsidRDefault="00E17694" w:rsidP="007A2AAB">
      <w:pPr>
        <w:pStyle w:val="a3"/>
        <w:spacing w:line="198" w:lineRule="exact"/>
        <w:ind w:left="102" w:right="5988"/>
        <w:rPr>
          <w:rFonts w:ascii="Arial"/>
        </w:rPr>
      </w:pPr>
      <w:r w:rsidRPr="00E17694">
        <w:rPr>
          <w:rFonts w:ascii="Arial"/>
        </w:rPr>
        <w:t>Alexander V Baranov</w:t>
      </w:r>
      <w:r>
        <w:rPr>
          <w:rFonts w:ascii="Arial"/>
        </w:rPr>
        <w:t xml:space="preserve">, </w:t>
      </w:r>
      <w:r w:rsidRPr="00E17694">
        <w:rPr>
          <w:rFonts w:ascii="Arial"/>
        </w:rPr>
        <w:t>Prof. Dr., ITMO University, Russia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9E2629" w:rsidRDefault="005B50DB" w:rsidP="009F39D4">
      <w:pPr>
        <w:pStyle w:val="3"/>
        <w:spacing w:before="90" w:line="281" w:lineRule="auto"/>
        <w:ind w:left="102"/>
        <w:jc w:val="both"/>
      </w:pPr>
      <w:r w:rsidRPr="009F39D4">
        <w:rPr>
          <w:rFonts w:ascii="Tw Cen MT" w:eastAsia="Tw Cen MT" w:hAnsi="Tw Cen MT" w:cs="Tw Cen MT"/>
          <w:b w:val="0"/>
          <w:bCs w:val="0"/>
          <w:sz w:val="18"/>
          <w:szCs w:val="18"/>
        </w:rPr>
        <w:t xml:space="preserve">Lead halide perovskite nanocrystals are attracting a lot of attention due to their superior optical properties, such as narrow emission </w:t>
      </w:r>
      <w:r w:rsidR="00E05C62">
        <w:rPr>
          <w:rFonts w:ascii="Tw Cen MT" w:eastAsia="Tw Cen MT" w:hAnsi="Tw Cen MT" w:cs="Tw Cen MT"/>
          <w:b w:val="0"/>
          <w:bCs w:val="0"/>
          <w:sz w:val="18"/>
          <w:szCs w:val="18"/>
        </w:rPr>
        <w:t>bandwidths</w:t>
      </w:r>
      <w:r w:rsidRPr="009F39D4">
        <w:rPr>
          <w:rFonts w:ascii="Tw Cen MT" w:eastAsia="Tw Cen MT" w:hAnsi="Tw Cen MT" w:cs="Tw Cen MT"/>
          <w:b w:val="0"/>
          <w:bCs w:val="0"/>
          <w:sz w:val="18"/>
          <w:szCs w:val="18"/>
        </w:rPr>
        <w:t xml:space="preserve"> and high photoluminescence quantum yields</w:t>
      </w:r>
      <w:r w:rsidR="002E2E96" w:rsidRPr="009F39D4">
        <w:rPr>
          <w:rFonts w:ascii="Tw Cen MT" w:eastAsia="Tw Cen MT" w:hAnsi="Tw Cen MT" w:cs="Tw Cen MT"/>
          <w:b w:val="0"/>
          <w:bCs w:val="0"/>
          <w:sz w:val="18"/>
          <w:szCs w:val="18"/>
        </w:rPr>
        <w:t xml:space="preserve"> </w:t>
      </w:r>
      <w:r w:rsidR="002E2E96" w:rsidRPr="00B760BB">
        <w:rPr>
          <w:rFonts w:ascii="Tw Cen MT" w:eastAsia="Tw Cen MT" w:hAnsi="Tw Cen MT" w:cs="Tw Cen MT"/>
          <w:b w:val="0"/>
          <w:bCs w:val="0"/>
          <w:sz w:val="18"/>
          <w:szCs w:val="18"/>
        </w:rPr>
        <w:t>[1]</w:t>
      </w:r>
      <w:r w:rsidRPr="00B760BB">
        <w:rPr>
          <w:rFonts w:ascii="Tw Cen MT" w:eastAsia="Tw Cen MT" w:hAnsi="Tw Cen MT" w:cs="Tw Cen MT"/>
          <w:b w:val="0"/>
          <w:bCs w:val="0"/>
          <w:sz w:val="18"/>
          <w:szCs w:val="18"/>
        </w:rPr>
        <w:t>.</w:t>
      </w:r>
      <w:r w:rsidR="002E2E96" w:rsidRPr="009F39D4">
        <w:rPr>
          <w:rFonts w:ascii="Tw Cen MT" w:hAnsi="Tw Cen MT"/>
        </w:rPr>
        <w:t xml:space="preserve"> </w:t>
      </w:r>
      <w:r w:rsidR="002E2E96" w:rsidRPr="009F39D4">
        <w:rPr>
          <w:rFonts w:ascii="Tw Cen MT" w:eastAsia="Tw Cen MT" w:hAnsi="Tw Cen MT" w:cs="Tw Cen MT"/>
          <w:b w:val="0"/>
          <w:bCs w:val="0"/>
          <w:sz w:val="18"/>
          <w:szCs w:val="18"/>
        </w:rPr>
        <w:t xml:space="preserve">This can be useful for the development of coherent light sources for the visualization in highly scattering media such as biological </w:t>
      </w:r>
      <w:r w:rsidR="00E05C62" w:rsidRPr="009D097E">
        <w:rPr>
          <w:rFonts w:ascii="Tw Cen MT" w:eastAsia="Tw Cen MT" w:hAnsi="Tw Cen MT" w:cs="Tw Cen MT"/>
          <w:b w:val="0"/>
          <w:bCs w:val="0"/>
          <w:sz w:val="18"/>
          <w:szCs w:val="18"/>
        </w:rPr>
        <w:t>[2</w:t>
      </w:r>
      <w:proofErr w:type="gramStart"/>
      <w:r w:rsidR="00E05C62">
        <w:rPr>
          <w:rFonts w:ascii="Tw Cen MT" w:eastAsia="Tw Cen MT" w:hAnsi="Tw Cen MT" w:cs="Tw Cen MT"/>
          <w:b w:val="0"/>
          <w:bCs w:val="0"/>
          <w:sz w:val="18"/>
          <w:szCs w:val="18"/>
        </w:rPr>
        <w:t>,3</w:t>
      </w:r>
      <w:proofErr w:type="gramEnd"/>
      <w:r w:rsidR="00E05C62" w:rsidRPr="009D097E">
        <w:rPr>
          <w:rFonts w:ascii="Tw Cen MT" w:eastAsia="Tw Cen MT" w:hAnsi="Tw Cen MT" w:cs="Tw Cen MT"/>
          <w:b w:val="0"/>
          <w:bCs w:val="0"/>
          <w:sz w:val="18"/>
          <w:szCs w:val="18"/>
        </w:rPr>
        <w:t>]</w:t>
      </w:r>
      <w:r w:rsidR="002E2E96" w:rsidRPr="009F39D4">
        <w:rPr>
          <w:rFonts w:ascii="Tw Cen MT" w:eastAsia="Tw Cen MT" w:hAnsi="Tw Cen MT" w:cs="Tw Cen MT"/>
          <w:b w:val="0"/>
          <w:bCs w:val="0"/>
          <w:sz w:val="18"/>
          <w:szCs w:val="18"/>
        </w:rPr>
        <w:t>.</w:t>
      </w:r>
      <w:r w:rsidRPr="009F39D4">
        <w:rPr>
          <w:rFonts w:ascii="Tw Cen MT" w:eastAsia="Tw Cen MT" w:hAnsi="Tw Cen MT" w:cs="Tw Cen MT"/>
          <w:b w:val="0"/>
          <w:bCs w:val="0"/>
          <w:sz w:val="18"/>
          <w:szCs w:val="18"/>
        </w:rPr>
        <w:t xml:space="preserve"> Still, they are far from </w:t>
      </w:r>
      <w:r w:rsidR="00E05C62" w:rsidRPr="00E05C62">
        <w:rPr>
          <w:rFonts w:ascii="Tw Cen MT" w:eastAsia="Tw Cen MT" w:hAnsi="Tw Cen MT"/>
          <w:b w:val="0"/>
          <w:bCs w:val="0"/>
          <w:sz w:val="18"/>
          <w:szCs w:val="18"/>
        </w:rPr>
        <w:t>utilization</w:t>
      </w:r>
      <w:r w:rsidR="009E2629">
        <w:rPr>
          <w:rFonts w:ascii="Tw Cen MT" w:eastAsia="Tw Cen MT" w:hAnsi="Tw Cen MT" w:cs="Tw Cen MT"/>
          <w:b w:val="0"/>
          <w:bCs w:val="0"/>
          <w:sz w:val="18"/>
          <w:szCs w:val="18"/>
        </w:rPr>
        <w:t>, since they can rather easily</w:t>
      </w:r>
      <w:r w:rsidRPr="009F39D4">
        <w:rPr>
          <w:rFonts w:ascii="Tw Cen MT" w:eastAsia="Tw Cen MT" w:hAnsi="Tw Cen MT" w:cs="Tw Cen MT"/>
          <w:b w:val="0"/>
          <w:bCs w:val="0"/>
          <w:sz w:val="18"/>
          <w:szCs w:val="18"/>
        </w:rPr>
        <w:t xml:space="preserve"> degrade under ambient conditions</w:t>
      </w:r>
      <w:r w:rsidR="002E2E96" w:rsidRPr="009F39D4">
        <w:rPr>
          <w:rFonts w:ascii="Tw Cen MT" w:eastAsia="Tw Cen MT" w:hAnsi="Tw Cen MT" w:cs="Tw Cen MT"/>
          <w:b w:val="0"/>
          <w:bCs w:val="0"/>
          <w:sz w:val="18"/>
          <w:szCs w:val="18"/>
        </w:rPr>
        <w:t xml:space="preserve"> </w:t>
      </w:r>
      <w:r w:rsidR="002E2E96" w:rsidRPr="00C23828">
        <w:rPr>
          <w:rFonts w:ascii="Tw Cen MT" w:eastAsia="Tw Cen MT" w:hAnsi="Tw Cen MT" w:cs="Tw Cen MT"/>
          <w:b w:val="0"/>
          <w:bCs w:val="0"/>
          <w:sz w:val="18"/>
          <w:szCs w:val="18"/>
        </w:rPr>
        <w:t>[</w:t>
      </w:r>
      <w:r w:rsidR="00E05C62">
        <w:rPr>
          <w:rFonts w:ascii="Tw Cen MT" w:eastAsia="Tw Cen MT" w:hAnsi="Tw Cen MT" w:cs="Tw Cen MT"/>
          <w:b w:val="0"/>
          <w:bCs w:val="0"/>
          <w:sz w:val="18"/>
          <w:szCs w:val="18"/>
        </w:rPr>
        <w:t>4</w:t>
      </w:r>
      <w:r w:rsidR="002E2E96" w:rsidRPr="00C23828">
        <w:rPr>
          <w:rFonts w:ascii="Tw Cen MT" w:eastAsia="Tw Cen MT" w:hAnsi="Tw Cen MT" w:cs="Tw Cen MT"/>
          <w:b w:val="0"/>
          <w:bCs w:val="0"/>
          <w:sz w:val="18"/>
          <w:szCs w:val="18"/>
        </w:rPr>
        <w:t>]</w:t>
      </w:r>
      <w:r w:rsidRPr="00C23828">
        <w:rPr>
          <w:rFonts w:ascii="Tw Cen MT" w:eastAsia="Tw Cen MT" w:hAnsi="Tw Cen MT" w:cs="Tw Cen MT"/>
          <w:b w:val="0"/>
          <w:bCs w:val="0"/>
          <w:sz w:val="18"/>
          <w:szCs w:val="18"/>
        </w:rPr>
        <w:t>,</w:t>
      </w:r>
      <w:r w:rsidRPr="009F39D4">
        <w:rPr>
          <w:rFonts w:ascii="Tw Cen MT" w:eastAsia="Tw Cen MT" w:hAnsi="Tw Cen MT" w:cs="Tw Cen MT"/>
          <w:b w:val="0"/>
          <w:bCs w:val="0"/>
          <w:sz w:val="18"/>
          <w:szCs w:val="18"/>
        </w:rPr>
        <w:t xml:space="preserve"> </w:t>
      </w:r>
      <w:r w:rsidR="00E05C62">
        <w:rPr>
          <w:rFonts w:ascii="Tw Cen MT" w:eastAsia="Tw Cen MT" w:hAnsi="Tw Cen MT" w:cs="Tw Cen MT"/>
          <w:b w:val="0"/>
          <w:bCs w:val="0"/>
          <w:sz w:val="18"/>
          <w:szCs w:val="18"/>
        </w:rPr>
        <w:t>in particular,</w:t>
      </w:r>
      <w:r w:rsidRPr="009F39D4">
        <w:rPr>
          <w:rFonts w:ascii="Tw Cen MT" w:eastAsia="Tw Cen MT" w:hAnsi="Tw Cen MT" w:cs="Tw Cen MT"/>
          <w:b w:val="0"/>
          <w:bCs w:val="0"/>
          <w:sz w:val="18"/>
          <w:szCs w:val="18"/>
        </w:rPr>
        <w:t xml:space="preserve"> at high humidity, temperature, and UV light exposure</w:t>
      </w:r>
      <w:r w:rsidR="00E05C62">
        <w:rPr>
          <w:rFonts w:ascii="Tw Cen MT" w:eastAsia="Tw Cen MT" w:hAnsi="Tw Cen MT" w:cs="Tw Cen MT"/>
          <w:b w:val="0"/>
          <w:bCs w:val="0"/>
          <w:sz w:val="18"/>
          <w:szCs w:val="18"/>
        </w:rPr>
        <w:t>. This</w:t>
      </w:r>
      <w:r w:rsidRPr="009F39D4">
        <w:rPr>
          <w:rFonts w:ascii="Tw Cen MT" w:eastAsia="Tw Cen MT" w:hAnsi="Tw Cen MT" w:cs="Tw Cen MT"/>
          <w:b w:val="0"/>
          <w:bCs w:val="0"/>
          <w:sz w:val="18"/>
          <w:szCs w:val="18"/>
        </w:rPr>
        <w:t xml:space="preserve"> has triggered </w:t>
      </w:r>
      <w:r w:rsidR="009E2629">
        <w:rPr>
          <w:rFonts w:ascii="Tw Cen MT" w:eastAsia="Tw Cen MT" w:hAnsi="Tw Cen MT" w:cs="Tw Cen MT"/>
          <w:b w:val="0"/>
          <w:bCs w:val="0"/>
          <w:sz w:val="18"/>
          <w:szCs w:val="18"/>
        </w:rPr>
        <w:t xml:space="preserve">an </w:t>
      </w:r>
      <w:r w:rsidRPr="009F39D4">
        <w:rPr>
          <w:rFonts w:ascii="Tw Cen MT" w:eastAsia="Tw Cen MT" w:hAnsi="Tw Cen MT" w:cs="Tw Cen MT"/>
          <w:b w:val="0"/>
          <w:bCs w:val="0"/>
          <w:sz w:val="18"/>
          <w:szCs w:val="18"/>
        </w:rPr>
        <w:t>on-going search for suitable protective host matrices</w:t>
      </w:r>
      <w:r w:rsidR="00E05C62">
        <w:rPr>
          <w:rFonts w:ascii="Tw Cen MT" w:eastAsia="Tw Cen MT" w:hAnsi="Tw Cen MT" w:cs="Tw Cen MT"/>
          <w:b w:val="0"/>
          <w:bCs w:val="0"/>
          <w:sz w:val="18"/>
          <w:szCs w:val="18"/>
        </w:rPr>
        <w:t xml:space="preserve"> [5]</w:t>
      </w:r>
      <w:r w:rsidRPr="009F39D4">
        <w:rPr>
          <w:rFonts w:ascii="Tw Cen MT" w:eastAsia="Tw Cen MT" w:hAnsi="Tw Cen MT" w:cs="Tw Cen MT"/>
          <w:b w:val="0"/>
          <w:bCs w:val="0"/>
          <w:sz w:val="18"/>
          <w:szCs w:val="18"/>
        </w:rPr>
        <w:t>. We report a luminescent composite material based on porous silica microspheres (0.5 µm in diameter) with embedded CsPbBr</w:t>
      </w:r>
      <w:r w:rsidRPr="00E05C62">
        <w:rPr>
          <w:rFonts w:ascii="Tw Cen MT" w:eastAsia="Tw Cen MT" w:hAnsi="Tw Cen MT" w:cs="Tw Cen MT"/>
          <w:b w:val="0"/>
          <w:bCs w:val="0"/>
          <w:sz w:val="18"/>
          <w:szCs w:val="18"/>
          <w:vertAlign w:val="subscript"/>
        </w:rPr>
        <w:t>3</w:t>
      </w:r>
      <w:r w:rsidRPr="009F39D4">
        <w:rPr>
          <w:rFonts w:ascii="Tw Cen MT" w:eastAsia="Tw Cen MT" w:hAnsi="Tw Cen MT" w:cs="Tw Cen MT"/>
          <w:b w:val="0"/>
          <w:bCs w:val="0"/>
          <w:sz w:val="18"/>
          <w:szCs w:val="18"/>
        </w:rPr>
        <w:t xml:space="preserve"> perovskite nanocrystals. This composite shows increased stability in terms of preserving photoluminescence of the CsPbBr</w:t>
      </w:r>
      <w:r w:rsidRPr="00E05C62">
        <w:rPr>
          <w:rFonts w:ascii="Tw Cen MT" w:eastAsia="Tw Cen MT" w:hAnsi="Tw Cen MT" w:cs="Tw Cen MT"/>
          <w:b w:val="0"/>
          <w:bCs w:val="0"/>
          <w:sz w:val="18"/>
          <w:szCs w:val="18"/>
          <w:vertAlign w:val="subscript"/>
        </w:rPr>
        <w:t>3</w:t>
      </w:r>
      <w:r w:rsidRPr="009F39D4">
        <w:rPr>
          <w:rFonts w:ascii="Tw Cen MT" w:eastAsia="Tw Cen MT" w:hAnsi="Tw Cen MT" w:cs="Tw Cen MT"/>
          <w:b w:val="0"/>
          <w:bCs w:val="0"/>
          <w:sz w:val="18"/>
          <w:szCs w:val="18"/>
        </w:rPr>
        <w:t xml:space="preserve"> nanocrystals, while further encapsulation in polymer shells using sequential </w:t>
      </w:r>
      <w:r w:rsidR="00C23828" w:rsidRPr="009F39D4">
        <w:rPr>
          <w:rFonts w:ascii="Tw Cen MT" w:eastAsia="Tw Cen MT" w:hAnsi="Tw Cen MT" w:cs="Tw Cen MT"/>
          <w:b w:val="0"/>
          <w:bCs w:val="0"/>
          <w:sz w:val="18"/>
          <w:szCs w:val="18"/>
        </w:rPr>
        <w:t>layer</w:t>
      </w:r>
      <w:r w:rsidR="00C23828">
        <w:rPr>
          <w:rFonts w:ascii="Tw Cen MT" w:eastAsia="Tw Cen MT" w:hAnsi="Tw Cen MT" w:cs="Tw Cen MT"/>
          <w:b w:val="0"/>
          <w:bCs w:val="0"/>
          <w:sz w:val="18"/>
          <w:szCs w:val="18"/>
        </w:rPr>
        <w:t>-</w:t>
      </w:r>
      <w:r w:rsidR="00C23828" w:rsidRPr="009F39D4">
        <w:rPr>
          <w:rFonts w:ascii="Tw Cen MT" w:eastAsia="Tw Cen MT" w:hAnsi="Tw Cen MT" w:cs="Tw Cen MT"/>
          <w:b w:val="0"/>
          <w:bCs w:val="0"/>
          <w:sz w:val="18"/>
          <w:szCs w:val="18"/>
        </w:rPr>
        <w:t>by</w:t>
      </w:r>
      <w:r w:rsidRPr="009F39D4">
        <w:rPr>
          <w:rFonts w:ascii="Tw Cen MT" w:eastAsia="Tw Cen MT" w:hAnsi="Tw Cen MT" w:cs="Tw Cen MT"/>
          <w:b w:val="0"/>
          <w:bCs w:val="0"/>
          <w:sz w:val="18"/>
          <w:szCs w:val="18"/>
        </w:rPr>
        <w:t xml:space="preserve">-layer </w:t>
      </w:r>
      <w:r w:rsidR="009E2629">
        <w:rPr>
          <w:rFonts w:ascii="Tw Cen MT" w:eastAsia="Tw Cen MT" w:hAnsi="Tw Cen MT" w:cs="Tw Cen MT"/>
          <w:b w:val="0"/>
          <w:bCs w:val="0"/>
          <w:sz w:val="18"/>
          <w:szCs w:val="18"/>
        </w:rPr>
        <w:t>(</w:t>
      </w:r>
      <w:proofErr w:type="spellStart"/>
      <w:r w:rsidR="009E2629">
        <w:rPr>
          <w:rFonts w:ascii="Tw Cen MT" w:eastAsia="Tw Cen MT" w:hAnsi="Tw Cen MT" w:cs="Tw Cen MT"/>
          <w:b w:val="0"/>
          <w:bCs w:val="0"/>
          <w:sz w:val="18"/>
          <w:szCs w:val="18"/>
        </w:rPr>
        <w:t>LbL</w:t>
      </w:r>
      <w:proofErr w:type="spellEnd"/>
      <w:r w:rsidR="009E2629">
        <w:rPr>
          <w:rFonts w:ascii="Tw Cen MT" w:eastAsia="Tw Cen MT" w:hAnsi="Tw Cen MT" w:cs="Tw Cen MT"/>
          <w:b w:val="0"/>
          <w:bCs w:val="0"/>
          <w:sz w:val="18"/>
          <w:szCs w:val="18"/>
        </w:rPr>
        <w:t xml:space="preserve">) </w:t>
      </w:r>
      <w:r w:rsidRPr="009F39D4">
        <w:rPr>
          <w:rFonts w:ascii="Tw Cen MT" w:eastAsia="Tw Cen MT" w:hAnsi="Tw Cen MT" w:cs="Tw Cen MT"/>
          <w:b w:val="0"/>
          <w:bCs w:val="0"/>
          <w:sz w:val="18"/>
          <w:szCs w:val="18"/>
        </w:rPr>
        <w:t>assembly of the oppositely charged polyelectrolytes poly(allylamine hydrochloride) and poly(sodium 4-sty</w:t>
      </w:r>
      <w:r w:rsidR="006D2297">
        <w:rPr>
          <w:rFonts w:ascii="Tw Cen MT" w:eastAsia="Tw Cen MT" w:hAnsi="Tw Cen MT" w:cs="Tw Cen MT"/>
          <w:b w:val="0"/>
          <w:bCs w:val="0"/>
          <w:sz w:val="18"/>
          <w:szCs w:val="18"/>
        </w:rPr>
        <w:t>renesulfonate) results in water-</w:t>
      </w:r>
      <w:r w:rsidRPr="009F39D4">
        <w:rPr>
          <w:rFonts w:ascii="Tw Cen MT" w:eastAsia="Tw Cen MT" w:hAnsi="Tw Cen MT" w:cs="Tw Cen MT"/>
          <w:b w:val="0"/>
          <w:bCs w:val="0"/>
          <w:sz w:val="18"/>
          <w:szCs w:val="18"/>
        </w:rPr>
        <w:t xml:space="preserve">dispersible luminescent </w:t>
      </w:r>
      <w:r w:rsidR="009E2629">
        <w:rPr>
          <w:rFonts w:ascii="Tw Cen MT" w:eastAsia="Tw Cen MT" w:hAnsi="Tw Cen MT" w:cs="Tw Cen MT"/>
          <w:b w:val="0"/>
          <w:bCs w:val="0"/>
          <w:sz w:val="18"/>
          <w:szCs w:val="18"/>
        </w:rPr>
        <w:t xml:space="preserve">composite </w:t>
      </w:r>
      <w:r w:rsidRPr="009F39D4">
        <w:rPr>
          <w:rFonts w:ascii="Tw Cen MT" w:eastAsia="Tw Cen MT" w:hAnsi="Tw Cen MT" w:cs="Tw Cen MT"/>
          <w:b w:val="0"/>
          <w:bCs w:val="0"/>
          <w:sz w:val="18"/>
          <w:szCs w:val="18"/>
        </w:rPr>
        <w:t>micro</w:t>
      </w:r>
      <w:r w:rsidR="009E2629">
        <w:rPr>
          <w:rFonts w:ascii="Tw Cen MT" w:eastAsia="Tw Cen MT" w:hAnsi="Tw Cen MT" w:cs="Tw Cen MT"/>
          <w:b w:val="0"/>
          <w:bCs w:val="0"/>
          <w:sz w:val="18"/>
          <w:szCs w:val="18"/>
        </w:rPr>
        <w:t>particles</w:t>
      </w:r>
      <w:r w:rsidRPr="009F39D4">
        <w:rPr>
          <w:rFonts w:ascii="Tw Cen MT" w:eastAsia="Tw Cen MT" w:hAnsi="Tw Cen MT" w:cs="Tw Cen MT"/>
          <w:b w:val="0"/>
          <w:bCs w:val="0"/>
          <w:sz w:val="18"/>
          <w:szCs w:val="18"/>
        </w:rPr>
        <w:t>.</w:t>
      </w:r>
      <w:r w:rsidR="003849BF" w:rsidRPr="009F39D4">
        <w:rPr>
          <w:rFonts w:ascii="Tw Cen MT" w:eastAsia="Tw Cen MT" w:hAnsi="Tw Cen MT" w:cs="Tw Cen MT"/>
          <w:b w:val="0"/>
          <w:bCs w:val="0"/>
          <w:sz w:val="18"/>
          <w:szCs w:val="18"/>
        </w:rPr>
        <w:t xml:space="preserve"> The stability of the</w:t>
      </w:r>
      <w:r w:rsidR="009E2629">
        <w:rPr>
          <w:rFonts w:ascii="Tw Cen MT" w:eastAsia="Tw Cen MT" w:hAnsi="Tw Cen MT" w:cs="Tw Cen MT"/>
          <w:b w:val="0"/>
          <w:bCs w:val="0"/>
          <w:sz w:val="18"/>
          <w:szCs w:val="18"/>
        </w:rPr>
        <w:t>ir</w:t>
      </w:r>
      <w:r w:rsidR="003849BF" w:rsidRPr="009F39D4">
        <w:rPr>
          <w:rFonts w:ascii="Tw Cen MT" w:eastAsia="Tw Cen MT" w:hAnsi="Tw Cen MT" w:cs="Tw Cen MT"/>
          <w:b w:val="0"/>
          <w:bCs w:val="0"/>
          <w:sz w:val="18"/>
          <w:szCs w:val="18"/>
        </w:rPr>
        <w:t xml:space="preserve"> emission </w:t>
      </w:r>
      <w:r w:rsidR="009E2629">
        <w:rPr>
          <w:rFonts w:ascii="Tw Cen MT" w:eastAsia="Tw Cen MT" w:hAnsi="Tw Cen MT" w:cs="Tw Cen MT"/>
          <w:b w:val="0"/>
          <w:bCs w:val="0"/>
          <w:sz w:val="18"/>
          <w:szCs w:val="18"/>
        </w:rPr>
        <w:t>was</w:t>
      </w:r>
      <w:r w:rsidR="003849BF" w:rsidRPr="009F39D4">
        <w:rPr>
          <w:rFonts w:ascii="Tw Cen MT" w:eastAsia="Tw Cen MT" w:hAnsi="Tw Cen MT" w:cs="Tw Cen MT"/>
          <w:b w:val="0"/>
          <w:bCs w:val="0"/>
          <w:sz w:val="18"/>
          <w:szCs w:val="18"/>
        </w:rPr>
        <w:t xml:space="preserve"> evaluated and can be easily deposited onto both solid and flexible substrates and form thin, semitransparent films. Film samples were monitored for 3 months of storage at ambient c</w:t>
      </w:r>
      <w:r w:rsidR="009E2629">
        <w:rPr>
          <w:rFonts w:ascii="Tw Cen MT" w:eastAsia="Tw Cen MT" w:hAnsi="Tw Cen MT" w:cs="Tw Cen MT"/>
          <w:b w:val="0"/>
          <w:bCs w:val="0"/>
          <w:sz w:val="18"/>
          <w:szCs w:val="18"/>
        </w:rPr>
        <w:t>onditions:</w:t>
      </w:r>
      <w:r w:rsidR="003849BF" w:rsidRPr="009F39D4">
        <w:rPr>
          <w:rFonts w:ascii="Tw Cen MT" w:eastAsia="Tw Cen MT" w:hAnsi="Tw Cen MT" w:cs="Tw Cen MT"/>
          <w:b w:val="0"/>
          <w:bCs w:val="0"/>
          <w:sz w:val="18"/>
          <w:szCs w:val="18"/>
        </w:rPr>
        <w:t xml:space="preserve"> the values of PL peak position, </w:t>
      </w:r>
      <w:r w:rsidR="009E2629">
        <w:rPr>
          <w:rFonts w:ascii="Tw Cen MT" w:eastAsia="Tw Cen MT" w:hAnsi="Tw Cen MT" w:cs="Tw Cen MT"/>
          <w:b w:val="0"/>
          <w:bCs w:val="0"/>
          <w:sz w:val="18"/>
          <w:szCs w:val="18"/>
        </w:rPr>
        <w:t xml:space="preserve">full width at half </w:t>
      </w:r>
      <w:proofErr w:type="gramStart"/>
      <w:r w:rsidR="009E2629">
        <w:rPr>
          <w:rFonts w:ascii="Tw Cen MT" w:eastAsia="Tw Cen MT" w:hAnsi="Tw Cen MT" w:cs="Tw Cen MT"/>
          <w:b w:val="0"/>
          <w:bCs w:val="0"/>
          <w:sz w:val="18"/>
          <w:szCs w:val="18"/>
        </w:rPr>
        <w:t>maximum,</w:t>
      </w:r>
      <w:proofErr w:type="gramEnd"/>
      <w:r w:rsidR="009E2629">
        <w:rPr>
          <w:rFonts w:ascii="Tw Cen MT" w:eastAsia="Tw Cen MT" w:hAnsi="Tw Cen MT" w:cs="Tw Cen MT"/>
          <w:b w:val="0"/>
          <w:bCs w:val="0"/>
          <w:sz w:val="18"/>
          <w:szCs w:val="18"/>
        </w:rPr>
        <w:t xml:space="preserve"> and </w:t>
      </w:r>
      <w:r w:rsidR="003849BF" w:rsidRPr="009F39D4">
        <w:rPr>
          <w:rFonts w:ascii="Tw Cen MT" w:eastAsia="Tw Cen MT" w:hAnsi="Tw Cen MT" w:cs="Tw Cen MT"/>
          <w:b w:val="0"/>
          <w:bCs w:val="0"/>
          <w:sz w:val="18"/>
          <w:szCs w:val="18"/>
        </w:rPr>
        <w:t>integral intensity were estimated from Gaussian fitting.</w:t>
      </w:r>
      <w:r w:rsidR="009F39D4" w:rsidRPr="009F39D4">
        <w:t xml:space="preserve"> </w:t>
      </w:r>
      <w:r w:rsidR="009F39D4">
        <w:rPr>
          <w:rFonts w:ascii="Tw Cen MT" w:eastAsia="Tw Cen MT" w:hAnsi="Tw Cen MT" w:cs="Tw Cen MT"/>
          <w:b w:val="0"/>
          <w:bCs w:val="0"/>
          <w:sz w:val="18"/>
          <w:szCs w:val="18"/>
        </w:rPr>
        <w:t xml:space="preserve">It has been shown that </w:t>
      </w:r>
      <w:r w:rsidR="009F39D4" w:rsidRPr="009F39D4">
        <w:rPr>
          <w:rFonts w:ascii="Tw Cen MT" w:eastAsia="Tw Cen MT" w:hAnsi="Tw Cen MT" w:cs="Tw Cen MT"/>
          <w:b w:val="0"/>
          <w:bCs w:val="0"/>
          <w:sz w:val="18"/>
          <w:szCs w:val="18"/>
        </w:rPr>
        <w:t>the PL peak position and</w:t>
      </w:r>
      <w:r w:rsidR="009F39D4">
        <w:rPr>
          <w:rFonts w:ascii="Tw Cen MT" w:eastAsia="Tw Cen MT" w:hAnsi="Tw Cen MT" w:cs="Tw Cen MT"/>
          <w:b w:val="0"/>
          <w:bCs w:val="0"/>
          <w:sz w:val="18"/>
          <w:szCs w:val="18"/>
        </w:rPr>
        <w:t xml:space="preserve"> </w:t>
      </w:r>
      <w:r w:rsidR="009E2629">
        <w:rPr>
          <w:rFonts w:ascii="Tw Cen MT" w:eastAsia="Tw Cen MT" w:hAnsi="Tw Cen MT" w:cs="Tw Cen MT"/>
          <w:b w:val="0"/>
          <w:bCs w:val="0"/>
          <w:sz w:val="18"/>
          <w:szCs w:val="18"/>
        </w:rPr>
        <w:t>width</w:t>
      </w:r>
      <w:r w:rsidR="009F39D4" w:rsidRPr="009F39D4">
        <w:rPr>
          <w:rFonts w:ascii="Tw Cen MT" w:eastAsia="Tw Cen MT" w:hAnsi="Tw Cen MT" w:cs="Tw Cen MT"/>
          <w:b w:val="0"/>
          <w:bCs w:val="0"/>
          <w:sz w:val="18"/>
          <w:szCs w:val="18"/>
        </w:rPr>
        <w:t xml:space="preserve"> were almost unchanged</w:t>
      </w:r>
      <w:r w:rsidR="009F39D4">
        <w:rPr>
          <w:rFonts w:ascii="Tw Cen MT" w:eastAsia="Tw Cen MT" w:hAnsi="Tw Cen MT" w:cs="Tw Cen MT"/>
          <w:b w:val="0"/>
          <w:bCs w:val="0"/>
          <w:sz w:val="18"/>
          <w:szCs w:val="18"/>
        </w:rPr>
        <w:t xml:space="preserve"> and </w:t>
      </w:r>
      <w:r w:rsidR="009F39D4" w:rsidRPr="009F39D4">
        <w:rPr>
          <w:rFonts w:ascii="Tw Cen MT" w:eastAsia="Tw Cen MT" w:hAnsi="Tw Cen MT" w:cs="Tw Cen MT"/>
          <w:b w:val="0"/>
          <w:bCs w:val="0"/>
          <w:sz w:val="18"/>
          <w:szCs w:val="18"/>
        </w:rPr>
        <w:t>intensity</w:t>
      </w:r>
      <w:r w:rsidR="009F39D4">
        <w:rPr>
          <w:rFonts w:ascii="Tw Cen MT" w:eastAsia="Tw Cen MT" w:hAnsi="Tw Cen MT" w:cs="Tw Cen MT"/>
          <w:b w:val="0"/>
          <w:bCs w:val="0"/>
          <w:sz w:val="18"/>
          <w:szCs w:val="18"/>
        </w:rPr>
        <w:t xml:space="preserve"> </w:t>
      </w:r>
      <w:r w:rsidR="009F39D4" w:rsidRPr="009F39D4">
        <w:rPr>
          <w:rFonts w:ascii="Tw Cen MT" w:eastAsia="Tw Cen MT" w:hAnsi="Tw Cen MT" w:cs="Tw Cen MT"/>
          <w:b w:val="0"/>
          <w:bCs w:val="0"/>
          <w:sz w:val="18"/>
          <w:szCs w:val="18"/>
        </w:rPr>
        <w:t>kept 85%</w:t>
      </w:r>
      <w:r w:rsidR="009F39D4">
        <w:rPr>
          <w:rFonts w:ascii="Tw Cen MT" w:eastAsia="Tw Cen MT" w:hAnsi="Tw Cen MT" w:cs="Tw Cen MT"/>
          <w:b w:val="0"/>
          <w:bCs w:val="0"/>
          <w:sz w:val="18"/>
          <w:szCs w:val="18"/>
        </w:rPr>
        <w:t xml:space="preserve"> of the initial </w:t>
      </w:r>
      <w:r w:rsidR="009E2629">
        <w:rPr>
          <w:rFonts w:ascii="Tw Cen MT" w:eastAsia="Tw Cen MT" w:hAnsi="Tw Cen MT" w:cs="Tw Cen MT"/>
          <w:b w:val="0"/>
          <w:bCs w:val="0"/>
          <w:sz w:val="18"/>
          <w:szCs w:val="18"/>
        </w:rPr>
        <w:t>value</w:t>
      </w:r>
      <w:r w:rsidR="009F39D4">
        <w:rPr>
          <w:rFonts w:ascii="Tw Cen MT" w:eastAsia="Tw Cen MT" w:hAnsi="Tw Cen MT" w:cs="Tw Cen MT"/>
          <w:b w:val="0"/>
          <w:bCs w:val="0"/>
          <w:sz w:val="18"/>
          <w:szCs w:val="18"/>
        </w:rPr>
        <w:t xml:space="preserve"> </w:t>
      </w:r>
      <w:r w:rsidR="009F39D4" w:rsidRPr="009F39D4">
        <w:rPr>
          <w:rFonts w:ascii="Tw Cen MT" w:eastAsia="Tw Cen MT" w:hAnsi="Tw Cen MT" w:cs="Tw Cen MT"/>
          <w:b w:val="0"/>
          <w:bCs w:val="0"/>
          <w:sz w:val="18"/>
          <w:szCs w:val="18"/>
        </w:rPr>
        <w:t>during 7 days of storage</w:t>
      </w:r>
      <w:r w:rsidR="009E2629">
        <w:rPr>
          <w:rFonts w:ascii="Tw Cen MT" w:eastAsia="Tw Cen MT" w:hAnsi="Tw Cen MT" w:cs="Tw Cen MT"/>
          <w:b w:val="0"/>
          <w:bCs w:val="0"/>
          <w:sz w:val="18"/>
          <w:szCs w:val="18"/>
        </w:rPr>
        <w:t xml:space="preserve"> in the ambient</w:t>
      </w:r>
      <w:r w:rsidR="009F39D4">
        <w:rPr>
          <w:rFonts w:ascii="Tw Cen MT" w:eastAsia="Tw Cen MT" w:hAnsi="Tw Cen MT" w:cs="Tw Cen MT"/>
          <w:b w:val="0"/>
          <w:bCs w:val="0"/>
          <w:sz w:val="18"/>
          <w:szCs w:val="18"/>
        </w:rPr>
        <w:t xml:space="preserve">. </w:t>
      </w:r>
      <w:r w:rsidRPr="009F39D4">
        <w:rPr>
          <w:rFonts w:ascii="Tw Cen MT" w:eastAsia="Tw Cen MT" w:hAnsi="Tw Cen MT" w:cs="Tw Cen MT"/>
          <w:b w:val="0"/>
          <w:bCs w:val="0"/>
          <w:sz w:val="18"/>
          <w:szCs w:val="18"/>
        </w:rPr>
        <w:t>The availability of such samples may expand the use of light-emitting perovskite nanocrystals in diverse biological applications, including imaging and sensing in highly scattering media.</w:t>
      </w:r>
      <w:r w:rsidR="009F39D4" w:rsidRPr="009F39D4">
        <w:t xml:space="preserve"> </w:t>
      </w:r>
    </w:p>
    <w:p w:rsidR="00B760BB" w:rsidRDefault="009F39D4" w:rsidP="009F39D4">
      <w:pPr>
        <w:pStyle w:val="3"/>
        <w:spacing w:before="90" w:line="281" w:lineRule="auto"/>
        <w:ind w:left="102"/>
        <w:jc w:val="both"/>
        <w:rPr>
          <w:rFonts w:ascii="Tw Cen MT" w:eastAsia="Tw Cen MT" w:hAnsi="Tw Cen MT" w:cs="Tw Cen MT"/>
          <w:b w:val="0"/>
          <w:bCs w:val="0"/>
          <w:sz w:val="18"/>
          <w:szCs w:val="18"/>
        </w:rPr>
      </w:pPr>
      <w:proofErr w:type="gramStart"/>
      <w:r w:rsidRPr="009F39D4">
        <w:rPr>
          <w:rFonts w:ascii="Tw Cen MT" w:eastAsia="Tw Cen MT" w:hAnsi="Tw Cen MT" w:cs="Tw Cen MT"/>
          <w:b w:val="0"/>
          <w:bCs w:val="0"/>
          <w:sz w:val="18"/>
          <w:szCs w:val="18"/>
          <w:u w:val="single"/>
        </w:rPr>
        <w:t>Acknowledgements.</w:t>
      </w:r>
      <w:proofErr w:type="gramEnd"/>
      <w:r>
        <w:rPr>
          <w:rFonts w:ascii="Tw Cen MT" w:eastAsia="Tw Cen MT" w:hAnsi="Tw Cen MT" w:cs="Tw Cen MT"/>
          <w:b w:val="0"/>
          <w:bCs w:val="0"/>
          <w:sz w:val="18"/>
          <w:szCs w:val="18"/>
        </w:rPr>
        <w:t xml:space="preserve"> </w:t>
      </w:r>
      <w:r w:rsidRPr="009F39D4">
        <w:rPr>
          <w:rFonts w:ascii="Tw Cen MT" w:eastAsia="Tw Cen MT" w:hAnsi="Tw Cen MT" w:cs="Tw Cen MT"/>
          <w:b w:val="0"/>
          <w:bCs w:val="0"/>
          <w:sz w:val="18"/>
          <w:szCs w:val="18"/>
        </w:rPr>
        <w:t>This work was supported by the Russian Science Foundation (agreement 18-13-00200)</w:t>
      </w:r>
    </w:p>
    <w:p w:rsidR="00AE3E37" w:rsidRDefault="00A9710C" w:rsidP="009F39D4">
      <w:pPr>
        <w:pStyle w:val="3"/>
        <w:spacing w:before="90" w:line="281" w:lineRule="auto"/>
        <w:ind w:left="102"/>
        <w:jc w:val="both"/>
        <w:rPr>
          <w:color w:val="BF5A14"/>
        </w:rPr>
      </w:pPr>
      <w:r>
        <w:rPr>
          <w:b w:val="0"/>
        </w:rPr>
        <w:br w:type="column"/>
      </w:r>
      <w:r>
        <w:rPr>
          <w:color w:val="BF5A14"/>
        </w:rPr>
        <w:lastRenderedPageBreak/>
        <w:t>Image</w:t>
      </w:r>
    </w:p>
    <w:tbl>
      <w:tblPr>
        <w:tblStyle w:val="ad"/>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01"/>
      </w:tblGrid>
      <w:tr w:rsidR="009E2629" w:rsidTr="006D05E2">
        <w:tc>
          <w:tcPr>
            <w:tcW w:w="5201" w:type="dxa"/>
            <w:vAlign w:val="center"/>
          </w:tcPr>
          <w:p w:rsidR="006D05E2" w:rsidRDefault="009E2629" w:rsidP="006D05E2">
            <w:pPr>
              <w:pStyle w:val="3"/>
              <w:spacing w:before="90" w:line="281" w:lineRule="auto"/>
              <w:ind w:left="0"/>
              <w:jc w:val="center"/>
              <w:rPr>
                <w:rFonts w:ascii="Tw Cen MT" w:eastAsia="Tw Cen MT" w:hAnsi="Tw Cen MT" w:cs="Tw Cen MT"/>
                <w:b w:val="0"/>
                <w:bCs w:val="0"/>
                <w:sz w:val="18"/>
                <w:szCs w:val="18"/>
              </w:rPr>
            </w:pPr>
            <w:r>
              <w:rPr>
                <w:rFonts w:ascii="Tw Cen MT" w:eastAsia="Tw Cen MT" w:hAnsi="Tw Cen MT" w:cs="Tw Cen MT"/>
                <w:b w:val="0"/>
                <w:bCs w:val="0"/>
                <w:noProof/>
                <w:sz w:val="18"/>
                <w:szCs w:val="18"/>
              </w:rPr>
              <w:drawing>
                <wp:inline distT="0" distB="0" distL="0" distR="0">
                  <wp:extent cx="2193750" cy="972000"/>
                  <wp:effectExtent l="0" t="0" r="0" b="0"/>
                  <wp:docPr id="3" name="Рисунок 2" descr="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1.png"/>
                          <pic:cNvPicPr/>
                        </pic:nvPicPr>
                        <pic:blipFill>
                          <a:blip r:embed="rId9" cstate="print"/>
                          <a:stretch>
                            <a:fillRect/>
                          </a:stretch>
                        </pic:blipFill>
                        <pic:spPr>
                          <a:xfrm>
                            <a:off x="0" y="0"/>
                            <a:ext cx="2193750" cy="972000"/>
                          </a:xfrm>
                          <a:prstGeom prst="rect">
                            <a:avLst/>
                          </a:prstGeom>
                        </pic:spPr>
                      </pic:pic>
                    </a:graphicData>
                  </a:graphic>
                </wp:inline>
              </w:drawing>
            </w:r>
          </w:p>
        </w:tc>
      </w:tr>
      <w:tr w:rsidR="009E2629" w:rsidTr="006D05E2">
        <w:tc>
          <w:tcPr>
            <w:tcW w:w="5201" w:type="dxa"/>
          </w:tcPr>
          <w:p w:rsidR="006D05E2" w:rsidRPr="00E05C62" w:rsidRDefault="009E2629" w:rsidP="009E2629">
            <w:pPr>
              <w:pStyle w:val="3"/>
              <w:spacing w:before="90" w:line="281" w:lineRule="auto"/>
              <w:ind w:left="0"/>
              <w:jc w:val="both"/>
              <w:rPr>
                <w:rFonts w:asciiTheme="minorHAnsi" w:eastAsia="Tw Cen MT" w:hAnsiTheme="minorHAnsi" w:cs="Calibri"/>
                <w:b w:val="0"/>
                <w:bCs w:val="0"/>
                <w:sz w:val="18"/>
                <w:szCs w:val="18"/>
              </w:rPr>
            </w:pPr>
            <w:r>
              <w:rPr>
                <w:rFonts w:ascii="Tw Cen MT" w:eastAsia="Tw Cen MT" w:hAnsi="Tw Cen MT" w:cs="Calibri"/>
                <w:b w:val="0"/>
                <w:bCs w:val="0"/>
                <w:sz w:val="18"/>
                <w:szCs w:val="18"/>
              </w:rPr>
              <w:t xml:space="preserve">(a) Microimage of </w:t>
            </w:r>
            <w:r w:rsidRPr="006D05E2">
              <w:rPr>
                <w:rFonts w:ascii="Tw Cen MT" w:eastAsia="Tw Cen MT" w:hAnsi="Tw Cen MT" w:cs="Calibri"/>
                <w:b w:val="0"/>
                <w:bCs w:val="0"/>
                <w:sz w:val="18"/>
                <w:szCs w:val="18"/>
              </w:rPr>
              <w:t>pNC@MS</w:t>
            </w:r>
            <w:r>
              <w:rPr>
                <w:rFonts w:ascii="Tw Cen MT" w:eastAsia="Tw Cen MT" w:hAnsi="Tw Cen MT" w:cs="Calibri"/>
                <w:b w:val="0"/>
                <w:bCs w:val="0"/>
                <w:sz w:val="18"/>
                <w:szCs w:val="18"/>
              </w:rPr>
              <w:t xml:space="preserve"> in artificial colors. (b) </w:t>
            </w:r>
            <w:r w:rsidR="006D05E2" w:rsidRPr="006D05E2">
              <w:rPr>
                <w:rFonts w:ascii="Tw Cen MT" w:eastAsia="Tw Cen MT" w:hAnsi="Tw Cen MT" w:cs="Calibri"/>
                <w:b w:val="0"/>
                <w:bCs w:val="0"/>
                <w:sz w:val="18"/>
                <w:szCs w:val="18"/>
              </w:rPr>
              <w:t xml:space="preserve">Scheme of the </w:t>
            </w:r>
            <w:proofErr w:type="spellStart"/>
            <w:r w:rsidR="006D05E2" w:rsidRPr="006D05E2">
              <w:rPr>
                <w:rFonts w:ascii="Tw Cen MT" w:eastAsia="Tw Cen MT" w:hAnsi="Tw Cen MT" w:cs="Calibri"/>
                <w:b w:val="0"/>
                <w:bCs w:val="0"/>
                <w:sz w:val="18"/>
                <w:szCs w:val="18"/>
              </w:rPr>
              <w:t>LbL</w:t>
            </w:r>
            <w:proofErr w:type="spellEnd"/>
            <w:r w:rsidR="006D05E2" w:rsidRPr="006D05E2">
              <w:rPr>
                <w:rFonts w:ascii="Tw Cen MT" w:eastAsia="Tw Cen MT" w:hAnsi="Tw Cen MT" w:cs="Calibri"/>
                <w:b w:val="0"/>
                <w:bCs w:val="0"/>
                <w:sz w:val="18"/>
                <w:szCs w:val="18"/>
              </w:rPr>
              <w:t xml:space="preserve"> fabrication of the pNC@MS-PAH/PSS sample: step 1 – deposition of PAH; steps 2 and 4 – washing with water, step 3 – deposition of PSS. </w:t>
            </w:r>
          </w:p>
        </w:tc>
      </w:tr>
    </w:tbl>
    <w:p w:rsidR="005973B9" w:rsidRDefault="005973B9" w:rsidP="005973B9">
      <w:pPr>
        <w:spacing w:line="204" w:lineRule="exact"/>
        <w:rPr>
          <w:rFonts w:ascii="Arial"/>
          <w:b/>
          <w:sz w:val="20"/>
        </w:rPr>
      </w:pPr>
      <w:r>
        <w:rPr>
          <w:rFonts w:ascii="Arial"/>
          <w:b/>
          <w:color w:val="BF5A14"/>
          <w:sz w:val="20"/>
        </w:rPr>
        <w:br/>
        <w:t>Recent Publications</w:t>
      </w:r>
    </w:p>
    <w:p w:rsidR="005973B9" w:rsidRDefault="00B760BB" w:rsidP="005973B9">
      <w:pPr>
        <w:pStyle w:val="a5"/>
        <w:numPr>
          <w:ilvl w:val="0"/>
          <w:numId w:val="3"/>
        </w:numPr>
        <w:tabs>
          <w:tab w:val="left" w:pos="384"/>
        </w:tabs>
        <w:spacing w:before="103" w:line="216" w:lineRule="exact"/>
        <w:ind w:right="138" w:hanging="283"/>
        <w:rPr>
          <w:sz w:val="18"/>
        </w:rPr>
      </w:pPr>
      <w:r w:rsidRPr="00B760BB">
        <w:rPr>
          <w:sz w:val="18"/>
        </w:rPr>
        <w:t>Li Y, et al. (2020)</w:t>
      </w:r>
      <w:r>
        <w:rPr>
          <w:sz w:val="18"/>
        </w:rPr>
        <w:t xml:space="preserve"> </w:t>
      </w:r>
      <w:r w:rsidRPr="00B760BB">
        <w:rPr>
          <w:sz w:val="18"/>
        </w:rPr>
        <w:t>Advances in metal halide perovskite nanocrystals: Synthetic strategies, growth mechanisms, and optoelectronic applications. Materials Today 32: 204-221.</w:t>
      </w:r>
    </w:p>
    <w:p w:rsidR="005973B9" w:rsidRDefault="00B760BB" w:rsidP="005973B9">
      <w:pPr>
        <w:pStyle w:val="a5"/>
        <w:numPr>
          <w:ilvl w:val="0"/>
          <w:numId w:val="3"/>
        </w:numPr>
        <w:tabs>
          <w:tab w:val="left" w:pos="384"/>
        </w:tabs>
        <w:spacing w:line="216" w:lineRule="exact"/>
        <w:ind w:right="137" w:hanging="283"/>
        <w:rPr>
          <w:sz w:val="18"/>
        </w:rPr>
      </w:pPr>
      <w:r w:rsidRPr="00B760BB">
        <w:rPr>
          <w:sz w:val="18"/>
        </w:rPr>
        <w:t xml:space="preserve">Wei Y, et al. </w:t>
      </w:r>
      <w:r w:rsidR="0057166E">
        <w:rPr>
          <w:sz w:val="18"/>
        </w:rPr>
        <w:t xml:space="preserve">(2017) </w:t>
      </w:r>
      <w:r w:rsidRPr="00B760BB">
        <w:rPr>
          <w:sz w:val="18"/>
        </w:rPr>
        <w:t>Enhancing the stability of perovskite quantum dots by encapsulation in crosslinked polystyrene beads via a swelling–shrinking strategy toward superior water resistance. Advanced Functional Materials 27.39: 1703535</w:t>
      </w:r>
      <w:r w:rsidR="005973B9">
        <w:rPr>
          <w:sz w:val="18"/>
        </w:rPr>
        <w:t>.</w:t>
      </w:r>
    </w:p>
    <w:p w:rsidR="005973B9" w:rsidRDefault="009D097E" w:rsidP="005973B9">
      <w:pPr>
        <w:pStyle w:val="a5"/>
        <w:numPr>
          <w:ilvl w:val="0"/>
          <w:numId w:val="3"/>
        </w:numPr>
        <w:tabs>
          <w:tab w:val="left" w:pos="384"/>
        </w:tabs>
        <w:spacing w:line="216" w:lineRule="exact"/>
        <w:ind w:right="138" w:hanging="283"/>
        <w:rPr>
          <w:sz w:val="18"/>
        </w:rPr>
      </w:pPr>
      <w:r w:rsidRPr="009D097E">
        <w:rPr>
          <w:sz w:val="18"/>
        </w:rPr>
        <w:t xml:space="preserve">Wang K, et al. </w:t>
      </w:r>
      <w:r>
        <w:rPr>
          <w:sz w:val="18"/>
        </w:rPr>
        <w:t xml:space="preserve">(2019) </w:t>
      </w:r>
      <w:r w:rsidRPr="009D097E">
        <w:rPr>
          <w:sz w:val="18"/>
        </w:rPr>
        <w:t xml:space="preserve">Single‐Crystalline Perovskite </w:t>
      </w:r>
      <w:proofErr w:type="spellStart"/>
      <w:r w:rsidRPr="009D097E">
        <w:rPr>
          <w:sz w:val="18"/>
        </w:rPr>
        <w:t>Microlasers</w:t>
      </w:r>
      <w:proofErr w:type="spellEnd"/>
      <w:r w:rsidRPr="009D097E">
        <w:rPr>
          <w:sz w:val="18"/>
        </w:rPr>
        <w:t xml:space="preserve"> for High‐Contrast and Sub‐Diffraction Imaging. Advanced Functional Materials 29.39: 1904868.</w:t>
      </w:r>
    </w:p>
    <w:p w:rsidR="00AE3E37" w:rsidRPr="00E05C62" w:rsidRDefault="009D097E" w:rsidP="00733F95">
      <w:pPr>
        <w:pStyle w:val="a5"/>
        <w:numPr>
          <w:ilvl w:val="0"/>
          <w:numId w:val="3"/>
        </w:numPr>
        <w:tabs>
          <w:tab w:val="left" w:pos="384"/>
        </w:tabs>
        <w:spacing w:before="92" w:line="218" w:lineRule="exact"/>
        <w:ind w:right="117" w:hanging="283"/>
      </w:pPr>
      <w:r w:rsidRPr="009D097E">
        <w:rPr>
          <w:rFonts w:asciiTheme="minorHAnsi" w:hAnsiTheme="minorHAnsi" w:cstheme="minorHAnsi"/>
          <w:sz w:val="18"/>
          <w:szCs w:val="18"/>
        </w:rPr>
        <w:t>Huang, He, et al. (2017) Lead halide perovskite nanocrystals in the research spotlight: Stability and defect tolerance. ACS energy letters 2.9: 2071-2083.</w:t>
      </w:r>
    </w:p>
    <w:p w:rsidR="00E05C62" w:rsidRPr="00E05C62" w:rsidRDefault="00E05C62" w:rsidP="00733F95">
      <w:pPr>
        <w:pStyle w:val="a5"/>
        <w:numPr>
          <w:ilvl w:val="0"/>
          <w:numId w:val="3"/>
        </w:numPr>
        <w:tabs>
          <w:tab w:val="left" w:pos="384"/>
        </w:tabs>
        <w:spacing w:before="92" w:line="218" w:lineRule="exact"/>
        <w:ind w:right="117" w:hanging="283"/>
        <w:rPr>
          <w:rFonts w:asciiTheme="minorHAnsi" w:hAnsiTheme="minorHAnsi" w:cstheme="minorHAnsi"/>
          <w:sz w:val="18"/>
          <w:szCs w:val="18"/>
        </w:rPr>
      </w:pPr>
      <w:r w:rsidRPr="00E05C62">
        <w:rPr>
          <w:rFonts w:asciiTheme="minorHAnsi" w:hAnsiTheme="minorHAnsi" w:cstheme="minorHAnsi"/>
          <w:sz w:val="18"/>
          <w:szCs w:val="18"/>
        </w:rPr>
        <w:t xml:space="preserve">Ushakova, E. V., </w:t>
      </w:r>
      <w:proofErr w:type="gramStart"/>
      <w:r>
        <w:rPr>
          <w:rFonts w:asciiTheme="minorHAnsi" w:hAnsiTheme="minorHAnsi" w:cstheme="minorHAnsi"/>
          <w:sz w:val="18"/>
          <w:szCs w:val="18"/>
        </w:rPr>
        <w:t>et</w:t>
      </w:r>
      <w:proofErr w:type="gramEnd"/>
      <w:r>
        <w:rPr>
          <w:rFonts w:asciiTheme="minorHAnsi" w:hAnsiTheme="minorHAnsi" w:cstheme="minorHAnsi"/>
          <w:sz w:val="18"/>
          <w:szCs w:val="18"/>
        </w:rPr>
        <w:t xml:space="preserve">. al. </w:t>
      </w:r>
      <w:r w:rsidRPr="00E05C62">
        <w:rPr>
          <w:rFonts w:asciiTheme="minorHAnsi" w:hAnsiTheme="minorHAnsi" w:cstheme="minorHAnsi"/>
          <w:sz w:val="18"/>
          <w:szCs w:val="18"/>
        </w:rPr>
        <w:t>(2020). Stable luminescent composite microspheres based on porous silica with embedded CsPbBr</w:t>
      </w:r>
      <w:r w:rsidRPr="00E05C62">
        <w:rPr>
          <w:rFonts w:asciiTheme="minorHAnsi" w:hAnsiTheme="minorHAnsi" w:cstheme="minorHAnsi"/>
          <w:sz w:val="18"/>
          <w:szCs w:val="18"/>
          <w:vertAlign w:val="subscript"/>
        </w:rPr>
        <w:t>3</w:t>
      </w:r>
      <w:r w:rsidRPr="00E05C62">
        <w:rPr>
          <w:rFonts w:asciiTheme="minorHAnsi" w:hAnsiTheme="minorHAnsi" w:cstheme="minorHAnsi"/>
          <w:sz w:val="18"/>
          <w:szCs w:val="18"/>
        </w:rPr>
        <w:t xml:space="preserve"> perovskite nanocrystals. </w:t>
      </w:r>
      <w:proofErr w:type="spellStart"/>
      <w:r w:rsidRPr="00E05C62">
        <w:rPr>
          <w:rFonts w:asciiTheme="minorHAnsi" w:hAnsiTheme="minorHAnsi" w:cstheme="minorHAnsi"/>
          <w:sz w:val="18"/>
          <w:szCs w:val="18"/>
        </w:rPr>
        <w:t>ChemNanoMat</w:t>
      </w:r>
      <w:proofErr w:type="spellEnd"/>
      <w:r>
        <w:rPr>
          <w:rFonts w:asciiTheme="minorHAnsi" w:hAnsiTheme="minorHAnsi" w:cstheme="minorHAnsi"/>
          <w:sz w:val="18"/>
          <w:szCs w:val="18"/>
        </w:rPr>
        <w:t xml:space="preserve"> 6.7: 1080-1085.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B706CF">
      <w:pPr>
        <w:pStyle w:val="a3"/>
        <w:spacing w:line="40" w:lineRule="exact"/>
        <w:ind w:left="2202"/>
        <w:rPr>
          <w:rFonts w:ascii="Calibri"/>
          <w:sz w:val="4"/>
        </w:rPr>
      </w:pPr>
      <w:r w:rsidRPr="00B706CF">
        <w:rPr>
          <w:rFonts w:ascii="Calibri"/>
          <w:noProof/>
          <w:sz w:val="4"/>
          <w:lang w:val="en-IN" w:eastAsia="en-IN"/>
        </w:rPr>
      </w:r>
      <w:r w:rsidRPr="00B706CF">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rsidR="00AE3E37" w:rsidRDefault="00B760BB" w:rsidP="00404E5B">
      <w:pPr>
        <w:spacing w:before="92"/>
        <w:ind w:right="4234"/>
        <w:rPr>
          <w:rFonts w:ascii="Arial"/>
        </w:rPr>
      </w:pPr>
      <w:r>
        <w:rPr>
          <w:noProof/>
        </w:rPr>
        <w:drawing>
          <wp:anchor distT="0" distB="0" distL="114300" distR="114300" simplePos="0" relativeHeight="251658240" behindDoc="0" locked="0" layoutInCell="1" allowOverlap="1">
            <wp:simplePos x="0" y="0"/>
            <wp:positionH relativeFrom="column">
              <wp:posOffset>-3175</wp:posOffset>
            </wp:positionH>
            <wp:positionV relativeFrom="paragraph">
              <wp:posOffset>53975</wp:posOffset>
            </wp:positionV>
            <wp:extent cx="942975" cy="93472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0192" r="22540"/>
                    <a:stretch/>
                  </pic:blipFill>
                  <pic:spPr bwMode="auto">
                    <a:xfrm>
                      <a:off x="0" y="0"/>
                      <a:ext cx="942975" cy="93472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A9710C">
        <w:rPr>
          <w:rFonts w:ascii="Arial"/>
          <w:color w:val="BF5A14"/>
        </w:rPr>
        <w:t>Biography</w:t>
      </w:r>
      <w:r w:rsidR="00404E5B">
        <w:rPr>
          <w:rFonts w:ascii="Arial"/>
          <w:color w:val="BF5A14"/>
        </w:rPr>
        <w:t xml:space="preserve"> </w:t>
      </w:r>
    </w:p>
    <w:p w:rsidR="00AE3E37" w:rsidRDefault="00E45252">
      <w:pPr>
        <w:spacing w:before="41" w:line="154" w:lineRule="exact"/>
        <w:ind w:left="213" w:right="231"/>
        <w:jc w:val="both"/>
        <w:rPr>
          <w:rFonts w:ascii="Arial"/>
          <w:sz w:val="14"/>
        </w:rPr>
      </w:pPr>
      <w:r w:rsidRPr="00E45252">
        <w:rPr>
          <w:rFonts w:ascii="Arial"/>
          <w:sz w:val="14"/>
        </w:rPr>
        <w:t xml:space="preserve">Sergei A. </w:t>
      </w:r>
      <w:proofErr w:type="spellStart"/>
      <w:r w:rsidRPr="00E45252">
        <w:rPr>
          <w:rFonts w:ascii="Arial"/>
          <w:sz w:val="14"/>
        </w:rPr>
        <w:t>Cherevkov</w:t>
      </w:r>
      <w:proofErr w:type="spellEnd"/>
      <w:r w:rsidRPr="00E45252">
        <w:rPr>
          <w:rFonts w:ascii="Arial"/>
          <w:sz w:val="14"/>
        </w:rPr>
        <w:t xml:space="preserve"> is a research fellow in ITMO University. He received his BSc in Laser Technology in 2008 and his MSc in Photonics in 2010, and his PhD degree in Raman Spectroscopy in 2013 from ITMO University, Saint-Petersburg. He is a member of Baranov</w:t>
      </w:r>
      <w:r w:rsidRPr="00E45252">
        <w:rPr>
          <w:rFonts w:ascii="Arial"/>
          <w:sz w:val="14"/>
        </w:rPr>
        <w:t>’</w:t>
      </w:r>
      <w:r w:rsidRPr="00E45252">
        <w:rPr>
          <w:rFonts w:ascii="Arial"/>
          <w:sz w:val="14"/>
        </w:rPr>
        <w:t>s research group. His research interests are primarily concerned with quantum con</w:t>
      </w:r>
      <w:r w:rsidRPr="00E45252">
        <w:rPr>
          <w:rFonts w:ascii="Arial"/>
          <w:sz w:val="14"/>
        </w:rPr>
        <w:t>ﬁ</w:t>
      </w:r>
      <w:r w:rsidRPr="00E45252">
        <w:rPr>
          <w:rFonts w:ascii="Arial"/>
          <w:sz w:val="14"/>
        </w:rPr>
        <w:t>ned nanomaterials, particularly quantum dots and nanoplatelets, their synthesis, optical properties, self-assembly, and applications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9D097E" w:rsidRPr="000D077B">
          <w:rPr>
            <w:rStyle w:val="ac"/>
            <w:rFonts w:ascii="Arial"/>
            <w:sz w:val="14"/>
          </w:rPr>
          <w:t>s.cherevkov@gmail.com</w:t>
        </w:r>
      </w:hyperlink>
    </w:p>
    <w:p w:rsidR="00AE3E37" w:rsidRDefault="00B706CF">
      <w:pPr>
        <w:pStyle w:val="a3"/>
        <w:spacing w:before="2"/>
        <w:rPr>
          <w:rFonts w:ascii="Arial"/>
          <w:sz w:val="19"/>
        </w:rPr>
      </w:pPr>
      <w:r w:rsidRPr="00B706CF">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w:r>
    </w:p>
    <w:p w:rsidR="00AE3E37" w:rsidRPr="00B760BB" w:rsidRDefault="00B760BB" w:rsidP="00B760BB">
      <w:pPr>
        <w:spacing w:before="39"/>
        <w:ind w:left="100"/>
        <w:rPr>
          <w:rFonts w:ascii="Minion Pro"/>
          <w:b/>
          <w:sz w:val="20"/>
        </w:rPr>
        <w:sectPr w:rsidR="00AE3E37" w:rsidRPr="00B760BB">
          <w:type w:val="continuous"/>
          <w:pgSz w:w="11910" w:h="16840"/>
          <w:pgMar w:top="1740" w:right="600" w:bottom="840" w:left="620" w:header="720" w:footer="720" w:gutter="0"/>
          <w:cols w:space="720"/>
        </w:sectPr>
      </w:pPr>
      <w:r>
        <w:rPr>
          <w:rFonts w:ascii="Minion Pro"/>
          <w:b/>
          <w:sz w:val="20"/>
        </w:rPr>
        <w:t>N</w:t>
      </w:r>
      <w:r w:rsidR="00A9710C" w:rsidRPr="00B21A57">
        <w:rPr>
          <w:rFonts w:ascii="Minion Pro"/>
          <w:b/>
          <w:sz w:val="20"/>
        </w:rPr>
        <w:t>otes/Comments:</w:t>
      </w:r>
    </w:p>
    <w:p w:rsidR="00AE3E37" w:rsidRDefault="00AE3E37" w:rsidP="00B760BB">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7EC8" w:rsidRDefault="008C7EC8">
      <w:r>
        <w:separator/>
      </w:r>
    </w:p>
  </w:endnote>
  <w:endnote w:type="continuationSeparator" w:id="0">
    <w:p w:rsidR="008C7EC8" w:rsidRDefault="008C7E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706CF">
    <w:pPr>
      <w:pStyle w:val="a3"/>
      <w:spacing w:line="14" w:lineRule="auto"/>
      <w:rPr>
        <w:sz w:val="20"/>
      </w:rPr>
    </w:pPr>
    <w:r w:rsidRPr="00B706C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706C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706C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7EC8" w:rsidRDefault="008C7EC8">
      <w:r>
        <w:separator/>
      </w:r>
    </w:p>
  </w:footnote>
  <w:footnote w:type="continuationSeparator" w:id="0">
    <w:p w:rsidR="008C7EC8" w:rsidRDefault="008C7E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706CF">
    <w:pPr>
      <w:pStyle w:val="a3"/>
      <w:spacing w:line="14" w:lineRule="auto"/>
      <w:rPr>
        <w:sz w:val="20"/>
      </w:rPr>
    </w:pPr>
    <w:r w:rsidRPr="00B706C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706C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455EC"/>
    <w:rsid w:val="00292ED9"/>
    <w:rsid w:val="002E2E96"/>
    <w:rsid w:val="003849BF"/>
    <w:rsid w:val="00404E5B"/>
    <w:rsid w:val="00414F7B"/>
    <w:rsid w:val="004355DC"/>
    <w:rsid w:val="004749B4"/>
    <w:rsid w:val="00494130"/>
    <w:rsid w:val="004F3523"/>
    <w:rsid w:val="00535597"/>
    <w:rsid w:val="005635B7"/>
    <w:rsid w:val="0057166E"/>
    <w:rsid w:val="005973B9"/>
    <w:rsid w:val="005B3A56"/>
    <w:rsid w:val="005B50DB"/>
    <w:rsid w:val="006060CE"/>
    <w:rsid w:val="0063497F"/>
    <w:rsid w:val="00650406"/>
    <w:rsid w:val="006D05E2"/>
    <w:rsid w:val="006D2297"/>
    <w:rsid w:val="007A2AAB"/>
    <w:rsid w:val="00873DF0"/>
    <w:rsid w:val="008756E6"/>
    <w:rsid w:val="008A08B6"/>
    <w:rsid w:val="008C7EC8"/>
    <w:rsid w:val="009112B4"/>
    <w:rsid w:val="009B2D44"/>
    <w:rsid w:val="009D097E"/>
    <w:rsid w:val="009E2629"/>
    <w:rsid w:val="009F39D4"/>
    <w:rsid w:val="00A07E82"/>
    <w:rsid w:val="00A9710C"/>
    <w:rsid w:val="00AE3E37"/>
    <w:rsid w:val="00B21A57"/>
    <w:rsid w:val="00B706CF"/>
    <w:rsid w:val="00B760BB"/>
    <w:rsid w:val="00C23828"/>
    <w:rsid w:val="00C33602"/>
    <w:rsid w:val="00CD6F55"/>
    <w:rsid w:val="00DE3104"/>
    <w:rsid w:val="00E05C62"/>
    <w:rsid w:val="00E17694"/>
    <w:rsid w:val="00E26B10"/>
    <w:rsid w:val="00E273C2"/>
    <w:rsid w:val="00E4525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760BB"/>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table" w:styleId="ad">
    <w:name w:val="Table Grid"/>
    <w:basedOn w:val="a1"/>
    <w:uiPriority w:val="59"/>
    <w:unhideWhenUsed/>
    <w:rsid w:val="006D05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57166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1220082">
      <w:bodyDiv w:val="1"/>
      <w:marLeft w:val="0"/>
      <w:marRight w:val="0"/>
      <w:marTop w:val="0"/>
      <w:marBottom w:val="0"/>
      <w:divBdr>
        <w:top w:val="none" w:sz="0" w:space="0" w:color="auto"/>
        <w:left w:val="none" w:sz="0" w:space="0" w:color="auto"/>
        <w:bottom w:val="none" w:sz="0" w:space="0" w:color="auto"/>
        <w:right w:val="none" w:sz="0" w:space="0" w:color="auto"/>
      </w:divBdr>
      <w:divsChild>
        <w:div w:id="304553331">
          <w:marLeft w:val="0"/>
          <w:marRight w:val="0"/>
          <w:marTop w:val="0"/>
          <w:marBottom w:val="0"/>
          <w:divBdr>
            <w:top w:val="none" w:sz="0" w:space="0" w:color="auto"/>
            <w:left w:val="none" w:sz="0" w:space="0" w:color="auto"/>
            <w:bottom w:val="none" w:sz="0" w:space="0" w:color="auto"/>
            <w:right w:val="none" w:sz="0" w:space="0" w:color="auto"/>
          </w:divBdr>
        </w:div>
        <w:div w:id="1440956099">
          <w:marLeft w:val="0"/>
          <w:marRight w:val="0"/>
          <w:marTop w:val="0"/>
          <w:marBottom w:val="0"/>
          <w:divBdr>
            <w:top w:val="none" w:sz="0" w:space="0" w:color="auto"/>
            <w:left w:val="none" w:sz="0" w:space="0" w:color="auto"/>
            <w:bottom w:val="none" w:sz="0" w:space="0" w:color="auto"/>
            <w:right w:val="none" w:sz="0" w:space="0" w:color="auto"/>
          </w:divBdr>
        </w:div>
        <w:div w:id="1408579618">
          <w:marLeft w:val="0"/>
          <w:marRight w:val="0"/>
          <w:marTop w:val="0"/>
          <w:marBottom w:val="0"/>
          <w:divBdr>
            <w:top w:val="none" w:sz="0" w:space="0" w:color="auto"/>
            <w:left w:val="none" w:sz="0" w:space="0" w:color="auto"/>
            <w:bottom w:val="none" w:sz="0" w:space="0" w:color="auto"/>
            <w:right w:val="none" w:sz="0" w:space="0" w:color="auto"/>
          </w:divBdr>
        </w:div>
        <w:div w:id="2137209745">
          <w:marLeft w:val="0"/>
          <w:marRight w:val="0"/>
          <w:marTop w:val="0"/>
          <w:marBottom w:val="0"/>
          <w:divBdr>
            <w:top w:val="none" w:sz="0" w:space="0" w:color="auto"/>
            <w:left w:val="none" w:sz="0" w:space="0" w:color="auto"/>
            <w:bottom w:val="none" w:sz="0" w:space="0" w:color="auto"/>
            <w:right w:val="none" w:sz="0" w:space="0" w:color="auto"/>
          </w:divBdr>
        </w:div>
        <w:div w:id="1069382719">
          <w:marLeft w:val="0"/>
          <w:marRight w:val="0"/>
          <w:marTop w:val="0"/>
          <w:marBottom w:val="0"/>
          <w:divBdr>
            <w:top w:val="none" w:sz="0" w:space="0" w:color="auto"/>
            <w:left w:val="none" w:sz="0" w:space="0" w:color="auto"/>
            <w:bottom w:val="none" w:sz="0" w:space="0" w:color="auto"/>
            <w:right w:val="none" w:sz="0" w:space="0" w:color="auto"/>
          </w:divBdr>
        </w:div>
        <w:div w:id="562570037">
          <w:marLeft w:val="0"/>
          <w:marRight w:val="0"/>
          <w:marTop w:val="0"/>
          <w:marBottom w:val="0"/>
          <w:divBdr>
            <w:top w:val="none" w:sz="0" w:space="0" w:color="auto"/>
            <w:left w:val="none" w:sz="0" w:space="0" w:color="auto"/>
            <w:bottom w:val="none" w:sz="0" w:space="0" w:color="auto"/>
            <w:right w:val="none" w:sz="0" w:space="0" w:color="auto"/>
          </w:divBdr>
        </w:div>
        <w:div w:id="1090736787">
          <w:marLeft w:val="0"/>
          <w:marRight w:val="0"/>
          <w:marTop w:val="0"/>
          <w:marBottom w:val="0"/>
          <w:divBdr>
            <w:top w:val="none" w:sz="0" w:space="0" w:color="auto"/>
            <w:left w:val="none" w:sz="0" w:space="0" w:color="auto"/>
            <w:bottom w:val="none" w:sz="0" w:space="0" w:color="auto"/>
            <w:right w:val="none" w:sz="0" w:space="0" w:color="auto"/>
          </w:divBdr>
        </w:div>
        <w:div w:id="2059474047">
          <w:marLeft w:val="0"/>
          <w:marRight w:val="0"/>
          <w:marTop w:val="0"/>
          <w:marBottom w:val="0"/>
          <w:divBdr>
            <w:top w:val="none" w:sz="0" w:space="0" w:color="auto"/>
            <w:left w:val="none" w:sz="0" w:space="0" w:color="auto"/>
            <w:bottom w:val="none" w:sz="0" w:space="0" w:color="auto"/>
            <w:right w:val="none" w:sz="0" w:space="0" w:color="auto"/>
          </w:divBdr>
        </w:div>
        <w:div w:id="1216086619">
          <w:marLeft w:val="0"/>
          <w:marRight w:val="0"/>
          <w:marTop w:val="0"/>
          <w:marBottom w:val="0"/>
          <w:divBdr>
            <w:top w:val="none" w:sz="0" w:space="0" w:color="auto"/>
            <w:left w:val="none" w:sz="0" w:space="0" w:color="auto"/>
            <w:bottom w:val="none" w:sz="0" w:space="0" w:color="auto"/>
            <w:right w:val="none" w:sz="0" w:space="0" w:color="auto"/>
          </w:divBdr>
        </w:div>
        <w:div w:id="1876579429">
          <w:marLeft w:val="0"/>
          <w:marRight w:val="0"/>
          <w:marTop w:val="0"/>
          <w:marBottom w:val="0"/>
          <w:divBdr>
            <w:top w:val="none" w:sz="0" w:space="0" w:color="auto"/>
            <w:left w:val="none" w:sz="0" w:space="0" w:color="auto"/>
            <w:bottom w:val="none" w:sz="0" w:space="0" w:color="auto"/>
            <w:right w:val="none" w:sz="0" w:space="0" w:color="auto"/>
          </w:divBdr>
        </w:div>
        <w:div w:id="1235361433">
          <w:marLeft w:val="0"/>
          <w:marRight w:val="0"/>
          <w:marTop w:val="0"/>
          <w:marBottom w:val="0"/>
          <w:divBdr>
            <w:top w:val="none" w:sz="0" w:space="0" w:color="auto"/>
            <w:left w:val="none" w:sz="0" w:space="0" w:color="auto"/>
            <w:bottom w:val="none" w:sz="0" w:space="0" w:color="auto"/>
            <w:right w:val="none" w:sz="0" w:space="0" w:color="auto"/>
          </w:divBdr>
        </w:div>
        <w:div w:id="1435588676">
          <w:marLeft w:val="0"/>
          <w:marRight w:val="0"/>
          <w:marTop w:val="0"/>
          <w:marBottom w:val="0"/>
          <w:divBdr>
            <w:top w:val="none" w:sz="0" w:space="0" w:color="auto"/>
            <w:left w:val="none" w:sz="0" w:space="0" w:color="auto"/>
            <w:bottom w:val="none" w:sz="0" w:space="0" w:color="auto"/>
            <w:right w:val="none" w:sz="0" w:space="0" w:color="auto"/>
          </w:divBdr>
        </w:div>
        <w:div w:id="1339961670">
          <w:marLeft w:val="0"/>
          <w:marRight w:val="0"/>
          <w:marTop w:val="0"/>
          <w:marBottom w:val="0"/>
          <w:divBdr>
            <w:top w:val="none" w:sz="0" w:space="0" w:color="auto"/>
            <w:left w:val="none" w:sz="0" w:space="0" w:color="auto"/>
            <w:bottom w:val="none" w:sz="0" w:space="0" w:color="auto"/>
            <w:right w:val="none" w:sz="0" w:space="0" w:color="auto"/>
          </w:divBdr>
        </w:div>
        <w:div w:id="1815609647">
          <w:marLeft w:val="0"/>
          <w:marRight w:val="0"/>
          <w:marTop w:val="0"/>
          <w:marBottom w:val="0"/>
          <w:divBdr>
            <w:top w:val="none" w:sz="0" w:space="0" w:color="auto"/>
            <w:left w:val="none" w:sz="0" w:space="0" w:color="auto"/>
            <w:bottom w:val="none" w:sz="0" w:space="0" w:color="auto"/>
            <w:right w:val="none" w:sz="0" w:space="0" w:color="auto"/>
          </w:divBdr>
        </w:div>
        <w:div w:id="1640721974">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herevkov@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642</Words>
  <Characters>3662</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Ushakova Elena</cp:lastModifiedBy>
  <cp:revision>2</cp:revision>
  <dcterms:created xsi:type="dcterms:W3CDTF">2020-10-26T12:10:00Z</dcterms:created>
  <dcterms:modified xsi:type="dcterms:W3CDTF">2020-10-26T12:10:00Z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