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069" w:rsidRPr="009C17E6" w:rsidRDefault="00367675" w:rsidP="009C17E6">
      <w:pPr>
        <w:ind w:right="728"/>
        <w:rPr>
          <w:rFonts w:ascii="Minion Pro" w:eastAsia="MS PGothic" w:hAnsi="Minion Pro" w:hint="eastAsia"/>
          <w:b/>
          <w:color w:val="000000"/>
          <w:sz w:val="36"/>
          <w:szCs w:val="36"/>
        </w:rPr>
      </w:pPr>
      <w:r w:rsidRPr="009C17E6">
        <w:rPr>
          <w:rFonts w:ascii="Minion Pro" w:eastAsia="MS PGothic" w:hAnsi="Minion Pro"/>
          <w:b/>
          <w:color w:val="000000"/>
          <w:sz w:val="36"/>
          <w:szCs w:val="36"/>
        </w:rPr>
        <w:t>Cardiovascular and renal interactions between cyclosporine and NSAIDs With variable COX1/COX2 selectivity</w:t>
      </w:r>
      <w:r w:rsidR="002C12DA" w:rsidRPr="009C17E6">
        <w:rPr>
          <w:rFonts w:ascii="Minion Pro" w:eastAsia="MS PGothic" w:hAnsi="Minion Pro"/>
          <w:b/>
          <w:color w:val="000000"/>
          <w:sz w:val="36"/>
          <w:szCs w:val="36"/>
        </w:rPr>
        <w:t xml:space="preserve"> </w:t>
      </w:r>
    </w:p>
    <w:p w:rsidR="009C17E6" w:rsidRDefault="009C17E6" w:rsidP="009C17E6">
      <w:pPr>
        <w:jc w:val="both"/>
        <w:rPr>
          <w:rFonts w:eastAsia="MS PGothic" w:hAnsi="Arial"/>
          <w:color w:val="000000"/>
        </w:rPr>
      </w:pPr>
    </w:p>
    <w:p w:rsidR="00AC3BCD" w:rsidRPr="009C17E6" w:rsidRDefault="002C12DA" w:rsidP="000F22D5">
      <w:pPr>
        <w:jc w:val="both"/>
        <w:rPr>
          <w:rFonts w:ascii="Minion Pro" w:eastAsia="MS PGothic" w:hAnsi="Minion Pro" w:hint="eastAsia"/>
          <w:color w:val="000000"/>
        </w:rPr>
      </w:pPr>
      <w:r w:rsidRPr="009C17E6">
        <w:rPr>
          <w:rFonts w:ascii="Minion Pro" w:eastAsia="MS PGothic" w:hAnsi="Minion Pro"/>
          <w:color w:val="000000"/>
        </w:rPr>
        <w:t>Mahmoud M. El-Mas, PhD</w:t>
      </w:r>
      <w:r w:rsidR="009C17E6" w:rsidRPr="009C17E6">
        <w:rPr>
          <w:rFonts w:ascii="Minion Pro" w:eastAsia="MS PGothic" w:hAnsi="Minion Pro"/>
          <w:color w:val="000000"/>
        </w:rPr>
        <w:t xml:space="preserve">, </w:t>
      </w:r>
      <w:r w:rsidRPr="009C17E6">
        <w:rPr>
          <w:rFonts w:ascii="Minion Pro" w:eastAsia="MS PGothic" w:hAnsi="Minion Pro"/>
          <w:color w:val="000000"/>
        </w:rPr>
        <w:t>Alexandria Univer</w:t>
      </w:r>
      <w:proofErr w:type="spellStart"/>
      <w:r w:rsidR="00C822A9" w:rsidRPr="009C17E6">
        <w:rPr>
          <w:rFonts w:ascii="Minion Pro" w:eastAsia="MS PGothic" w:hAnsi="Minion Pro"/>
          <w:color w:val="000000"/>
          <w:lang w:val="en-US"/>
        </w:rPr>
        <w:t>sity</w:t>
      </w:r>
      <w:proofErr w:type="spellEnd"/>
      <w:r w:rsidR="00AC3BCD" w:rsidRPr="009C17E6">
        <w:rPr>
          <w:rFonts w:ascii="Minion Pro" w:eastAsia="MS PGothic" w:hAnsi="Minion Pro"/>
          <w:color w:val="000000"/>
        </w:rPr>
        <w:t xml:space="preserve">, </w:t>
      </w:r>
      <w:r w:rsidRPr="009C17E6">
        <w:rPr>
          <w:rFonts w:ascii="Minion Pro" w:eastAsia="MS PGothic" w:hAnsi="Minion Pro"/>
          <w:color w:val="000000"/>
        </w:rPr>
        <w:t>Egypt</w:t>
      </w:r>
    </w:p>
    <w:p w:rsidR="00116E5E" w:rsidRPr="009C17E6" w:rsidRDefault="00116E5E" w:rsidP="00116E5E">
      <w:pPr>
        <w:jc w:val="lowKashida"/>
        <w:rPr>
          <w:rFonts w:ascii="Minion Pro" w:hAnsi="Minion Pro" w:cstheme="majorBidi"/>
        </w:rPr>
      </w:pPr>
    </w:p>
    <w:p w:rsidR="00237C7D" w:rsidRPr="009C17E6" w:rsidRDefault="00C47589" w:rsidP="00972D4B">
      <w:pPr>
        <w:ind w:right="296"/>
        <w:jc w:val="both"/>
        <w:rPr>
          <w:rFonts w:ascii="Minion Pro" w:eastAsia="AdvP4DF60E" w:hAnsi="Minion Pro" w:cstheme="majorBidi" w:hint="eastAsia"/>
          <w:color w:val="FF0000"/>
        </w:rPr>
      </w:pPr>
      <w:r>
        <w:rPr>
          <w:rFonts w:ascii="Minion Pro" w:hAnsi="Minion Pro" w:cstheme="majorBidi"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4750435</wp:posOffset>
            </wp:positionH>
            <wp:positionV relativeFrom="paragraph">
              <wp:posOffset>5328285</wp:posOffset>
            </wp:positionV>
            <wp:extent cx="1437005" cy="2158365"/>
            <wp:effectExtent l="19050" t="0" r="0" b="0"/>
            <wp:wrapThrough wrapText="bothSides">
              <wp:wrapPolygon edited="0">
                <wp:start x="-286" y="0"/>
                <wp:lineTo x="-286" y="21352"/>
                <wp:lineTo x="21476" y="21352"/>
                <wp:lineTo x="21476" y="0"/>
                <wp:lineTo x="-286" y="0"/>
              </wp:wrapPolygon>
            </wp:wrapThrough>
            <wp:docPr id="12" name="Picture 2" descr="D:\5. P.files\Others\Mahmoud's Pictures\Mahmoud\Mahmoud El-Mas,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5. P.files\Others\Mahmoud's Pictures\Mahmoud\Mahmoud El-Mas,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215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259C" w:rsidRPr="009C17E6">
        <w:rPr>
          <w:rFonts w:ascii="Minion Pro" w:hAnsi="Minion Pro" w:cstheme="majorBidi"/>
          <w:noProof/>
          <w:lang w:val="en-US" w:eastAsia="en-US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2346960</wp:posOffset>
            </wp:positionH>
            <wp:positionV relativeFrom="paragraph">
              <wp:posOffset>2691130</wp:posOffset>
            </wp:positionV>
            <wp:extent cx="4148455" cy="2455545"/>
            <wp:effectExtent l="19050" t="0" r="4445" b="0"/>
            <wp:wrapThrough wrapText="bothSides">
              <wp:wrapPolygon edited="0">
                <wp:start x="9125" y="0"/>
                <wp:lineTo x="0" y="1005"/>
                <wp:lineTo x="-99" y="2514"/>
                <wp:lineTo x="1190" y="2681"/>
                <wp:lineTo x="1190" y="8043"/>
                <wp:lineTo x="1488" y="10725"/>
                <wp:lineTo x="1885" y="16087"/>
                <wp:lineTo x="1289" y="21449"/>
                <wp:lineTo x="1587" y="21449"/>
                <wp:lineTo x="13787" y="21449"/>
                <wp:lineTo x="19739" y="21449"/>
                <wp:lineTo x="21226" y="20946"/>
                <wp:lineTo x="20929" y="13406"/>
                <wp:lineTo x="21425" y="10725"/>
                <wp:lineTo x="21623" y="9887"/>
                <wp:lineTo x="20036" y="8043"/>
                <wp:lineTo x="21326" y="5530"/>
                <wp:lineTo x="21425" y="4860"/>
                <wp:lineTo x="21028" y="4022"/>
                <wp:lineTo x="19838" y="2681"/>
                <wp:lineTo x="19838" y="0"/>
                <wp:lineTo x="9125" y="0"/>
              </wp:wrapPolygon>
            </wp:wrapThrough>
            <wp:docPr id="11" name="Object 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2250400" cy="14733885"/>
                      <a:chOff x="3523456" y="0"/>
                      <a:chExt cx="22250400" cy="14733885"/>
                    </a:xfrm>
                  </a:grpSpPr>
                  <a:grpSp>
                    <a:nvGrpSpPr>
                      <a:cNvPr id="88" name="Group 87"/>
                      <a:cNvGrpSpPr/>
                    </a:nvGrpSpPr>
                    <a:grpSpPr>
                      <a:xfrm>
                        <a:off x="3523456" y="0"/>
                        <a:ext cx="22250400" cy="14733885"/>
                        <a:chOff x="3523456" y="0"/>
                        <a:chExt cx="22250400" cy="14733885"/>
                      </a:xfrm>
                    </a:grpSpPr>
                    <a:sp>
                      <a:nvSpPr>
                        <a:cNvPr id="202" name="Rounded Rectangle 201"/>
                        <a:cNvSpPr/>
                      </a:nvSpPr>
                      <a:spPr>
                        <a:xfrm>
                          <a:off x="5441797" y="4589900"/>
                          <a:ext cx="3879526" cy="6473745"/>
                        </a:xfrm>
                        <a:prstGeom prst="roundRect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cxnSp>
                      <a:nvCxnSpPr>
                        <a:cNvPr id="119" name="Straight Arrow Connector 118"/>
                        <a:cNvCxnSpPr/>
                      </a:nvCxnSpPr>
                      <a:spPr>
                        <a:xfrm flipV="1">
                          <a:off x="17636094" y="1845781"/>
                          <a:ext cx="693954" cy="1320956"/>
                        </a:xfrm>
                        <a:prstGeom prst="straightConnector1">
                          <a:avLst/>
                        </a:prstGeom>
                        <a:ln w="101600">
                          <a:solidFill>
                            <a:schemeClr val="accent2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21" name="Rectangle 120"/>
                        <a:cNvSpPr/>
                      </a:nvSpPr>
                      <a:spPr>
                        <a:xfrm>
                          <a:off x="21706760" y="6021734"/>
                          <a:ext cx="561082" cy="455640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pic>
                      <a:nvPicPr>
                        <a:cNvPr id="122" name="Picture 19"/>
                        <a:cNvPicPr preferRelativeResize="0">
                          <a:picLocks noChangeArrowheads="1"/>
                        </a:cNvPicPr>
                      </a:nvPicPr>
                      <a:blipFill>
                        <a:blip r:embed="rId9" cstate="print">
                          <a:extLst>
                            <a:ext uri="{BEBA8EAE-BF5A-486C-A8C5-ECC9F3942E4B}">
                              <a14:imgProps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  <a14:imgLayer r:embed="rId10">
                                  <a14:imgEffect>
                                    <a14:brightnessContrast bright="-20000"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0186511" y="5240197"/>
                          <a:ext cx="2552244" cy="30702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  <a:extLst>
                          <a:ext uri="{909E8E84-426E-40DD-AFC4-6F175D3DCCD1}">
                            <a14:hiddenFill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pic>
                    <a:cxnSp>
                      <a:nvCxnSpPr>
                        <a:cNvPr id="123" name="Straight Arrow Connector 122"/>
                        <a:cNvCxnSpPr/>
                      </a:nvCxnSpPr>
                      <a:spPr>
                        <a:xfrm flipH="1" flipV="1">
                          <a:off x="6521938" y="11504755"/>
                          <a:ext cx="9591269" cy="98605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24" name="Straight Arrow Connector 123"/>
                        <a:cNvCxnSpPr/>
                      </a:nvCxnSpPr>
                      <a:spPr>
                        <a:xfrm flipH="1">
                          <a:off x="10283232" y="5504883"/>
                          <a:ext cx="5602033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25" name="Rounded Rectangle 124"/>
                        <a:cNvSpPr/>
                      </a:nvSpPr>
                      <a:spPr>
                        <a:xfrm>
                          <a:off x="15090740" y="5946384"/>
                          <a:ext cx="2882173" cy="4621250"/>
                        </a:xfrm>
                        <a:prstGeom prst="roundRect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26" name="Rectangle 125"/>
                        <a:cNvSpPr/>
                      </a:nvSpPr>
                      <a:spPr>
                        <a:xfrm>
                          <a:off x="11837505" y="6129508"/>
                          <a:ext cx="517237" cy="43408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27" name="Rounded Rectangle 126"/>
                        <a:cNvSpPr/>
                      </a:nvSpPr>
                      <a:spPr>
                        <a:xfrm>
                          <a:off x="11837504" y="5978809"/>
                          <a:ext cx="3067233" cy="4556401"/>
                        </a:xfrm>
                        <a:prstGeom prst="roundRect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cxnSp>
                      <a:nvCxnSpPr>
                        <a:cNvPr id="128" name="Straight Arrow Connector 127"/>
                        <a:cNvCxnSpPr/>
                      </a:nvCxnSpPr>
                      <a:spPr>
                        <a:xfrm flipH="1">
                          <a:off x="7393419" y="1367034"/>
                          <a:ext cx="14614" cy="393962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29" name="Straight Arrow Connector 128"/>
                        <a:cNvCxnSpPr/>
                      </a:nvCxnSpPr>
                      <a:spPr>
                        <a:xfrm flipV="1">
                          <a:off x="14118804" y="9465073"/>
                          <a:ext cx="1478399" cy="960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30" name="Straight Arrow Connector 129"/>
                        <a:cNvCxnSpPr/>
                      </a:nvCxnSpPr>
                      <a:spPr>
                        <a:xfrm flipV="1">
                          <a:off x="9624373" y="12897644"/>
                          <a:ext cx="2052483" cy="27645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pic>
                      <a:nvPicPr>
                        <a:cNvPr id="131" name="Picture 2" descr="http://seattlelabtest.com/static/photologue/photos/Kidney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</a:ext>
                          </a:extLst>
                        </a:blip>
                        <a:srcRect l="11188" t="3239" r="5913" b="2495"/>
                        <a:stretch/>
                      </a:blipFill>
                      <a:spPr bwMode="auto">
                        <a:xfrm>
                          <a:off x="22970164" y="7113043"/>
                          <a:ext cx="2542572" cy="498825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sp>
                      <a:nvSpPr>
                        <a:cNvPr id="132" name="TextBox 131"/>
                        <a:cNvSpPr txBox="1"/>
                      </a:nvSpPr>
                      <a:spPr>
                        <a:xfrm>
                          <a:off x="23628043" y="12282202"/>
                          <a:ext cx="1688613" cy="1225042"/>
                        </a:xfrm>
                        <a:prstGeom prst="rect">
                          <a:avLst/>
                        </a:prstGeom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Renal Failure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133" name="Straight Arrow Connector 132"/>
                        <a:cNvCxnSpPr/>
                      </a:nvCxnSpPr>
                      <a:spPr>
                        <a:xfrm>
                          <a:off x="10709862" y="3273943"/>
                          <a:ext cx="0" cy="9152778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34" name="Pie 133"/>
                        <a:cNvSpPr/>
                      </a:nvSpPr>
                      <a:spPr>
                        <a:xfrm rot="20930552">
                          <a:off x="7876464" y="5993930"/>
                          <a:ext cx="1225865" cy="1462051"/>
                        </a:xfrm>
                        <a:prstGeom prst="pie">
                          <a:avLst>
                            <a:gd name="adj1" fmla="val 21387087"/>
                            <a:gd name="adj2" fmla="val 13436403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>
                          <a:glow rad="101600">
                            <a:schemeClr val="accent3">
                              <a:lumMod val="75000"/>
                              <a:alpha val="6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>
                              <a:solidFill>
                                <a:schemeClr val="tx1"/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35" name="TextBox 134"/>
                        <a:cNvSpPr txBox="1"/>
                      </a:nvSpPr>
                      <a:spPr>
                        <a:xfrm>
                          <a:off x="7905992" y="6609161"/>
                          <a:ext cx="1268260" cy="879574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32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ET-A</a:t>
                            </a:r>
                            <a:endParaRPr lang="en-US" sz="32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36" name="TextBox 135"/>
                        <a:cNvSpPr txBox="1"/>
                      </a:nvSpPr>
                      <a:spPr>
                        <a:xfrm>
                          <a:off x="12708957" y="8678143"/>
                          <a:ext cx="1433849" cy="740868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4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ROS</a:t>
                            </a: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37" name="TextBox 136"/>
                        <a:cNvSpPr txBox="1"/>
                      </a:nvSpPr>
                      <a:spPr>
                        <a:xfrm>
                          <a:off x="15613948" y="8665527"/>
                          <a:ext cx="2173338" cy="1047616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IL-2</a:t>
                            </a:r>
                            <a:endParaRPr lang="en-US" sz="40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39" name="TextBox 138"/>
                        <a:cNvSpPr txBox="1"/>
                      </a:nvSpPr>
                      <a:spPr>
                        <a:xfrm>
                          <a:off x="6188932" y="5306655"/>
                          <a:ext cx="2541682" cy="1050259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4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ET-1</a:t>
                            </a:r>
                            <a:endParaRPr lang="en-US" sz="44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40" name="TextBox 139"/>
                        <a:cNvSpPr txBox="1"/>
                      </a:nvSpPr>
                      <a:spPr>
                        <a:xfrm>
                          <a:off x="15597203" y="6622406"/>
                          <a:ext cx="2190084" cy="1047616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000" b="1" dirty="0">
                                <a:latin typeface="Arial" pitchFamily="34" charset="0"/>
                                <a:cs typeface="Arial" pitchFamily="34" charset="0"/>
                              </a:rPr>
                              <a:t>TGF-</a:t>
                            </a:r>
                            <a:r>
                              <a:rPr lang="el-GR" sz="4000" b="1" dirty="0">
                                <a:latin typeface="Arial" pitchFamily="34" charset="0"/>
                                <a:cs typeface="Arial" pitchFamily="34" charset="0"/>
                              </a:rPr>
                              <a:t>β</a:t>
                            </a:r>
                            <a:r>
                              <a:rPr lang="en-US" sz="4000" b="1" dirty="0">
                                <a:latin typeface="Arial" pitchFamily="34" charset="0"/>
                                <a:cs typeface="Arial" pitchFamily="34" charset="0"/>
                              </a:rPr>
                              <a:t>1</a:t>
                            </a: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41" name="TextBox 140"/>
                        <a:cNvSpPr txBox="1"/>
                      </a:nvSpPr>
                      <a:spPr>
                        <a:xfrm>
                          <a:off x="12755625" y="6502854"/>
                          <a:ext cx="1167203" cy="963595"/>
                        </a:xfrm>
                        <a:prstGeom prst="rect">
                          <a:avLst/>
                        </a:prstGeom>
                        <a:ln w="38100"/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NO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42" name="TextBox 141"/>
                        <a:cNvSpPr txBox="1"/>
                      </a:nvSpPr>
                      <a:spPr>
                        <a:xfrm rot="20312964">
                          <a:off x="22809207" y="6246244"/>
                          <a:ext cx="1173712" cy="1029255"/>
                        </a:xfrm>
                        <a:prstGeom prst="rect">
                          <a:avLst/>
                        </a:prstGeom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b="1" dirty="0" smtClean="0"/>
                              <a:t>Cr </a:t>
                            </a:r>
                            <a:r>
                              <a:rPr lang="en-US" b="1" dirty="0">
                                <a:sym typeface="Symbol"/>
                              </a:rPr>
                              <a:t></a:t>
                            </a:r>
                            <a:endParaRPr lang="en-US" b="1" dirty="0"/>
                          </a:p>
                        </a:txBody>
                        <a:useSpRect/>
                      </a:txSp>
                      <a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cxnSp>
                      <a:nvCxnSpPr>
                        <a:cNvPr id="144" name="Straight Arrow Connector 143"/>
                        <a:cNvCxnSpPr/>
                      </a:nvCxnSpPr>
                      <a:spPr>
                        <a:xfrm flipH="1" flipV="1">
                          <a:off x="13306493" y="9972666"/>
                          <a:ext cx="5582" cy="2033322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45" name="TextBox 144"/>
                        <a:cNvSpPr txBox="1"/>
                      </a:nvSpPr>
                      <a:spPr>
                        <a:xfrm rot="1547593">
                          <a:off x="24216612" y="6372100"/>
                          <a:ext cx="1557244" cy="1029255"/>
                        </a:xfrm>
                        <a:prstGeom prst="rect">
                          <a:avLst/>
                        </a:prstGeom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b="1" dirty="0" smtClean="0"/>
                              <a:t>Urea </a:t>
                            </a:r>
                            <a:r>
                              <a:rPr lang="en-US" b="1" dirty="0" smtClean="0">
                                <a:sym typeface="Symbol"/>
                              </a:rPr>
                              <a:t></a:t>
                            </a:r>
                            <a:endParaRPr lang="en-US" b="1" dirty="0"/>
                          </a:p>
                        </a:txBody>
                        <a:useSpRect/>
                      </a:txSp>
                      <a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cxnSp>
                      <a:nvCxnSpPr>
                        <a:cNvPr id="147" name="Straight Arrow Connector 146"/>
                        <a:cNvCxnSpPr/>
                      </a:nvCxnSpPr>
                      <a:spPr>
                        <a:xfrm flipV="1">
                          <a:off x="19134684" y="13565515"/>
                          <a:ext cx="0" cy="68388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bg1"/>
                          </a:solidFill>
                          <a:tailEnd type="arrow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48" name="TextBox 147"/>
                        <a:cNvSpPr txBox="1"/>
                      </a:nvSpPr>
                      <a:spPr>
                        <a:xfrm>
                          <a:off x="15866148" y="3472799"/>
                          <a:ext cx="2352398" cy="63258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COX-2</a:t>
                            </a:r>
                            <a:endParaRPr lang="en-US" sz="40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a:style>
                    </a:sp>
                    <a:pic>
                      <a:nvPicPr>
                        <a:cNvPr id="150" name="Picture 149" descr="http://www.blobs.org/science/cells/arteriole.gif"/>
                        <a:cNvPicPr>
                          <a:picLocks noChangeAspect="1" noChangeArrowheads="1"/>
                        </a:cNvPicPr>
                      </a:nvPicPr>
                      <a:blipFill>
                        <a:blip r:embed="rId12" cstate="print">
                          <a:extLst>
                            <a:ext uri="{28A0092B-C50C-407E-A947-70E740481C1C}">
                              <a14:useLocalDpi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 rot="20342452">
                          <a:off x="8116152" y="7687327"/>
                          <a:ext cx="713792" cy="23792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292100" dist="139700" dir="2700000" algn="tl" rotWithShape="0">
                            <a:srgbClr val="333333">
                              <a:alpha val="65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52" name="Picture 4" descr="http://t1.gstatic.com/images?q=tbn:ANd9GcS_IbpHnxznX5P5w-sFIM5AQDLMOfOUgPQ9X02jCwhy9u16Uwb6rQ"/>
                        <a:cNvPicPr>
                          <a:picLocks noChangeAspect="1" noChangeArrowheads="1"/>
                        </a:cNvPicPr>
                      </a:nvPicPr>
                      <a:blipFill>
                        <a:blip r:embed="rId13" cstate="print">
                          <a:extLst>
                            <a:ext uri="{BEBA8EAE-BF5A-486C-A8C5-ECC9F3942E4B}">
                              <a14:imgProps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  <a14:imgLayer r:embed="rId14">
                                  <a14:imgEffect>
                                    <a14:backgroundRemoval t="10000" b="90000" l="10000" r="9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 flipH="1">
                          <a:off x="5717806" y="6877183"/>
                          <a:ext cx="1768948" cy="39404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sp>
                      <a:nvSpPr>
                        <a:cNvPr id="155" name="TextBox 154"/>
                        <a:cNvSpPr txBox="1"/>
                      </a:nvSpPr>
                      <a:spPr>
                        <a:xfrm>
                          <a:off x="5276057" y="12341257"/>
                          <a:ext cx="3967316" cy="1015663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 sz="1200" b="1" dirty="0" smtClean="0">
                              <a:latin typeface="Arial" pitchFamily="34" charset="0"/>
                              <a:cs typeface="Arial" pitchFamily="34" charset="0"/>
                            </a:endParaRPr>
                          </a:p>
                          <a:p>
                            <a:pPr algn="ctr"/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Vasoconstriction</a:t>
                            </a:r>
                          </a:p>
                          <a:p>
                            <a:pPr algn="ctr"/>
                            <a:endParaRPr lang="en-US" sz="12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57" name="TextBox 156"/>
                        <a:cNvSpPr txBox="1"/>
                      </a:nvSpPr>
                      <a:spPr>
                        <a:xfrm>
                          <a:off x="12041234" y="12364243"/>
                          <a:ext cx="2541682" cy="1200328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Renal ischemia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159" name="Straight Arrow Connector 158"/>
                        <a:cNvCxnSpPr/>
                      </a:nvCxnSpPr>
                      <a:spPr>
                        <a:xfrm flipV="1">
                          <a:off x="13278292" y="7850331"/>
                          <a:ext cx="0" cy="827814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60" name="Straight Arrow Connector 159"/>
                        <a:cNvCxnSpPr>
                          <a:endCxn id="140" idx="1"/>
                        </a:cNvCxnSpPr>
                      </a:nvCxnSpPr>
                      <a:spPr>
                        <a:xfrm flipV="1">
                          <a:off x="14142806" y="7146215"/>
                          <a:ext cx="1454397" cy="2318859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62" name="Pie 161"/>
                        <a:cNvSpPr/>
                      </a:nvSpPr>
                      <a:spPr>
                        <a:xfrm rot="669448" flipH="1">
                          <a:off x="5637912" y="6018879"/>
                          <a:ext cx="1225865" cy="1462051"/>
                        </a:xfrm>
                        <a:prstGeom prst="pie">
                          <a:avLst>
                            <a:gd name="adj1" fmla="val 21387087"/>
                            <a:gd name="adj2" fmla="val 13436403"/>
                          </a:avLst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>
                          <a:glow rad="101600">
                            <a:schemeClr val="accent3">
                              <a:lumMod val="75000"/>
                              <a:alpha val="6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>
                              <a:solidFill>
                                <a:schemeClr val="tx1"/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63" name="TextBox 162"/>
                        <a:cNvSpPr txBox="1"/>
                      </a:nvSpPr>
                      <a:spPr>
                        <a:xfrm>
                          <a:off x="5690703" y="6705599"/>
                          <a:ext cx="1551504" cy="644394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32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ET-B</a:t>
                            </a:r>
                            <a:endParaRPr lang="en-US" sz="32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65" name="TextBox 164"/>
                        <a:cNvSpPr txBox="1"/>
                      </a:nvSpPr>
                      <a:spPr>
                        <a:xfrm>
                          <a:off x="20448956" y="11063646"/>
                          <a:ext cx="2178117" cy="1200329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Renal fibrosis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166" name="Straight Arrow Connector 165"/>
                        <a:cNvCxnSpPr/>
                      </a:nvCxnSpPr>
                      <a:spPr>
                        <a:xfrm flipH="1" flipV="1">
                          <a:off x="10715744" y="7154523"/>
                          <a:ext cx="1993213" cy="8542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67" name="Straight Arrow Connector 166"/>
                        <a:cNvCxnSpPr/>
                      </a:nvCxnSpPr>
                      <a:spPr>
                        <a:xfrm flipH="1">
                          <a:off x="17972915" y="8327461"/>
                          <a:ext cx="2213596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triangl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68" name="Straight Arrow Connector 167"/>
                        <a:cNvCxnSpPr/>
                      </a:nvCxnSpPr>
                      <a:spPr>
                        <a:xfrm flipV="1">
                          <a:off x="17229571" y="4722132"/>
                          <a:ext cx="0" cy="1900275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70" name="TextBox 169"/>
                        <a:cNvSpPr txBox="1"/>
                      </a:nvSpPr>
                      <a:spPr>
                        <a:xfrm>
                          <a:off x="15338230" y="882187"/>
                          <a:ext cx="1535037" cy="963595"/>
                        </a:xfrm>
                        <a:prstGeom prst="rect">
                          <a:avLst/>
                        </a:prstGeom>
                        <a:ln w="38100"/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PGE2    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71" name="TextBox 170"/>
                        <a:cNvSpPr txBox="1"/>
                      </a:nvSpPr>
                      <a:spPr>
                        <a:xfrm>
                          <a:off x="17816253" y="882188"/>
                          <a:ext cx="1404283" cy="963595"/>
                        </a:xfrm>
                        <a:prstGeom prst="rect">
                          <a:avLst/>
                        </a:prstGeom>
                        <a:ln w="38100"/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PGI2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74" name="Rounded Rectangle 173"/>
                        <a:cNvSpPr/>
                      </a:nvSpPr>
                      <a:spPr>
                        <a:xfrm>
                          <a:off x="14996039" y="520051"/>
                          <a:ext cx="4467065" cy="3990811"/>
                        </a:xfrm>
                        <a:prstGeom prst="roundRect">
                          <a:avLst/>
                        </a:prstGeom>
                        <a:noFill/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cxnSp>
                      <a:nvCxnSpPr>
                        <a:cNvPr id="175" name="Straight Arrow Connector 174"/>
                        <a:cNvCxnSpPr/>
                      </a:nvCxnSpPr>
                      <a:spPr>
                        <a:xfrm flipH="1">
                          <a:off x="19557805" y="3166736"/>
                          <a:ext cx="1853591" cy="1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76" name="Straight Arrow Connector 175"/>
                        <a:cNvCxnSpPr/>
                      </a:nvCxnSpPr>
                      <a:spPr>
                        <a:xfrm>
                          <a:off x="21411396" y="3166736"/>
                          <a:ext cx="0" cy="2162823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77" name="Straight Arrow Connector 176"/>
                        <a:cNvCxnSpPr/>
                      </a:nvCxnSpPr>
                      <a:spPr>
                        <a:xfrm>
                          <a:off x="19906456" y="12973844"/>
                          <a:ext cx="3585775" cy="60585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78" name="TextBox 177"/>
                        <a:cNvSpPr txBox="1"/>
                      </a:nvSpPr>
                      <a:spPr>
                        <a:xfrm>
                          <a:off x="21944339" y="3048000"/>
                          <a:ext cx="3677117" cy="707886"/>
                        </a:xfrm>
                        <a:prstGeom prst="rect">
                          <a:avLst/>
                        </a:prstGeom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Hypertension</a:t>
                            </a:r>
                            <a:endParaRPr lang="en-US" sz="40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179" name="Straight Arrow Connector 178"/>
                        <a:cNvCxnSpPr/>
                      </a:nvCxnSpPr>
                      <a:spPr>
                        <a:xfrm flipV="1">
                          <a:off x="24121844" y="4132443"/>
                          <a:ext cx="0" cy="3073118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80" name="Straight Arrow Connector 179"/>
                        <a:cNvCxnSpPr/>
                      </a:nvCxnSpPr>
                      <a:spPr>
                        <a:xfrm>
                          <a:off x="6521938" y="10024052"/>
                          <a:ext cx="0" cy="1300649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81" name="Straight Arrow Connector 180"/>
                        <a:cNvCxnSpPr/>
                      </a:nvCxnSpPr>
                      <a:spPr>
                        <a:xfrm flipH="1">
                          <a:off x="10709865" y="3358805"/>
                          <a:ext cx="4194872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83" name="Straight Arrow Connector 182"/>
                        <a:cNvCxnSpPr/>
                      </a:nvCxnSpPr>
                      <a:spPr>
                        <a:xfrm>
                          <a:off x="16252078" y="9672950"/>
                          <a:ext cx="0" cy="1930408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triangl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84" name="Straight Arrow Connector 183"/>
                        <a:cNvCxnSpPr/>
                      </a:nvCxnSpPr>
                      <a:spPr>
                        <a:xfrm flipH="1">
                          <a:off x="16019230" y="5419783"/>
                          <a:ext cx="8035" cy="1271642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85" name="Straight Arrow Connector 184"/>
                        <a:cNvCxnSpPr/>
                      </a:nvCxnSpPr>
                      <a:spPr>
                        <a:xfrm flipH="1">
                          <a:off x="10257308" y="5419783"/>
                          <a:ext cx="25924" cy="6183575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pic>
                      <a:nvPicPr>
                        <a:cNvPr id="186" name="Picture 16"/>
                        <a:cNvPicPr preferRelativeResize="0">
                          <a:picLocks noChangeArrowheads="1"/>
                        </a:cNvPicPr>
                      </a:nvPicPr>
                      <a:blipFill>
                        <a:blip r:embed="rId15" cstate="print">
                          <a:extLst>
                            <a:ext uri="{BEBA8EAE-BF5A-486C-A8C5-ECC9F3942E4B}">
                              <a14:imgProps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  <a14:imgLayer r:embed="rId16">
                                  <a14:imgEffect>
                                    <a14:brightnessContrast bright="-20000"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 rot="5400000">
                          <a:off x="20121742" y="8392229"/>
                          <a:ext cx="2681782" cy="25522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  <a:extLst>
                          <a:ext uri="{909E8E84-426E-40DD-AFC4-6F175D3DCCD1}">
                            <a14:hiddenFill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pic>
                    <a:cxnSp>
                      <a:nvCxnSpPr>
                        <a:cNvPr id="188" name="Straight Arrow Connector 187"/>
                        <a:cNvCxnSpPr/>
                      </a:nvCxnSpPr>
                      <a:spPr>
                        <a:xfrm>
                          <a:off x="15141448" y="12897644"/>
                          <a:ext cx="1564608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89" name="TextBox 188"/>
                        <a:cNvSpPr txBox="1"/>
                      </a:nvSpPr>
                      <a:spPr>
                        <a:xfrm>
                          <a:off x="17163256" y="12306916"/>
                          <a:ext cx="2438400" cy="1200328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Tubular atrophy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90" name="TextBox 189"/>
                        <a:cNvSpPr txBox="1"/>
                      </a:nvSpPr>
                      <a:spPr>
                        <a:xfrm>
                          <a:off x="11676856" y="4038599"/>
                          <a:ext cx="2467142" cy="1200328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Tissue stiffness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192" name="Straight Arrow Connector 191"/>
                        <a:cNvCxnSpPr/>
                      </a:nvCxnSpPr>
                      <a:spPr>
                        <a:xfrm flipV="1">
                          <a:off x="13245000" y="5107359"/>
                          <a:ext cx="0" cy="87145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94" name="Straight Arrow Connector 193"/>
                        <a:cNvCxnSpPr/>
                      </a:nvCxnSpPr>
                      <a:spPr>
                        <a:xfrm flipV="1">
                          <a:off x="14118804" y="4248147"/>
                          <a:ext cx="751200" cy="491858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95" name="Straight Arrow Connector 194"/>
                        <a:cNvCxnSpPr/>
                      </a:nvCxnSpPr>
                      <a:spPr>
                        <a:xfrm flipH="1">
                          <a:off x="13306493" y="0"/>
                          <a:ext cx="10767358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96" name="Straight Arrow Connector 195"/>
                        <a:cNvCxnSpPr/>
                      </a:nvCxnSpPr>
                      <a:spPr>
                        <a:xfrm>
                          <a:off x="24113061" y="0"/>
                          <a:ext cx="0" cy="2809377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97" name="Straight Arrow Connector 196"/>
                        <a:cNvCxnSpPr/>
                      </a:nvCxnSpPr>
                      <a:spPr>
                        <a:xfrm flipH="1">
                          <a:off x="13268095" y="0"/>
                          <a:ext cx="19332" cy="413058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99" name="Straight Arrow Connector 198"/>
                        <a:cNvCxnSpPr/>
                      </a:nvCxnSpPr>
                      <a:spPr>
                        <a:xfrm>
                          <a:off x="13084248" y="7814457"/>
                          <a:ext cx="406358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00" name="Straight Arrow Connector 199"/>
                        <a:cNvCxnSpPr/>
                      </a:nvCxnSpPr>
                      <a:spPr>
                        <a:xfrm>
                          <a:off x="17026392" y="4722132"/>
                          <a:ext cx="406358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01" name="Straight Arrow Connector 200"/>
                        <a:cNvCxnSpPr/>
                      </a:nvCxnSpPr>
                      <a:spPr>
                        <a:xfrm flipH="1" flipV="1">
                          <a:off x="14808348" y="3820033"/>
                          <a:ext cx="154299" cy="756416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03" name="Straight Arrow Connector 202"/>
                        <a:cNvCxnSpPr/>
                      </a:nvCxnSpPr>
                      <a:spPr>
                        <a:xfrm flipH="1">
                          <a:off x="7351497" y="11087493"/>
                          <a:ext cx="14614" cy="1339227"/>
                        </a:xfrm>
                        <a:prstGeom prst="straightConnector1">
                          <a:avLst/>
                        </a:prstGeom>
                        <a:ln w="152400">
                          <a:solidFill>
                            <a:schemeClr val="tx1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04" name="Straight Arrow Connector 203"/>
                        <a:cNvCxnSpPr/>
                      </a:nvCxnSpPr>
                      <a:spPr>
                        <a:xfrm flipH="1" flipV="1">
                          <a:off x="8943070" y="7265204"/>
                          <a:ext cx="1199770" cy="15511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05" name="Straight Arrow Connector 204"/>
                        <a:cNvCxnSpPr/>
                      </a:nvCxnSpPr>
                      <a:spPr>
                        <a:xfrm flipH="1" flipV="1">
                          <a:off x="16353640" y="1890391"/>
                          <a:ext cx="693954" cy="1320956"/>
                        </a:xfrm>
                        <a:prstGeom prst="straightConnector1">
                          <a:avLst/>
                        </a:prstGeom>
                        <a:ln w="101600">
                          <a:solidFill>
                            <a:schemeClr val="accent2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035" name="Curved Connector 1034"/>
                        <a:cNvCxnSpPr/>
                      </a:nvCxnSpPr>
                      <a:spPr>
                        <a:xfrm rot="16200000" flipH="1">
                          <a:off x="5782545" y="3081919"/>
                          <a:ext cx="4952221" cy="1597764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33" name="Curved Connector 232"/>
                        <a:cNvCxnSpPr/>
                      </a:nvCxnSpPr>
                      <a:spPr>
                        <a:xfrm rot="5400000">
                          <a:off x="4139534" y="3085753"/>
                          <a:ext cx="4754310" cy="1597764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non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052" name="Straight Connector 1051"/>
                        <a:cNvCxnSpPr/>
                      </a:nvCxnSpPr>
                      <a:spPr>
                        <a:xfrm flipV="1">
                          <a:off x="5477710" y="6261791"/>
                          <a:ext cx="395285" cy="36952"/>
                        </a:xfrm>
                        <a:prstGeom prst="line">
                          <a:avLst/>
                        </a:prstGeom>
                        <a:ln w="127000">
                          <a:solidFill>
                            <a:schemeClr val="tx1"/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38" name="TextBox 137"/>
                        <a:cNvSpPr txBox="1"/>
                      </a:nvSpPr>
                      <a:spPr>
                        <a:xfrm>
                          <a:off x="6516689" y="520051"/>
                          <a:ext cx="1719241" cy="687591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400" dirty="0" smtClean="0">
                                <a:ln w="18415" cmpd="sng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  <a:solidFill>
                                  <a:srgbClr val="FFFFFF"/>
                                </a:solidFill>
                                <a:effectLst>
                                  <a:outerShdw blurRad="63500" dir="36000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latin typeface="Arial" pitchFamily="34" charset="0"/>
                                <a:cs typeface="Arial" pitchFamily="34" charset="0"/>
                              </a:rPr>
                              <a:t>CSA</a:t>
                            </a:r>
                            <a:endParaRPr lang="en-US" sz="4400" dirty="0">
                              <a:ln w="18415" cmpd="sng">
                                <a:solidFill>
                                  <a:srgbClr val="FFFFFF"/>
                                </a:solidFill>
                                <a:prstDash val="solid"/>
                              </a:ln>
                              <a:solidFill>
                                <a:srgbClr val="FFFFFF"/>
                              </a:solidFill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241" name="Straight Arrow Connector 240"/>
                        <a:cNvCxnSpPr/>
                      </a:nvCxnSpPr>
                      <a:spPr>
                        <a:xfrm>
                          <a:off x="4875958" y="6666607"/>
                          <a:ext cx="690030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242" name="TextBox 241"/>
                        <a:cNvSpPr txBox="1"/>
                      </a:nvSpPr>
                      <a:spPr>
                        <a:xfrm>
                          <a:off x="8489396" y="878574"/>
                          <a:ext cx="4040112" cy="687591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400" dirty="0" smtClean="0">
                                <a:ln w="18415" cmpd="sng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  <a:solidFill>
                                  <a:srgbClr val="FFFFFF"/>
                                </a:solidFill>
                                <a:effectLst>
                                  <a:outerShdw blurRad="63500" dir="36000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latin typeface="Arial" pitchFamily="34" charset="0"/>
                                <a:cs typeface="Arial" pitchFamily="34" charset="0"/>
                              </a:rPr>
                              <a:t>Indomethacin</a:t>
                            </a:r>
                            <a:endParaRPr lang="en-US" sz="4400" dirty="0">
                              <a:ln w="18415" cmpd="sng">
                                <a:solidFill>
                                  <a:srgbClr val="FFFFFF"/>
                                </a:solidFill>
                                <a:prstDash val="solid"/>
                              </a:ln>
                              <a:solidFill>
                                <a:srgbClr val="FFFFFF"/>
                              </a:solidFill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245" name="Straight Arrow Connector 244"/>
                        <a:cNvCxnSpPr/>
                      </a:nvCxnSpPr>
                      <a:spPr>
                        <a:xfrm flipH="1">
                          <a:off x="9925493" y="1732649"/>
                          <a:ext cx="14614" cy="4992306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53" name="Straight Arrow Connector 252"/>
                        <a:cNvCxnSpPr/>
                      </a:nvCxnSpPr>
                      <a:spPr>
                        <a:xfrm>
                          <a:off x="9174253" y="6666607"/>
                          <a:ext cx="758548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triangle" w="med" len="med"/>
                          <a:tailEnd type="non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57" name="Straight Arrow Connector 256"/>
                        <a:cNvCxnSpPr/>
                      </a:nvCxnSpPr>
                      <a:spPr>
                        <a:xfrm flipH="1">
                          <a:off x="4875958" y="1768174"/>
                          <a:ext cx="14614" cy="4992306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240" name="TextBox 239"/>
                        <a:cNvSpPr txBox="1"/>
                      </a:nvSpPr>
                      <a:spPr>
                        <a:xfrm>
                          <a:off x="3523456" y="878574"/>
                          <a:ext cx="2824092" cy="687591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400" dirty="0" err="1" smtClean="0">
                                <a:ln w="18415" cmpd="sng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  <a:solidFill>
                                  <a:srgbClr val="FFFFFF"/>
                                </a:solidFill>
                                <a:effectLst>
                                  <a:outerShdw blurRad="63500" dir="36000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latin typeface="Arial" pitchFamily="34" charset="0"/>
                                <a:cs typeface="Arial" pitchFamily="34" charset="0"/>
                              </a:rPr>
                              <a:t>Celecoxib</a:t>
                            </a:r>
                            <a:endParaRPr lang="en-US" sz="4400" dirty="0">
                              <a:ln w="18415" cmpd="sng">
                                <a:solidFill>
                                  <a:srgbClr val="FFFFFF"/>
                                </a:solidFill>
                                <a:prstDash val="solid"/>
                              </a:ln>
                              <a:solidFill>
                                <a:srgbClr val="FFFFFF"/>
                              </a:solidFill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83" name="TextBox 82"/>
                        <a:cNvSpPr txBox="1"/>
                      </a:nvSpPr>
                      <a:spPr>
                        <a:xfrm>
                          <a:off x="4751562" y="13964444"/>
                          <a:ext cx="21022294" cy="769441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4400" b="1" dirty="0" smtClean="0"/>
                              <a:t>Figure 1. Signaling pathways of the CSA/NSAIDs hemodynamic and renal interactions</a:t>
                            </a:r>
                            <a:endParaRPr lang="en-US" sz="4400" b="1" dirty="0"/>
                          </a:p>
                        </a:txBody>
                        <a:useSpRect/>
                      </a:txSp>
                    </a:sp>
                    <a:cxnSp>
                      <a:nvCxnSpPr>
                        <a:cNvPr id="86" name="Straight Arrow Connector 85"/>
                        <a:cNvCxnSpPr/>
                      </a:nvCxnSpPr>
                      <a:spPr>
                        <a:xfrm>
                          <a:off x="22344856" y="12211844"/>
                          <a:ext cx="1143000" cy="60960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</a:grpSp>
                </lc:lockedCanvas>
              </a:graphicData>
            </a:graphic>
          </wp:anchor>
        </w:drawing>
      </w:r>
      <w:r w:rsidR="00972D4B">
        <w:rPr>
          <w:rFonts w:ascii="Minion Pro" w:hAnsi="Minion Pro" w:cstheme="majorBidi"/>
        </w:rPr>
        <w:t xml:space="preserve">In clinical practice, </w:t>
      </w:r>
      <w:r w:rsidR="00406973">
        <w:rPr>
          <w:rFonts w:ascii="Minion Pro" w:hAnsi="Minion Pro" w:cstheme="majorBidi"/>
        </w:rPr>
        <w:t xml:space="preserve">the immunosuppressant drug </w:t>
      </w:r>
      <w:r w:rsidR="00972D4B">
        <w:rPr>
          <w:rFonts w:ascii="Minion Pro" w:hAnsi="Minion Pro" w:cstheme="majorBidi"/>
        </w:rPr>
        <w:t>c</w:t>
      </w:r>
      <w:r w:rsidR="00116E5E" w:rsidRPr="009C17E6">
        <w:rPr>
          <w:rFonts w:ascii="Minion Pro" w:hAnsi="Minion Pro" w:cstheme="majorBidi"/>
        </w:rPr>
        <w:t xml:space="preserve">yclosporine (CSA) </w:t>
      </w:r>
      <w:r w:rsidR="00972D4B">
        <w:rPr>
          <w:rFonts w:ascii="Minion Pro" w:hAnsi="Minion Pro" w:cstheme="majorBidi"/>
        </w:rPr>
        <w:t>is commonly used with</w:t>
      </w:r>
      <w:r w:rsidR="00116E5E" w:rsidRPr="009C17E6">
        <w:rPr>
          <w:rFonts w:ascii="Minion Pro" w:hAnsi="Minion Pro" w:cstheme="majorBidi"/>
        </w:rPr>
        <w:t xml:space="preserve"> nonsteroidal antiinflammatory drugs (NSAIDs) in arthritic condition</w:t>
      </w:r>
      <w:r w:rsidR="002A23DD" w:rsidRPr="009C17E6">
        <w:rPr>
          <w:rFonts w:ascii="Minion Pro" w:hAnsi="Minion Pro" w:cstheme="majorBidi"/>
        </w:rPr>
        <w:t>s</w:t>
      </w:r>
      <w:r w:rsidR="00116E5E" w:rsidRPr="009C17E6">
        <w:rPr>
          <w:rFonts w:ascii="Minion Pro" w:hAnsi="Minion Pro" w:cstheme="majorBidi"/>
        </w:rPr>
        <w:t xml:space="preserve"> </w:t>
      </w:r>
      <w:r w:rsidR="00972D4B">
        <w:rPr>
          <w:rFonts w:ascii="Minion Pro" w:hAnsi="Minion Pro" w:cstheme="majorBidi"/>
        </w:rPr>
        <w:t>of autoimmune origin</w:t>
      </w:r>
      <w:r w:rsidR="00116E5E" w:rsidRPr="009C17E6">
        <w:rPr>
          <w:rFonts w:ascii="Minion Pro" w:hAnsi="Minion Pro" w:cstheme="majorBidi"/>
        </w:rPr>
        <w:t xml:space="preserve">. Because </w:t>
      </w:r>
      <w:r w:rsidR="00972D4B">
        <w:rPr>
          <w:rFonts w:ascii="Minion Pro" w:hAnsi="Minion Pro" w:cstheme="majorBidi"/>
        </w:rPr>
        <w:t xml:space="preserve">the individual use of </w:t>
      </w:r>
      <w:r w:rsidR="00116E5E" w:rsidRPr="009C17E6">
        <w:rPr>
          <w:rFonts w:ascii="Minion Pro" w:hAnsi="Minion Pro" w:cstheme="majorBidi"/>
        </w:rPr>
        <w:t xml:space="preserve">CSA or NSAIDs </w:t>
      </w:r>
      <w:r w:rsidR="00972D4B">
        <w:rPr>
          <w:rFonts w:ascii="Minion Pro" w:hAnsi="Minion Pro" w:cstheme="majorBidi"/>
        </w:rPr>
        <w:t xml:space="preserve">usually </w:t>
      </w:r>
      <w:r w:rsidR="00116E5E" w:rsidRPr="009C17E6">
        <w:rPr>
          <w:rFonts w:ascii="Minion Pro" w:hAnsi="Minion Pro" w:cstheme="majorBidi"/>
        </w:rPr>
        <w:t xml:space="preserve">negatively </w:t>
      </w:r>
      <w:r w:rsidR="002A23DD" w:rsidRPr="009C17E6">
        <w:rPr>
          <w:rFonts w:ascii="Minion Pro" w:hAnsi="Minion Pro" w:cstheme="majorBidi"/>
        </w:rPr>
        <w:t>impacts</w:t>
      </w:r>
      <w:r w:rsidR="00116E5E" w:rsidRPr="009C17E6">
        <w:rPr>
          <w:rFonts w:ascii="Minion Pro" w:hAnsi="Minion Pro" w:cstheme="majorBidi"/>
        </w:rPr>
        <w:t xml:space="preserve"> </w:t>
      </w:r>
      <w:r w:rsidR="002A23DD" w:rsidRPr="009C17E6">
        <w:rPr>
          <w:rFonts w:ascii="Minion Pro" w:hAnsi="Minion Pro" w:cstheme="majorBidi"/>
        </w:rPr>
        <w:t>cardiovascular/</w:t>
      </w:r>
      <w:r w:rsidR="00116E5E" w:rsidRPr="009C17E6">
        <w:rPr>
          <w:rFonts w:ascii="Minion Pro" w:hAnsi="Minion Pro" w:cstheme="majorBidi"/>
        </w:rPr>
        <w:t xml:space="preserve">renal functions, </w:t>
      </w:r>
      <w:r w:rsidR="002A23DD" w:rsidRPr="009C17E6">
        <w:rPr>
          <w:rFonts w:ascii="Minion Pro" w:hAnsi="Minion Pro" w:cstheme="majorBidi"/>
        </w:rPr>
        <w:t xml:space="preserve">we </w:t>
      </w:r>
      <w:r w:rsidR="00972D4B">
        <w:rPr>
          <w:rFonts w:ascii="Minion Pro" w:hAnsi="Minion Pro" w:cstheme="majorBidi"/>
        </w:rPr>
        <w:t>tested the hypothesis that the combined use of these</w:t>
      </w:r>
      <w:r w:rsidR="002A23DD" w:rsidRPr="009C17E6">
        <w:rPr>
          <w:rFonts w:ascii="Minion Pro" w:hAnsi="Minion Pro" w:cstheme="majorBidi"/>
        </w:rPr>
        <w:t xml:space="preserve"> two drug modalities </w:t>
      </w:r>
      <w:r w:rsidR="00543E80" w:rsidRPr="009C17E6">
        <w:rPr>
          <w:rFonts w:ascii="Minion Pro" w:hAnsi="Minion Pro" w:cstheme="majorBidi"/>
        </w:rPr>
        <w:t xml:space="preserve">would </w:t>
      </w:r>
      <w:r w:rsidR="00A410F7" w:rsidRPr="009C17E6">
        <w:rPr>
          <w:rFonts w:ascii="Minion Pro" w:hAnsi="Minion Pro" w:cstheme="majorBidi"/>
        </w:rPr>
        <w:t>provoke</w:t>
      </w:r>
      <w:r w:rsidR="002A23DD" w:rsidRPr="009C17E6">
        <w:rPr>
          <w:rFonts w:ascii="Minion Pro" w:hAnsi="Minion Pro" w:cstheme="majorBidi"/>
        </w:rPr>
        <w:t xml:space="preserve"> more detrimental </w:t>
      </w:r>
      <w:r w:rsidR="00116E5E" w:rsidRPr="009C17E6">
        <w:rPr>
          <w:rFonts w:ascii="Minion Pro" w:hAnsi="Minion Pro" w:cstheme="majorBidi"/>
        </w:rPr>
        <w:t>consequences</w:t>
      </w:r>
      <w:r w:rsidR="002A23DD" w:rsidRPr="009C17E6">
        <w:rPr>
          <w:rFonts w:ascii="Minion Pro" w:hAnsi="Minion Pro" w:cstheme="majorBidi"/>
        </w:rPr>
        <w:t xml:space="preserve">. </w:t>
      </w:r>
      <w:r w:rsidR="009A2DDC" w:rsidRPr="009C17E6">
        <w:rPr>
          <w:rFonts w:ascii="Minion Pro" w:hAnsi="Minion Pro" w:cstheme="majorBidi"/>
        </w:rPr>
        <w:t xml:space="preserve">The roles of endothelin receptor, inflammatory, and fibrotic pathways in these interactions have also been investigated. </w:t>
      </w:r>
      <w:r w:rsidR="00ED04CB" w:rsidRPr="009C17E6">
        <w:rPr>
          <w:rStyle w:val="apple-converted-space"/>
          <w:rFonts w:ascii="Minion Pro" w:hAnsi="Minion Pro" w:cstheme="majorBidi"/>
          <w:shd w:val="clear" w:color="auto" w:fill="FFFFFF"/>
        </w:rPr>
        <w:t>The treatment of rats with celecoxib, but not indomethacin, blunted the CSA-evoked increases in</w:t>
      </w:r>
      <w:r w:rsidR="006A7F27" w:rsidRPr="009C17E6">
        <w:rPr>
          <w:rFonts w:ascii="Minion Pro" w:eastAsia="AdvP4DF60E" w:hAnsi="Minion Pro" w:cstheme="majorBidi"/>
        </w:rPr>
        <w:t xml:space="preserve"> blood pressure </w:t>
      </w:r>
      <w:r w:rsidR="00ED04CB" w:rsidRPr="009C17E6">
        <w:rPr>
          <w:rFonts w:ascii="Minion Pro" w:eastAsia="AdvP4DF60E" w:hAnsi="Minion Pro" w:cstheme="majorBidi"/>
        </w:rPr>
        <w:t>(BP)</w:t>
      </w:r>
      <w:r w:rsidR="00A410F7" w:rsidRPr="009C17E6">
        <w:rPr>
          <w:rFonts w:ascii="Minion Pro" w:eastAsia="AdvP4DF60E" w:hAnsi="Minion Pro" w:cstheme="majorBidi"/>
        </w:rPr>
        <w:t>,</w:t>
      </w:r>
      <w:r w:rsidR="00ED04CB" w:rsidRPr="009C17E6">
        <w:rPr>
          <w:rFonts w:ascii="Minion Pro" w:eastAsia="AdvP4DF60E" w:hAnsi="Minion Pro" w:cstheme="majorBidi"/>
        </w:rPr>
        <w:t xml:space="preserve"> </w:t>
      </w:r>
      <w:r w:rsidR="006A7F27" w:rsidRPr="009C17E6">
        <w:rPr>
          <w:rFonts w:ascii="Minion Pro" w:eastAsia="AdvP4DF60E" w:hAnsi="Minion Pro" w:cstheme="majorBidi"/>
        </w:rPr>
        <w:t>renal perivascular fibrosis</w:t>
      </w:r>
      <w:r w:rsidR="00A410F7" w:rsidRPr="009C17E6">
        <w:rPr>
          <w:rFonts w:ascii="Minion Pro" w:eastAsia="AdvP4DF60E" w:hAnsi="Minion Pro" w:cstheme="majorBidi"/>
        </w:rPr>
        <w:t>,</w:t>
      </w:r>
      <w:r w:rsidR="006A7F27" w:rsidRPr="009C17E6">
        <w:rPr>
          <w:rFonts w:ascii="Minion Pro" w:eastAsia="AdvP4DF60E" w:hAnsi="Minion Pro" w:cstheme="majorBidi"/>
        </w:rPr>
        <w:t xml:space="preserve"> and </w:t>
      </w:r>
      <w:r w:rsidR="00A410F7" w:rsidRPr="009C17E6">
        <w:rPr>
          <w:rFonts w:ascii="Minion Pro" w:eastAsia="AdvP4DF60E" w:hAnsi="Minion Pro" w:cstheme="majorBidi"/>
        </w:rPr>
        <w:t>arteriolar endothelin receptor expression (increases in</w:t>
      </w:r>
      <w:r w:rsidR="006A7F27" w:rsidRPr="009C17E6">
        <w:rPr>
          <w:rFonts w:ascii="Minion Pro" w:eastAsia="AdvP4DF60E" w:hAnsi="Minion Pro" w:cstheme="majorBidi"/>
        </w:rPr>
        <w:t xml:space="preserve"> ET</w:t>
      </w:r>
      <w:r w:rsidR="006A7F27" w:rsidRPr="009C17E6">
        <w:rPr>
          <w:rFonts w:ascii="Minion Pro" w:eastAsia="AdvP4DF60E" w:hAnsi="Minion Pro" w:cstheme="majorBidi"/>
          <w:vertAlign w:val="subscript"/>
        </w:rPr>
        <w:t>A</w:t>
      </w:r>
      <w:r w:rsidR="006A7F27" w:rsidRPr="009C17E6">
        <w:rPr>
          <w:rFonts w:ascii="Minion Pro" w:eastAsia="AdvP4DF60E" w:hAnsi="Minion Pro" w:cstheme="majorBidi"/>
        </w:rPr>
        <w:t xml:space="preserve"> </w:t>
      </w:r>
      <w:r w:rsidR="00A410F7" w:rsidRPr="009C17E6">
        <w:rPr>
          <w:rFonts w:ascii="Minion Pro" w:eastAsia="AdvP4DF60E" w:hAnsi="Minion Pro" w:cstheme="majorBidi"/>
        </w:rPr>
        <w:t>and decreases in</w:t>
      </w:r>
      <w:r w:rsidR="006A7F27" w:rsidRPr="009C17E6">
        <w:rPr>
          <w:rFonts w:ascii="Minion Pro" w:eastAsia="AdvP4DF60E" w:hAnsi="Minion Pro" w:cstheme="majorBidi"/>
        </w:rPr>
        <w:t xml:space="preserve"> ET</w:t>
      </w:r>
      <w:r w:rsidR="006A7F27" w:rsidRPr="009C17E6">
        <w:rPr>
          <w:rFonts w:ascii="Minion Pro" w:eastAsia="AdvP4DF60E" w:hAnsi="Minion Pro" w:cstheme="majorBidi"/>
          <w:vertAlign w:val="subscript"/>
        </w:rPr>
        <w:t>B</w:t>
      </w:r>
      <w:r w:rsidR="006A7F27" w:rsidRPr="009C17E6">
        <w:rPr>
          <w:rFonts w:ascii="Minion Pro" w:eastAsia="AdvP4DF60E" w:hAnsi="Minion Pro" w:cstheme="majorBidi"/>
        </w:rPr>
        <w:t xml:space="preserve"> </w:t>
      </w:r>
      <w:r w:rsidR="00A410F7" w:rsidRPr="009C17E6">
        <w:rPr>
          <w:rFonts w:ascii="Minion Pro" w:eastAsia="AdvP4DF60E" w:hAnsi="Minion Pro" w:cstheme="majorBidi"/>
        </w:rPr>
        <w:t>receptors</w:t>
      </w:r>
      <w:r w:rsidR="006A7F27" w:rsidRPr="009C17E6">
        <w:rPr>
          <w:rFonts w:ascii="Minion Pro" w:eastAsia="AdvP4DF60E" w:hAnsi="Minion Pro" w:cstheme="majorBidi"/>
        </w:rPr>
        <w:t xml:space="preserve">). </w:t>
      </w:r>
      <w:r w:rsidR="00EB1E60" w:rsidRPr="009C17E6">
        <w:rPr>
          <w:rFonts w:ascii="Minion Pro" w:eastAsia="AdvP4DF60E" w:hAnsi="Minion Pro" w:cstheme="majorBidi"/>
        </w:rPr>
        <w:t xml:space="preserve">Alternatively, exaggerated nephrotoxicity was seen upon simultaneous treatment with CSA plus indomethacin as evidenced by the (i) </w:t>
      </w:r>
      <w:r w:rsidR="00237C7D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greater elevations in serum creatinine and renal </w:t>
      </w:r>
      <w:r w:rsidR="00EB1E60" w:rsidRPr="009C17E6">
        <w:rPr>
          <w:rStyle w:val="apple-converted-space"/>
          <w:rFonts w:ascii="Minion Pro" w:hAnsi="Minion Pro" w:cstheme="majorBidi"/>
          <w:shd w:val="clear" w:color="auto" w:fill="FFFFFF"/>
        </w:rPr>
        <w:t>oxidative stress</w:t>
      </w:r>
      <w:r w:rsidR="00237C7D" w:rsidRPr="009C17E6">
        <w:rPr>
          <w:rStyle w:val="apple-converted-space"/>
          <w:rFonts w:ascii="Minion Pro" w:hAnsi="Minion Pro" w:cstheme="majorBidi"/>
          <w:shd w:val="clear" w:color="auto" w:fill="FFFFFF"/>
        </w:rPr>
        <w:t>,</w:t>
      </w:r>
      <w:r w:rsidR="0083259C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 </w:t>
      </w:r>
      <w:r w:rsidR="00237C7D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(ii) renal infiltration of inflammatory cells and worsening of </w:t>
      </w:r>
      <w:r w:rsidR="00237C7D" w:rsidRPr="009C17E6">
        <w:rPr>
          <w:rFonts w:ascii="Minion Pro" w:eastAsiaTheme="minorHAnsi" w:hAnsi="Minion Pro" w:cstheme="majorBidi"/>
        </w:rPr>
        <w:t>fibrotic and necrotic profiles, and</w:t>
      </w:r>
      <w:r w:rsidR="00237C7D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 (i</w:t>
      </w:r>
      <w:r w:rsidR="00EB1E60" w:rsidRPr="009C17E6">
        <w:rPr>
          <w:rStyle w:val="apple-converted-space"/>
          <w:rFonts w:ascii="Minion Pro" w:hAnsi="Minion Pro" w:cstheme="majorBidi"/>
          <w:shd w:val="clear" w:color="auto" w:fill="FFFFFF"/>
        </w:rPr>
        <w:t>ii</w:t>
      </w:r>
      <w:r w:rsidR="00237C7D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) increased renal ET-1 and COX-2 expression. </w:t>
      </w:r>
      <w:r w:rsidR="00D10326" w:rsidRPr="009C17E6">
        <w:rPr>
          <w:rFonts w:ascii="Minion Pro" w:hAnsi="Minion Pro" w:cstheme="majorBidi"/>
          <w:lang w:eastAsia="en-GB"/>
        </w:rPr>
        <w:t>Unlike indomethacin</w:t>
      </w:r>
      <w:r w:rsidR="00D10326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, </w:t>
      </w:r>
      <w:r w:rsidR="00D10326" w:rsidRPr="009C17E6">
        <w:rPr>
          <w:rFonts w:ascii="Minion Pro" w:hAnsi="Minion Pro" w:cstheme="majorBidi"/>
        </w:rPr>
        <w:t xml:space="preserve">renal structural, oxidative, and molecular abnormalities caused by CSA were largely eliminated in rats treated concurrently with celecoxib. </w:t>
      </w:r>
      <w:r w:rsidR="00EA11B4" w:rsidRPr="009C17E6">
        <w:rPr>
          <w:rStyle w:val="apple-converted-space"/>
          <w:rFonts w:ascii="Minion Pro" w:hAnsi="Minion Pro" w:cstheme="majorBidi"/>
          <w:shd w:val="clear" w:color="auto" w:fill="FFFFFF"/>
        </w:rPr>
        <w:t>ET</w:t>
      </w:r>
      <w:r w:rsidR="00EA11B4" w:rsidRPr="009C17E6">
        <w:rPr>
          <w:rStyle w:val="apple-converted-space"/>
          <w:rFonts w:ascii="Minion Pro" w:hAnsi="Minion Pro" w:cstheme="majorBidi"/>
          <w:shd w:val="clear" w:color="auto" w:fill="FFFFFF"/>
          <w:vertAlign w:val="subscript"/>
        </w:rPr>
        <w:t>A</w:t>
      </w:r>
      <w:r w:rsidR="00EA11B4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 receptor blockade </w:t>
      </w:r>
      <w:r w:rsidR="00D10326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by </w:t>
      </w:r>
      <w:r w:rsidR="00EA11B4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atrasentan </w:t>
      </w:r>
      <w:r w:rsidR="00EA11B4" w:rsidRPr="009C17E6">
        <w:rPr>
          <w:rFonts w:ascii="Minion Pro" w:hAnsi="Minion Pro" w:cstheme="majorBidi"/>
          <w:lang w:eastAsia="en-GB"/>
        </w:rPr>
        <w:t xml:space="preserve">ameliorated </w:t>
      </w:r>
      <w:r w:rsidR="00D10326" w:rsidRPr="009C17E6">
        <w:rPr>
          <w:rFonts w:ascii="Minion Pro" w:hAnsi="Minion Pro" w:cstheme="majorBidi"/>
          <w:lang w:eastAsia="en-GB"/>
        </w:rPr>
        <w:t xml:space="preserve">the hypertension and concomitant </w:t>
      </w:r>
      <w:r w:rsidR="00EA11B4" w:rsidRPr="009C17E6">
        <w:rPr>
          <w:rFonts w:ascii="Minion Pro" w:hAnsi="Minion Pro" w:cstheme="majorBidi"/>
          <w:lang w:eastAsia="en-GB"/>
        </w:rPr>
        <w:t xml:space="preserve">renal abnormalities caused by CSA/indomethacin regimen. </w:t>
      </w:r>
      <w:r w:rsidR="00D10326" w:rsidRPr="009C17E6">
        <w:rPr>
          <w:rFonts w:ascii="Minion Pro" w:eastAsia="AdvP4DF60E" w:hAnsi="Minion Pro" w:cstheme="majorBidi"/>
        </w:rPr>
        <w:t xml:space="preserve">On the other hand, </w:t>
      </w:r>
      <w:r w:rsidR="00D10326" w:rsidRPr="009C17E6">
        <w:rPr>
          <w:rStyle w:val="apple-converted-space"/>
          <w:rFonts w:ascii="Minion Pro" w:hAnsi="Minion Pro" w:cstheme="majorBidi"/>
          <w:shd w:val="clear" w:color="auto" w:fill="FFFFFF"/>
        </w:rPr>
        <w:t>ET</w:t>
      </w:r>
      <w:r w:rsidR="00D10326" w:rsidRPr="009C17E6">
        <w:rPr>
          <w:rStyle w:val="apple-converted-space"/>
          <w:rFonts w:ascii="Minion Pro" w:hAnsi="Minion Pro" w:cstheme="majorBidi"/>
          <w:shd w:val="clear" w:color="auto" w:fill="FFFFFF"/>
          <w:vertAlign w:val="subscript"/>
        </w:rPr>
        <w:t>B</w:t>
      </w:r>
      <w:r w:rsidR="00D10326" w:rsidRPr="009C17E6">
        <w:rPr>
          <w:rFonts w:ascii="Minion Pro" w:eastAsia="AdvP4DF60E" w:hAnsi="Minion Pro" w:cstheme="majorBidi"/>
        </w:rPr>
        <w:t xml:space="preserve"> receptor blockade (BQ788) caused celecoxib-sensitive </w:t>
      </w:r>
      <w:r w:rsidR="00543E80" w:rsidRPr="009C17E6">
        <w:rPr>
          <w:rFonts w:ascii="Minion Pro" w:eastAsia="AdvP4DF60E" w:hAnsi="Minion Pro" w:cstheme="majorBidi"/>
        </w:rPr>
        <w:t>hypertension</w:t>
      </w:r>
      <w:r w:rsidR="00D10326" w:rsidRPr="009C17E6">
        <w:rPr>
          <w:rFonts w:ascii="Minion Pro" w:eastAsia="AdvP4DF60E" w:hAnsi="Minion Pro" w:cstheme="majorBidi"/>
        </w:rPr>
        <w:t xml:space="preserve"> and renal dysfunction and potentiated </w:t>
      </w:r>
      <w:r w:rsidR="00543E80" w:rsidRPr="009C17E6">
        <w:rPr>
          <w:rFonts w:ascii="Minion Pro" w:eastAsia="AdvP4DF60E" w:hAnsi="Minion Pro" w:cstheme="majorBidi"/>
        </w:rPr>
        <w:t>the hypertensive effect of CSA</w:t>
      </w:r>
      <w:r w:rsidR="00D10326" w:rsidRPr="009C17E6">
        <w:rPr>
          <w:rFonts w:ascii="Minion Pro" w:eastAsia="AdvP4DF60E" w:hAnsi="Minion Pro" w:cstheme="majorBidi"/>
        </w:rPr>
        <w:t>.</w:t>
      </w:r>
      <w:r w:rsidR="0080193F" w:rsidRPr="009C17E6">
        <w:rPr>
          <w:rFonts w:ascii="Minion Pro" w:eastAsia="AdvP4DF60E" w:hAnsi="Minion Pro" w:cstheme="majorBidi"/>
        </w:rPr>
        <w:t xml:space="preserve"> </w:t>
      </w:r>
      <w:r w:rsidR="00466E78" w:rsidRPr="009C17E6">
        <w:rPr>
          <w:rFonts w:ascii="Minion Pro" w:eastAsia="AdvP4DF60E" w:hAnsi="Minion Pro" w:cstheme="majorBidi"/>
        </w:rPr>
        <w:t xml:space="preserve">These findings </w:t>
      </w:r>
      <w:r w:rsidR="00A61D01" w:rsidRPr="009C17E6">
        <w:rPr>
          <w:rFonts w:ascii="Minion Pro" w:eastAsia="AdvP4DF60E" w:hAnsi="Minion Pro" w:cstheme="majorBidi"/>
        </w:rPr>
        <w:t>sugges</w:t>
      </w:r>
      <w:r w:rsidR="002B1DEF" w:rsidRPr="009C17E6">
        <w:rPr>
          <w:rFonts w:ascii="Minion Pro" w:eastAsia="AdvP4DF60E" w:hAnsi="Minion Pro" w:cstheme="majorBidi"/>
        </w:rPr>
        <w:t>t</w:t>
      </w:r>
      <w:r w:rsidR="00A61D01" w:rsidRPr="009C17E6">
        <w:rPr>
          <w:rFonts w:ascii="Minion Pro" w:eastAsia="AdvP4DF60E" w:hAnsi="Minion Pro" w:cstheme="majorBidi"/>
        </w:rPr>
        <w:t xml:space="preserve"> that </w:t>
      </w:r>
      <w:r w:rsidR="0018022F" w:rsidRPr="009C17E6">
        <w:rPr>
          <w:rFonts w:ascii="Minion Pro" w:eastAsia="AdvP4DF60E" w:hAnsi="Minion Pro" w:cstheme="majorBidi"/>
        </w:rPr>
        <w:t xml:space="preserve">COX-1/COX-2 selectivity </w:t>
      </w:r>
      <w:r w:rsidR="00A61D01" w:rsidRPr="009C17E6">
        <w:rPr>
          <w:rFonts w:ascii="Minion Pro" w:eastAsia="AdvP4DF60E" w:hAnsi="Minion Pro" w:cstheme="majorBidi"/>
        </w:rPr>
        <w:t xml:space="preserve">of NSAIDs is pivotal for </w:t>
      </w:r>
      <w:r w:rsidR="002B1DEF" w:rsidRPr="009C17E6">
        <w:rPr>
          <w:rFonts w:ascii="Minion Pro" w:eastAsia="AdvP4DF60E" w:hAnsi="Minion Pro" w:cstheme="majorBidi"/>
        </w:rPr>
        <w:t>identifying their cardiovascular and renal impacts on CSA toxicity.</w:t>
      </w:r>
      <w:r w:rsidR="00A61D01" w:rsidRPr="009C17E6">
        <w:rPr>
          <w:rFonts w:ascii="Minion Pro" w:eastAsia="AdvP4DF60E" w:hAnsi="Minion Pro" w:cstheme="majorBidi"/>
        </w:rPr>
        <w:t xml:space="preserve"> </w:t>
      </w:r>
      <w:r w:rsidR="002B1DEF" w:rsidRPr="009C17E6">
        <w:rPr>
          <w:rFonts w:ascii="Minion Pro" w:eastAsia="AdvP4DF60E" w:hAnsi="Minion Pro" w:cstheme="majorBidi"/>
        </w:rPr>
        <w:t xml:space="preserve">Celecoxib, but not indomethacin, </w:t>
      </w:r>
      <w:r w:rsidR="00B00CE3" w:rsidRPr="009C17E6">
        <w:rPr>
          <w:rFonts w:ascii="Minion Pro" w:eastAsia="AdvP4DF60E" w:hAnsi="Minion Pro" w:cstheme="majorBidi"/>
        </w:rPr>
        <w:t>is</w:t>
      </w:r>
      <w:r w:rsidR="002B1DEF" w:rsidRPr="009C17E6">
        <w:rPr>
          <w:rFonts w:ascii="Minion Pro" w:eastAsia="AdvP4DF60E" w:hAnsi="Minion Pro" w:cstheme="majorBidi"/>
        </w:rPr>
        <w:t xml:space="preserve"> more advantageous as an add-on therapy to CSA for arthritis management.</w:t>
      </w:r>
      <w:r w:rsidR="00543E80" w:rsidRPr="009C17E6">
        <w:rPr>
          <w:rFonts w:ascii="Minion Pro" w:eastAsia="AdvP4DF60E" w:hAnsi="Minion Pro" w:cstheme="majorBidi"/>
        </w:rPr>
        <w:t xml:space="preserve"> </w:t>
      </w:r>
      <w:r w:rsidR="0018022F" w:rsidRPr="009C17E6">
        <w:rPr>
          <w:rFonts w:ascii="Minion Pro" w:eastAsia="AdvP4DF60E" w:hAnsi="Minion Pro" w:cstheme="majorBidi"/>
        </w:rPr>
        <w:t>T</w:t>
      </w:r>
      <w:r w:rsidR="00466E78" w:rsidRPr="009C17E6">
        <w:rPr>
          <w:rFonts w:ascii="Minion Pro" w:hAnsi="Minion Pro" w:cstheme="majorBidi"/>
        </w:rPr>
        <w:t xml:space="preserve">he reliability of the current experimental findings needs to be corroborated with appropriate clinical investigations.  </w:t>
      </w:r>
    </w:p>
    <w:p w:rsidR="004A04CE" w:rsidRDefault="004A04CE" w:rsidP="003B31FD">
      <w:pPr>
        <w:tabs>
          <w:tab w:val="left" w:pos="8910"/>
        </w:tabs>
        <w:ind w:right="728" w:firstLine="720"/>
        <w:jc w:val="lowKashida"/>
        <w:rPr>
          <w:rFonts w:asciiTheme="majorBidi" w:eastAsia="AdvP4DF60E" w:hAnsiTheme="majorBidi" w:cstheme="majorBidi"/>
        </w:rPr>
      </w:pPr>
    </w:p>
    <w:p w:rsidR="00AC3BCD" w:rsidRPr="00F8442A" w:rsidRDefault="00AC3BCD" w:rsidP="00ED70B9">
      <w:pPr>
        <w:spacing w:after="240"/>
        <w:jc w:val="both"/>
        <w:rPr>
          <w:rFonts w:ascii="Minion Pro" w:hAnsi="Minion Pro"/>
          <w:b/>
        </w:rPr>
      </w:pPr>
      <w:r w:rsidRPr="00F8442A">
        <w:rPr>
          <w:rFonts w:ascii="Minion Pro" w:hAnsi="Minion Pro"/>
          <w:b/>
        </w:rPr>
        <w:t>Biography</w:t>
      </w:r>
    </w:p>
    <w:p w:rsidR="002C12DA" w:rsidRPr="00162201" w:rsidRDefault="002C12DA" w:rsidP="000A2FA3">
      <w:pPr>
        <w:pStyle w:val="PlainText"/>
        <w:ind w:right="720"/>
        <w:jc w:val="both"/>
        <w:rPr>
          <w:rFonts w:ascii="Minion Pro" w:hAnsi="Minion Pro"/>
          <w:sz w:val="18"/>
          <w:szCs w:val="18"/>
        </w:rPr>
      </w:pPr>
      <w:r w:rsidRPr="00162201">
        <w:rPr>
          <w:rFonts w:ascii="Minion Pro" w:hAnsi="Minion Pro"/>
          <w:noProof/>
          <w:sz w:val="18"/>
          <w:szCs w:val="18"/>
        </w:rPr>
        <w:t>PhD 1990 (Joint Scheme between Leeds Univ</w:t>
      </w:r>
      <w:r w:rsidR="00D201D6" w:rsidRPr="00162201">
        <w:rPr>
          <w:rFonts w:ascii="Minion Pro" w:hAnsi="Minion Pro"/>
          <w:noProof/>
          <w:sz w:val="18"/>
          <w:szCs w:val="18"/>
        </w:rPr>
        <w:t>.</w:t>
      </w:r>
      <w:r w:rsidRPr="00162201">
        <w:rPr>
          <w:rFonts w:ascii="Minion Pro" w:hAnsi="Minion Pro"/>
          <w:noProof/>
          <w:sz w:val="18"/>
          <w:szCs w:val="18"/>
        </w:rPr>
        <w:t>, UK, and Alexandria Univ</w:t>
      </w:r>
      <w:r w:rsidR="00D201D6" w:rsidRPr="00162201">
        <w:rPr>
          <w:rFonts w:ascii="Minion Pro" w:hAnsi="Minion Pro"/>
          <w:noProof/>
          <w:sz w:val="18"/>
          <w:szCs w:val="18"/>
        </w:rPr>
        <w:t>.</w:t>
      </w:r>
      <w:r w:rsidRPr="00162201">
        <w:rPr>
          <w:rFonts w:ascii="Minion Pro" w:hAnsi="Minion Pro"/>
          <w:noProof/>
          <w:sz w:val="18"/>
          <w:szCs w:val="18"/>
        </w:rPr>
        <w:t>, Egypt)</w:t>
      </w:r>
      <w:r w:rsidR="000A2FA3" w:rsidRPr="00162201">
        <w:rPr>
          <w:rFonts w:ascii="Minion Pro" w:hAnsi="Minion Pro"/>
          <w:noProof/>
          <w:sz w:val="18"/>
          <w:szCs w:val="18"/>
        </w:rPr>
        <w:t>. Full professor, 2000</w:t>
      </w:r>
      <w:r w:rsidR="008B5DD2" w:rsidRPr="00162201">
        <w:rPr>
          <w:rFonts w:ascii="Minion Pro" w:hAnsi="Minion Pro"/>
          <w:noProof/>
          <w:sz w:val="18"/>
          <w:szCs w:val="18"/>
        </w:rPr>
        <w:t>.</w:t>
      </w:r>
      <w:r w:rsidR="00561D87" w:rsidRPr="00162201">
        <w:rPr>
          <w:rFonts w:ascii="Minion Pro" w:hAnsi="Minion Pro"/>
          <w:noProof/>
          <w:sz w:val="18"/>
          <w:szCs w:val="18"/>
        </w:rPr>
        <w:t xml:space="preserve"> </w:t>
      </w:r>
      <w:r w:rsidRPr="00162201">
        <w:rPr>
          <w:rFonts w:ascii="Minion Pro" w:hAnsi="Minion Pro"/>
          <w:noProof/>
          <w:sz w:val="18"/>
          <w:szCs w:val="18"/>
        </w:rPr>
        <w:t xml:space="preserve">Chair, </w:t>
      </w:r>
      <w:r w:rsidR="000A2FA3" w:rsidRPr="00162201">
        <w:rPr>
          <w:rFonts w:ascii="Minion Pro" w:hAnsi="Minion Pro"/>
          <w:noProof/>
          <w:sz w:val="18"/>
          <w:szCs w:val="18"/>
        </w:rPr>
        <w:t xml:space="preserve">Dept. of </w:t>
      </w:r>
      <w:r w:rsidRPr="00162201">
        <w:rPr>
          <w:rFonts w:ascii="Minion Pro" w:hAnsi="Minion Pro"/>
          <w:noProof/>
          <w:sz w:val="18"/>
          <w:szCs w:val="18"/>
        </w:rPr>
        <w:t>Pharmacology</w:t>
      </w:r>
      <w:r w:rsidR="00561D87" w:rsidRPr="00162201">
        <w:rPr>
          <w:rFonts w:ascii="Minion Pro" w:hAnsi="Minion Pro"/>
          <w:noProof/>
          <w:sz w:val="18"/>
          <w:szCs w:val="18"/>
        </w:rPr>
        <w:t xml:space="preserve"> and Toxicology</w:t>
      </w:r>
      <w:r w:rsidRPr="00162201">
        <w:rPr>
          <w:rFonts w:ascii="Minion Pro" w:hAnsi="Minion Pro"/>
          <w:noProof/>
          <w:sz w:val="18"/>
          <w:szCs w:val="18"/>
        </w:rPr>
        <w:t>, Pharmacy, Alexandria Univ.</w:t>
      </w:r>
      <w:r w:rsidR="00D201D6" w:rsidRPr="00162201">
        <w:rPr>
          <w:rFonts w:ascii="Minion Pro" w:hAnsi="Minion Pro"/>
          <w:noProof/>
          <w:sz w:val="18"/>
          <w:szCs w:val="18"/>
        </w:rPr>
        <w:t>, Egypt</w:t>
      </w:r>
      <w:r w:rsidR="00406973" w:rsidRPr="00162201">
        <w:rPr>
          <w:rFonts w:ascii="Minion Pro" w:hAnsi="Minion Pro"/>
          <w:noProof/>
          <w:sz w:val="18"/>
          <w:szCs w:val="18"/>
        </w:rPr>
        <w:t>,</w:t>
      </w:r>
      <w:r w:rsidRPr="00162201">
        <w:rPr>
          <w:rFonts w:ascii="Minion Pro" w:hAnsi="Minion Pro"/>
          <w:noProof/>
          <w:sz w:val="18"/>
          <w:szCs w:val="18"/>
        </w:rPr>
        <w:t xml:space="preserve"> </w:t>
      </w:r>
      <w:r w:rsidR="00406973" w:rsidRPr="00162201">
        <w:rPr>
          <w:rFonts w:ascii="Minion Pro" w:hAnsi="Minion Pro"/>
          <w:noProof/>
          <w:sz w:val="18"/>
          <w:szCs w:val="18"/>
        </w:rPr>
        <w:t>Ex-</w:t>
      </w:r>
      <w:r w:rsidRPr="00162201">
        <w:rPr>
          <w:rFonts w:ascii="Minion Pro" w:hAnsi="Minion Pro"/>
          <w:noProof/>
          <w:sz w:val="18"/>
          <w:szCs w:val="18"/>
        </w:rPr>
        <w:t xml:space="preserve">Chair, National Scientific Committee on </w:t>
      </w:r>
      <w:r w:rsidR="0025063D" w:rsidRPr="00162201">
        <w:rPr>
          <w:rFonts w:ascii="Minion Pro" w:hAnsi="Minion Pro"/>
          <w:noProof/>
          <w:sz w:val="18"/>
          <w:szCs w:val="18"/>
        </w:rPr>
        <w:t>Pharmacology Faculty Promotion</w:t>
      </w:r>
      <w:r w:rsidR="000A2FA3" w:rsidRPr="00162201">
        <w:rPr>
          <w:rFonts w:ascii="Minion Pro" w:hAnsi="Minion Pro"/>
          <w:noProof/>
          <w:sz w:val="18"/>
          <w:szCs w:val="18"/>
        </w:rPr>
        <w:t>, Egypt</w:t>
      </w:r>
      <w:r w:rsidR="008B5DD2" w:rsidRPr="00162201">
        <w:rPr>
          <w:rFonts w:ascii="Minion Pro" w:hAnsi="Minion Pro"/>
          <w:noProof/>
          <w:sz w:val="18"/>
          <w:szCs w:val="18"/>
        </w:rPr>
        <w:t>.</w:t>
      </w:r>
      <w:r w:rsidRPr="00162201">
        <w:rPr>
          <w:rFonts w:ascii="Minion Pro" w:hAnsi="Minion Pro"/>
          <w:noProof/>
          <w:sz w:val="18"/>
          <w:szCs w:val="18"/>
        </w:rPr>
        <w:t xml:space="preserve"> </w:t>
      </w:r>
      <w:r w:rsidR="000A2FA3" w:rsidRPr="00162201">
        <w:rPr>
          <w:rFonts w:ascii="Minion Pro" w:hAnsi="Minion Pro"/>
          <w:noProof/>
          <w:sz w:val="18"/>
          <w:szCs w:val="18"/>
        </w:rPr>
        <w:t xml:space="preserve">Visiting Professor at East Carolina Univ., USA. </w:t>
      </w:r>
      <w:r w:rsidRPr="00162201">
        <w:rPr>
          <w:rFonts w:ascii="Minion Pro" w:hAnsi="Minion Pro"/>
          <w:noProof/>
          <w:sz w:val="18"/>
          <w:szCs w:val="18"/>
        </w:rPr>
        <w:t xml:space="preserve">Publications: </w:t>
      </w:r>
      <w:r w:rsidRPr="00162201">
        <w:rPr>
          <w:rFonts w:ascii="Minion Pro" w:hAnsi="Minion Pro"/>
          <w:sz w:val="18"/>
          <w:szCs w:val="18"/>
        </w:rPr>
        <w:t>1</w:t>
      </w:r>
      <w:r w:rsidR="00406973" w:rsidRPr="00162201">
        <w:rPr>
          <w:rFonts w:ascii="Minion Pro" w:hAnsi="Minion Pro"/>
          <w:sz w:val="18"/>
          <w:szCs w:val="18"/>
        </w:rPr>
        <w:t>12</w:t>
      </w:r>
      <w:r w:rsidRPr="00162201">
        <w:rPr>
          <w:rFonts w:ascii="Minion Pro" w:hAnsi="Minion Pro"/>
          <w:sz w:val="18"/>
          <w:szCs w:val="18"/>
        </w:rPr>
        <w:t xml:space="preserve"> </w:t>
      </w:r>
      <w:r w:rsidR="00561D87" w:rsidRPr="00162201">
        <w:rPr>
          <w:rFonts w:ascii="Minion Pro" w:hAnsi="Minion Pro"/>
          <w:sz w:val="18"/>
          <w:szCs w:val="18"/>
        </w:rPr>
        <w:t>papers</w:t>
      </w:r>
      <w:r w:rsidRPr="00162201">
        <w:rPr>
          <w:rFonts w:ascii="Minion Pro" w:hAnsi="Minion Pro"/>
          <w:sz w:val="18"/>
          <w:szCs w:val="18"/>
        </w:rPr>
        <w:t xml:space="preserve"> in top international journals </w:t>
      </w:r>
      <w:r w:rsidRPr="00162201">
        <w:rPr>
          <w:rFonts w:ascii="Minion Pro" w:hAnsi="Minion Pro"/>
          <w:noProof/>
          <w:sz w:val="18"/>
          <w:szCs w:val="18"/>
        </w:rPr>
        <w:t xml:space="preserve">and </w:t>
      </w:r>
      <w:r w:rsidR="00406973" w:rsidRPr="00162201">
        <w:rPr>
          <w:rFonts w:ascii="Minion Pro" w:hAnsi="Minion Pro"/>
          <w:noProof/>
          <w:sz w:val="18"/>
          <w:szCs w:val="18"/>
        </w:rPr>
        <w:t>101</w:t>
      </w:r>
      <w:r w:rsidRPr="00162201">
        <w:rPr>
          <w:rFonts w:ascii="Minion Pro" w:hAnsi="Minion Pro"/>
          <w:noProof/>
          <w:sz w:val="18"/>
          <w:szCs w:val="18"/>
        </w:rPr>
        <w:t xml:space="preserve"> abstracts in </w:t>
      </w:r>
      <w:r w:rsidR="00FC6AFD" w:rsidRPr="00162201">
        <w:rPr>
          <w:rFonts w:ascii="Minion Pro" w:hAnsi="Minion Pro"/>
          <w:noProof/>
          <w:sz w:val="18"/>
          <w:szCs w:val="18"/>
        </w:rPr>
        <w:t xml:space="preserve">international </w:t>
      </w:r>
      <w:r w:rsidRPr="00162201">
        <w:rPr>
          <w:rFonts w:ascii="Minion Pro" w:hAnsi="Minion Pro"/>
          <w:noProof/>
          <w:sz w:val="18"/>
          <w:szCs w:val="18"/>
        </w:rPr>
        <w:t>conferences. Research expertise: cardiovascular</w:t>
      </w:r>
      <w:r w:rsidR="00FC6AFD" w:rsidRPr="00162201">
        <w:rPr>
          <w:rFonts w:ascii="Minion Pro" w:hAnsi="Minion Pro"/>
          <w:noProof/>
          <w:sz w:val="18"/>
          <w:szCs w:val="18"/>
        </w:rPr>
        <w:t>/</w:t>
      </w:r>
      <w:r w:rsidRPr="00162201">
        <w:rPr>
          <w:rFonts w:ascii="Minion Pro" w:hAnsi="Minion Pro"/>
          <w:noProof/>
          <w:sz w:val="18"/>
          <w:szCs w:val="18"/>
        </w:rPr>
        <w:t>renal neurobiology of drugs of abuse (ethanol, nicotine) and immunosuppressants.  Editorial board</w:t>
      </w:r>
      <w:r w:rsidR="00266D7C" w:rsidRPr="00162201">
        <w:rPr>
          <w:rFonts w:ascii="Minion Pro" w:hAnsi="Minion Pro"/>
          <w:noProof/>
          <w:sz w:val="18"/>
          <w:szCs w:val="18"/>
        </w:rPr>
        <w:t>s</w:t>
      </w:r>
      <w:r w:rsidRPr="00162201">
        <w:rPr>
          <w:rFonts w:ascii="Minion Pro" w:hAnsi="Minion Pro"/>
          <w:noProof/>
          <w:sz w:val="18"/>
          <w:szCs w:val="18"/>
        </w:rPr>
        <w:t xml:space="preserve"> positions</w:t>
      </w:r>
      <w:r w:rsidR="00561D87" w:rsidRPr="00162201">
        <w:rPr>
          <w:rFonts w:ascii="Minion Pro" w:hAnsi="Minion Pro"/>
          <w:noProof/>
          <w:sz w:val="18"/>
          <w:szCs w:val="18"/>
        </w:rPr>
        <w:t xml:space="preserve"> in </w:t>
      </w:r>
      <w:r w:rsidR="00406973" w:rsidRPr="00162201">
        <w:rPr>
          <w:rFonts w:ascii="Minion Pro" w:hAnsi="Minion Pro"/>
          <w:noProof/>
          <w:sz w:val="18"/>
          <w:szCs w:val="18"/>
        </w:rPr>
        <w:t>12</w:t>
      </w:r>
      <w:r w:rsidR="00561D87" w:rsidRPr="00162201">
        <w:rPr>
          <w:rFonts w:ascii="Minion Pro" w:hAnsi="Minion Pro"/>
          <w:noProof/>
          <w:sz w:val="18"/>
          <w:szCs w:val="18"/>
        </w:rPr>
        <w:t xml:space="preserve"> international journals</w:t>
      </w:r>
      <w:r w:rsidR="008B5DD2" w:rsidRPr="00162201">
        <w:rPr>
          <w:rFonts w:ascii="Minion Pro" w:hAnsi="Minion Pro"/>
          <w:noProof/>
          <w:sz w:val="18"/>
          <w:szCs w:val="18"/>
        </w:rPr>
        <w:t>.</w:t>
      </w:r>
      <w:r w:rsidRPr="00162201">
        <w:rPr>
          <w:rFonts w:ascii="Minion Pro" w:hAnsi="Minion Pro"/>
          <w:noProof/>
          <w:sz w:val="18"/>
          <w:szCs w:val="18"/>
        </w:rPr>
        <w:t xml:space="preserve"> Awards: </w:t>
      </w:r>
      <w:r w:rsidRPr="00162201">
        <w:rPr>
          <w:rFonts w:ascii="Minion Pro" w:hAnsi="Minion Pro" w:cstheme="majorBidi"/>
          <w:color w:val="000000"/>
          <w:sz w:val="18"/>
          <w:szCs w:val="18"/>
        </w:rPr>
        <w:t>Khalifa Award for</w:t>
      </w:r>
      <w:r w:rsidRPr="00162201">
        <w:rPr>
          <w:rFonts w:ascii="Minion Pro" w:hAnsi="Minion Pro" w:cstheme="majorBidi"/>
          <w:b/>
          <w:bCs/>
          <w:color w:val="000000"/>
          <w:sz w:val="18"/>
          <w:szCs w:val="18"/>
        </w:rPr>
        <w:t xml:space="preserve"> </w:t>
      </w:r>
      <w:r w:rsidR="00266D7C" w:rsidRPr="00162201">
        <w:rPr>
          <w:rFonts w:ascii="Minion Pro" w:hAnsi="Minion Pro" w:cstheme="majorBidi"/>
          <w:color w:val="000000"/>
          <w:sz w:val="18"/>
          <w:szCs w:val="18"/>
        </w:rPr>
        <w:t>Education in</w:t>
      </w:r>
      <w:r w:rsidR="00266D7C" w:rsidRPr="00162201">
        <w:rPr>
          <w:rFonts w:ascii="Minion Pro" w:hAnsi="Minion Pro" w:cstheme="majorBidi"/>
          <w:b/>
          <w:bCs/>
          <w:color w:val="000000"/>
          <w:sz w:val="18"/>
          <w:szCs w:val="18"/>
        </w:rPr>
        <w:t xml:space="preserve"> </w:t>
      </w:r>
      <w:r w:rsidRPr="00162201">
        <w:rPr>
          <w:rStyle w:val="Strong"/>
          <w:rFonts w:ascii="Minion Pro" w:hAnsi="Minion Pro" w:cstheme="majorBidi"/>
          <w:b w:val="0"/>
          <w:bCs w:val="0"/>
          <w:sz w:val="18"/>
          <w:szCs w:val="18"/>
        </w:rPr>
        <w:t>the Field of Scientific Research (United Arab Emirates),</w:t>
      </w:r>
      <w:r w:rsidRPr="00162201">
        <w:rPr>
          <w:rStyle w:val="Strong"/>
          <w:rFonts w:ascii="Minion Pro" w:hAnsi="Minion Pro" w:cstheme="majorBidi"/>
          <w:sz w:val="18"/>
          <w:szCs w:val="18"/>
        </w:rPr>
        <w:t xml:space="preserve"> </w:t>
      </w:r>
      <w:r w:rsidR="00266D7C" w:rsidRPr="00162201">
        <w:rPr>
          <w:rStyle w:val="Strong"/>
          <w:rFonts w:ascii="Minion Pro" w:hAnsi="Minion Pro" w:cstheme="majorBidi"/>
          <w:b w:val="0"/>
          <w:bCs w:val="0"/>
          <w:sz w:val="18"/>
          <w:szCs w:val="18"/>
        </w:rPr>
        <w:t>State</w:t>
      </w:r>
      <w:r w:rsidRPr="00162201">
        <w:rPr>
          <w:rFonts w:ascii="Minion Pro" w:hAnsi="Minion Pro"/>
          <w:sz w:val="18"/>
          <w:szCs w:val="18"/>
        </w:rPr>
        <w:t xml:space="preserve"> Prize for Scientific Encouragement (twice), </w:t>
      </w:r>
      <w:r w:rsidR="00266D7C" w:rsidRPr="00162201">
        <w:rPr>
          <w:rFonts w:ascii="Minion Pro" w:hAnsi="Minion Pro"/>
          <w:sz w:val="18"/>
          <w:szCs w:val="18"/>
        </w:rPr>
        <w:t>State</w:t>
      </w:r>
      <w:r w:rsidRPr="00162201">
        <w:rPr>
          <w:rFonts w:ascii="Minion Pro" w:hAnsi="Minion Pro"/>
          <w:sz w:val="18"/>
          <w:szCs w:val="18"/>
        </w:rPr>
        <w:t xml:space="preserve"> Prize for Scientific Excellence, </w:t>
      </w:r>
      <w:r w:rsidRPr="00162201">
        <w:rPr>
          <w:rFonts w:ascii="Minion Pro" w:hAnsi="Minion Pro"/>
          <w:color w:val="000000"/>
          <w:sz w:val="18"/>
          <w:szCs w:val="18"/>
        </w:rPr>
        <w:t xml:space="preserve">ACDIMA award (Jordon), </w:t>
      </w:r>
      <w:r w:rsidRPr="00162201">
        <w:rPr>
          <w:rFonts w:ascii="Minion Pro" w:hAnsi="Minion Pro"/>
          <w:sz w:val="18"/>
          <w:szCs w:val="18"/>
        </w:rPr>
        <w:t>Alexandria University</w:t>
      </w:r>
      <w:r w:rsidRPr="00162201">
        <w:rPr>
          <w:rFonts w:ascii="Minion Pro" w:hAnsi="Minion Pro"/>
          <w:color w:val="000000"/>
          <w:sz w:val="18"/>
          <w:szCs w:val="18"/>
        </w:rPr>
        <w:t xml:space="preserve"> Honorary Award</w:t>
      </w:r>
      <w:r w:rsidRPr="00162201">
        <w:rPr>
          <w:rFonts w:ascii="Minion Pro" w:hAnsi="Minion Pro"/>
          <w:sz w:val="18"/>
          <w:szCs w:val="18"/>
        </w:rPr>
        <w:t xml:space="preserve">. </w:t>
      </w:r>
    </w:p>
    <w:p w:rsidR="002C12DA" w:rsidRDefault="002C12DA" w:rsidP="00AC3BCD">
      <w:pPr>
        <w:jc w:val="both"/>
      </w:pPr>
    </w:p>
    <w:p w:rsidR="009C17E6" w:rsidRDefault="009C17E6" w:rsidP="006F54D2">
      <w:pPr>
        <w:autoSpaceDE w:val="0"/>
        <w:autoSpaceDN w:val="0"/>
        <w:adjustRightInd w:val="0"/>
      </w:pPr>
      <w:r>
        <w:rPr>
          <w:b/>
          <w:lang w:val="en-NZ"/>
        </w:rPr>
        <w:t xml:space="preserve">Email: </w:t>
      </w:r>
      <w:hyperlink r:id="rId17" w:history="1">
        <w:r w:rsidRPr="00C60AE5">
          <w:rPr>
            <w:rStyle w:val="Hyperlink"/>
            <w:b/>
            <w:lang w:val="en-NZ"/>
          </w:rPr>
          <w:t>mahelm@hotmail.com</w:t>
        </w:r>
      </w:hyperlink>
    </w:p>
    <w:p w:rsidR="00AE30AC" w:rsidRDefault="00AE30AC" w:rsidP="006F54D2">
      <w:pPr>
        <w:autoSpaceDE w:val="0"/>
        <w:autoSpaceDN w:val="0"/>
        <w:adjustRightInd w:val="0"/>
        <w:rPr>
          <w:b/>
          <w:lang w:val="en-NZ"/>
        </w:rPr>
      </w:pPr>
      <w:r>
        <w:t>Cell: 201001708620</w:t>
      </w:r>
    </w:p>
    <w:sectPr w:rsidR="00AE30AC" w:rsidSect="0083259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EE8" w:rsidRDefault="006A1EE8" w:rsidP="00671A59">
      <w:r>
        <w:separator/>
      </w:r>
    </w:p>
  </w:endnote>
  <w:endnote w:type="continuationSeparator" w:id="0">
    <w:p w:rsidR="006A1EE8" w:rsidRDefault="006A1EE8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4DF60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EE8" w:rsidRDefault="006A1EE8" w:rsidP="00671A59">
      <w:r>
        <w:separator/>
      </w:r>
    </w:p>
  </w:footnote>
  <w:footnote w:type="continuationSeparator" w:id="0">
    <w:p w:rsidR="006A1EE8" w:rsidRDefault="006A1EE8" w:rsidP="00671A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embedSystemFonts/>
  <w:hideSpellingErrors/>
  <w:hideGrammaticalErrors/>
  <w:proofState w:spelling="clean" w:grammar="clean"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BF5676"/>
    <w:rsid w:val="00020C79"/>
    <w:rsid w:val="00023D76"/>
    <w:rsid w:val="00045C7D"/>
    <w:rsid w:val="00065013"/>
    <w:rsid w:val="00072E30"/>
    <w:rsid w:val="00082D09"/>
    <w:rsid w:val="00085B88"/>
    <w:rsid w:val="00090564"/>
    <w:rsid w:val="00097CA5"/>
    <w:rsid w:val="000A2FA3"/>
    <w:rsid w:val="000A4C72"/>
    <w:rsid w:val="000B29C4"/>
    <w:rsid w:val="000E7A02"/>
    <w:rsid w:val="000F22D5"/>
    <w:rsid w:val="00101A04"/>
    <w:rsid w:val="00106952"/>
    <w:rsid w:val="00115AF1"/>
    <w:rsid w:val="00116E5E"/>
    <w:rsid w:val="001216E5"/>
    <w:rsid w:val="0013563F"/>
    <w:rsid w:val="00145878"/>
    <w:rsid w:val="00162201"/>
    <w:rsid w:val="001626C9"/>
    <w:rsid w:val="0018022F"/>
    <w:rsid w:val="001A411C"/>
    <w:rsid w:val="001B1336"/>
    <w:rsid w:val="001B6DE6"/>
    <w:rsid w:val="001F414A"/>
    <w:rsid w:val="00205354"/>
    <w:rsid w:val="00211657"/>
    <w:rsid w:val="00230BC6"/>
    <w:rsid w:val="00237C7D"/>
    <w:rsid w:val="0025063D"/>
    <w:rsid w:val="002659F1"/>
    <w:rsid w:val="00266D7C"/>
    <w:rsid w:val="00270EC9"/>
    <w:rsid w:val="00292DC0"/>
    <w:rsid w:val="002A23DD"/>
    <w:rsid w:val="002B18D5"/>
    <w:rsid w:val="002B1DEF"/>
    <w:rsid w:val="002C0F2B"/>
    <w:rsid w:val="002C12DA"/>
    <w:rsid w:val="002C1AF3"/>
    <w:rsid w:val="00304627"/>
    <w:rsid w:val="003373E4"/>
    <w:rsid w:val="00367675"/>
    <w:rsid w:val="003753DD"/>
    <w:rsid w:val="003818BC"/>
    <w:rsid w:val="003A4429"/>
    <w:rsid w:val="003B31FD"/>
    <w:rsid w:val="00406973"/>
    <w:rsid w:val="0040753F"/>
    <w:rsid w:val="0043678F"/>
    <w:rsid w:val="004664E8"/>
    <w:rsid w:val="00466E78"/>
    <w:rsid w:val="00467251"/>
    <w:rsid w:val="004775E3"/>
    <w:rsid w:val="00484CDB"/>
    <w:rsid w:val="0049217F"/>
    <w:rsid w:val="004A04CE"/>
    <w:rsid w:val="004A262E"/>
    <w:rsid w:val="004A2CA1"/>
    <w:rsid w:val="004B3B30"/>
    <w:rsid w:val="00505DA1"/>
    <w:rsid w:val="005408D9"/>
    <w:rsid w:val="00543E80"/>
    <w:rsid w:val="00555DAD"/>
    <w:rsid w:val="00561D87"/>
    <w:rsid w:val="005B168A"/>
    <w:rsid w:val="005C2EA1"/>
    <w:rsid w:val="005C3848"/>
    <w:rsid w:val="005C6E0D"/>
    <w:rsid w:val="005D43ED"/>
    <w:rsid w:val="005F4F8B"/>
    <w:rsid w:val="00605142"/>
    <w:rsid w:val="00612C13"/>
    <w:rsid w:val="006511AA"/>
    <w:rsid w:val="00671A59"/>
    <w:rsid w:val="00681205"/>
    <w:rsid w:val="00691F82"/>
    <w:rsid w:val="006A1EE8"/>
    <w:rsid w:val="006A7F27"/>
    <w:rsid w:val="006B2871"/>
    <w:rsid w:val="006B463C"/>
    <w:rsid w:val="006C51B8"/>
    <w:rsid w:val="006E68F6"/>
    <w:rsid w:val="006F0C5C"/>
    <w:rsid w:val="006F54D2"/>
    <w:rsid w:val="00720A87"/>
    <w:rsid w:val="007258AA"/>
    <w:rsid w:val="00726D9B"/>
    <w:rsid w:val="00743CCA"/>
    <w:rsid w:val="00746319"/>
    <w:rsid w:val="00782A3A"/>
    <w:rsid w:val="007875D1"/>
    <w:rsid w:val="00790C29"/>
    <w:rsid w:val="007F0333"/>
    <w:rsid w:val="007F6EC0"/>
    <w:rsid w:val="00800D58"/>
    <w:rsid w:val="0080193F"/>
    <w:rsid w:val="0083259C"/>
    <w:rsid w:val="00834D93"/>
    <w:rsid w:val="00862283"/>
    <w:rsid w:val="00893688"/>
    <w:rsid w:val="008A3E9A"/>
    <w:rsid w:val="008A690F"/>
    <w:rsid w:val="008B38D8"/>
    <w:rsid w:val="008B5DD2"/>
    <w:rsid w:val="008E47FB"/>
    <w:rsid w:val="00901E5B"/>
    <w:rsid w:val="00912A34"/>
    <w:rsid w:val="00970E67"/>
    <w:rsid w:val="00972D4B"/>
    <w:rsid w:val="009821B4"/>
    <w:rsid w:val="00994F9A"/>
    <w:rsid w:val="009A2DDC"/>
    <w:rsid w:val="009A35E9"/>
    <w:rsid w:val="009A6AD9"/>
    <w:rsid w:val="009B0CCF"/>
    <w:rsid w:val="009B7F4F"/>
    <w:rsid w:val="009C17E6"/>
    <w:rsid w:val="009C61B1"/>
    <w:rsid w:val="009D3EA4"/>
    <w:rsid w:val="009D4A1D"/>
    <w:rsid w:val="009E6632"/>
    <w:rsid w:val="009E6C61"/>
    <w:rsid w:val="00A31D17"/>
    <w:rsid w:val="00A341E9"/>
    <w:rsid w:val="00A410F7"/>
    <w:rsid w:val="00A41107"/>
    <w:rsid w:val="00A50066"/>
    <w:rsid w:val="00A61D01"/>
    <w:rsid w:val="00A668A1"/>
    <w:rsid w:val="00A76E81"/>
    <w:rsid w:val="00A83688"/>
    <w:rsid w:val="00A83863"/>
    <w:rsid w:val="00AB048D"/>
    <w:rsid w:val="00AB6E94"/>
    <w:rsid w:val="00AC3BCD"/>
    <w:rsid w:val="00AD6315"/>
    <w:rsid w:val="00AE30AC"/>
    <w:rsid w:val="00AF4356"/>
    <w:rsid w:val="00B00CE3"/>
    <w:rsid w:val="00B04B94"/>
    <w:rsid w:val="00B23069"/>
    <w:rsid w:val="00B26097"/>
    <w:rsid w:val="00B27625"/>
    <w:rsid w:val="00B675D9"/>
    <w:rsid w:val="00B97D55"/>
    <w:rsid w:val="00BB29EA"/>
    <w:rsid w:val="00BD0401"/>
    <w:rsid w:val="00BF5676"/>
    <w:rsid w:val="00C30C57"/>
    <w:rsid w:val="00C47589"/>
    <w:rsid w:val="00C73F83"/>
    <w:rsid w:val="00C822A9"/>
    <w:rsid w:val="00C855C0"/>
    <w:rsid w:val="00CA28C1"/>
    <w:rsid w:val="00CC51C2"/>
    <w:rsid w:val="00CE08A2"/>
    <w:rsid w:val="00CE456F"/>
    <w:rsid w:val="00CF1C5A"/>
    <w:rsid w:val="00D10326"/>
    <w:rsid w:val="00D201D6"/>
    <w:rsid w:val="00D214A1"/>
    <w:rsid w:val="00D367E3"/>
    <w:rsid w:val="00DA2249"/>
    <w:rsid w:val="00DA581F"/>
    <w:rsid w:val="00DC29A1"/>
    <w:rsid w:val="00DC7405"/>
    <w:rsid w:val="00DD3006"/>
    <w:rsid w:val="00DE2102"/>
    <w:rsid w:val="00DF6638"/>
    <w:rsid w:val="00E119D1"/>
    <w:rsid w:val="00E713DA"/>
    <w:rsid w:val="00E7612F"/>
    <w:rsid w:val="00E8113D"/>
    <w:rsid w:val="00E85CF8"/>
    <w:rsid w:val="00EA11B4"/>
    <w:rsid w:val="00EB1E60"/>
    <w:rsid w:val="00EB353E"/>
    <w:rsid w:val="00EC0FA9"/>
    <w:rsid w:val="00ED04CB"/>
    <w:rsid w:val="00ED51D7"/>
    <w:rsid w:val="00ED70B9"/>
    <w:rsid w:val="00EE1DF0"/>
    <w:rsid w:val="00F01887"/>
    <w:rsid w:val="00F215A7"/>
    <w:rsid w:val="00F42DCF"/>
    <w:rsid w:val="00F709F5"/>
    <w:rsid w:val="00F73FF2"/>
    <w:rsid w:val="00F81F0C"/>
    <w:rsid w:val="00F8442A"/>
    <w:rsid w:val="00F87A95"/>
    <w:rsid w:val="00F90AE2"/>
    <w:rsid w:val="00FA5CBE"/>
    <w:rsid w:val="00FB641C"/>
    <w:rsid w:val="00FC1073"/>
    <w:rsid w:val="00FC6AFD"/>
    <w:rsid w:val="00FE130F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9C4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0B29C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0B29C4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sid w:val="000B29C4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sid w:val="000B29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B29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sid w:val="000B29C4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sid w:val="000B29C4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PlainText">
    <w:name w:val="Plain Text"/>
    <w:basedOn w:val="Normal"/>
    <w:link w:val="PlainTextChar"/>
    <w:rsid w:val="002C12DA"/>
    <w:rPr>
      <w:rFonts w:ascii="Courier New" w:hAnsi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2C12DA"/>
    <w:rPr>
      <w:rFonts w:ascii="Courier New" w:hAnsi="Courier New"/>
    </w:rPr>
  </w:style>
  <w:style w:type="character" w:styleId="Strong">
    <w:name w:val="Strong"/>
    <w:basedOn w:val="DefaultParagraphFont"/>
    <w:qFormat/>
    <w:rsid w:val="002C12DA"/>
    <w:rPr>
      <w:b/>
      <w:bCs/>
    </w:rPr>
  </w:style>
  <w:style w:type="character" w:customStyle="1" w:styleId="apple-converted-space">
    <w:name w:val="apple-converted-space"/>
    <w:basedOn w:val="DefaultParagraphFont"/>
    <w:rsid w:val="006A7F27"/>
  </w:style>
  <w:style w:type="character" w:customStyle="1" w:styleId="public-profile-url">
    <w:name w:val="public-profile-url"/>
    <w:basedOn w:val="DefaultParagraphFont"/>
    <w:rsid w:val="00C73F83"/>
  </w:style>
  <w:style w:type="paragraph" w:styleId="ListParagraph">
    <w:name w:val="List Paragraph"/>
    <w:basedOn w:val="Normal"/>
    <w:uiPriority w:val="34"/>
    <w:qFormat/>
    <w:rsid w:val="00ED70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17" Type="http://schemas.openxmlformats.org/officeDocument/2006/relationships/hyperlink" Target="mailto:mahelm@hotmail.com" TargetMode="External"/><Relationship Id="rId2" Type="http://schemas.openxmlformats.org/officeDocument/2006/relationships/numbering" Target="numbering.xml"/><Relationship Id="rId16" Type="http://schemas.microsoft.com/office/2007/relationships/hdphoto" Target="../ppt/media/hdphoto3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microsoft.com/office/2007/relationships/hdphoto" Target="../ppt/media/hdphoto1.wdp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../ppt/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A63A6-31C8-4F47-8BA5-311F0AD54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2616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2017-07-20T09:49:00Z</dcterms:created>
  <dcterms:modified xsi:type="dcterms:W3CDTF">2017-07-20T09:49:00Z</dcterms:modified>
</cp:coreProperties>
</file>