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6D82F1" w14:textId="77777777" w:rsidR="002236EF" w:rsidRPr="00225E51" w:rsidRDefault="002236EF" w:rsidP="00225E51">
      <w:pPr>
        <w:spacing w:line="240" w:lineRule="auto"/>
        <w:jc w:val="center"/>
        <w:rPr>
          <w:rFonts w:ascii="Minion Pro" w:hAnsi="Minion Pro" w:cs="Times New Roman"/>
          <w:b/>
          <w:bCs/>
          <w:color w:val="1F497D" w:themeColor="text2"/>
          <w:sz w:val="24"/>
          <w:szCs w:val="24"/>
        </w:rPr>
      </w:pPr>
      <w:r w:rsidRPr="00225E51">
        <w:rPr>
          <w:rFonts w:ascii="Minion Pro" w:hAnsi="Minion Pro" w:cs="Times New Roman"/>
          <w:b/>
          <w:bCs/>
          <w:color w:val="1F497D" w:themeColor="text2"/>
          <w:sz w:val="24"/>
          <w:szCs w:val="24"/>
        </w:rPr>
        <w:t>INHIBITION OF PTPase PROTECTS AGAINST STRUCTURAL AND FUNCTIONAL RENAL ABNORMALITIES IN EXPERIMENTAL MODEL OF CKD</w:t>
      </w:r>
    </w:p>
    <w:p w14:paraId="5D13CFEB" w14:textId="77777777" w:rsidR="00225E51" w:rsidRDefault="002236EF" w:rsidP="00225E51">
      <w:pPr>
        <w:spacing w:line="240" w:lineRule="auto"/>
        <w:jc w:val="center"/>
        <w:rPr>
          <w:rFonts w:ascii="Minion Pro" w:hAnsi="Minion Pro" w:cs="Times New Roman"/>
          <w:b/>
          <w:bCs/>
          <w:color w:val="1F497D" w:themeColor="text2"/>
          <w:sz w:val="24"/>
          <w:szCs w:val="24"/>
        </w:rPr>
      </w:pPr>
      <w:r w:rsidRPr="00225E51">
        <w:rPr>
          <w:rFonts w:ascii="Minion Pro" w:hAnsi="Minion Pro" w:cs="Times New Roman"/>
          <w:b/>
          <w:bCs/>
          <w:color w:val="1F497D" w:themeColor="text2"/>
          <w:sz w:val="24"/>
          <w:szCs w:val="24"/>
        </w:rPr>
        <w:t>GAGANDEEP KAUR</w:t>
      </w:r>
      <w:r w:rsidRPr="00225E51">
        <w:rPr>
          <w:rFonts w:ascii="Minion Pro" w:hAnsi="Minion Pro" w:cs="Times New Roman"/>
          <w:b/>
          <w:bCs/>
          <w:color w:val="1F497D" w:themeColor="text2"/>
          <w:sz w:val="24"/>
          <w:szCs w:val="24"/>
          <w:vertAlign w:val="superscript"/>
        </w:rPr>
        <w:t>a</w:t>
      </w:r>
      <w:r w:rsidRPr="00225E51">
        <w:rPr>
          <w:rFonts w:ascii="Minion Pro" w:hAnsi="Minion Pro" w:cs="Times New Roman"/>
          <w:b/>
          <w:bCs/>
          <w:color w:val="1F497D" w:themeColor="text2"/>
          <w:sz w:val="24"/>
          <w:szCs w:val="24"/>
        </w:rPr>
        <w:t>, PAWAN KRISHAN*</w:t>
      </w:r>
    </w:p>
    <w:p w14:paraId="1E39A132" w14:textId="22100EC8" w:rsidR="009C4AB1" w:rsidRPr="00225E51" w:rsidRDefault="009C4AB1" w:rsidP="00225E51">
      <w:pPr>
        <w:spacing w:line="240" w:lineRule="auto"/>
        <w:jc w:val="center"/>
        <w:rPr>
          <w:rFonts w:ascii="Minion Pro" w:hAnsi="Minion Pro" w:cs="Times New Roman"/>
          <w:b/>
          <w:bCs/>
          <w:color w:val="1F497D" w:themeColor="text2"/>
          <w:sz w:val="24"/>
          <w:szCs w:val="24"/>
        </w:rPr>
      </w:pPr>
      <w:r w:rsidRPr="00225E51">
        <w:rPr>
          <w:rFonts w:ascii="Minion Pro" w:hAnsi="Minion Pro" w:cs="Times New Roman"/>
          <w:b/>
          <w:bCs/>
          <w:color w:val="1F497D" w:themeColor="text2"/>
          <w:sz w:val="24"/>
          <w:szCs w:val="24"/>
          <w:vertAlign w:val="superscript"/>
        </w:rPr>
        <w:t>a</w:t>
      </w:r>
      <w:r w:rsidRPr="00225E51">
        <w:rPr>
          <w:rFonts w:ascii="Minion Pro" w:hAnsi="Minion Pro" w:cs="Times New Roman"/>
          <w:b/>
          <w:bCs/>
          <w:color w:val="1F497D" w:themeColor="text2"/>
          <w:sz w:val="24"/>
          <w:szCs w:val="24"/>
        </w:rPr>
        <w:t>Department of Pharmaceutical Sciences and Drug Research, Punjabi University Patiala, India</w:t>
      </w:r>
      <w:r w:rsidRPr="00225E51">
        <w:rPr>
          <w:rFonts w:ascii="Minion Pro" w:hAnsi="Minion Pro" w:cs="Times New Roman"/>
          <w:b/>
          <w:bCs/>
          <w:sz w:val="24"/>
          <w:szCs w:val="24"/>
        </w:rPr>
        <w:t>.</w:t>
      </w:r>
    </w:p>
    <w:p w14:paraId="15F0B1D7" w14:textId="77777777" w:rsidR="00225E51" w:rsidRDefault="00225E51" w:rsidP="009C4AB1">
      <w:pPr>
        <w:autoSpaceDE w:val="0"/>
        <w:autoSpaceDN w:val="0"/>
        <w:adjustRightInd w:val="0"/>
        <w:spacing w:after="0" w:line="360" w:lineRule="auto"/>
        <w:jc w:val="center"/>
        <w:rPr>
          <w:rFonts w:ascii="Times New Roman" w:hAnsi="Times New Roman" w:cs="Times New Roman"/>
          <w:b/>
          <w:bCs/>
          <w:sz w:val="24"/>
          <w:szCs w:val="24"/>
        </w:rPr>
        <w:sectPr w:rsidR="00225E51" w:rsidSect="00225E51">
          <w:footerReference w:type="default" r:id="rId8"/>
          <w:pgSz w:w="12240" w:h="15840"/>
          <w:pgMar w:top="1440" w:right="1440" w:bottom="1440" w:left="1440" w:header="720" w:footer="720" w:gutter="0"/>
          <w:cols w:space="720"/>
          <w:docGrid w:linePitch="360"/>
        </w:sectPr>
      </w:pPr>
    </w:p>
    <w:p w14:paraId="23E9B469" w14:textId="2A0B7E15" w:rsidR="009C4AB1" w:rsidRPr="00225E51" w:rsidRDefault="009C4AB1" w:rsidP="00225E51">
      <w:pPr>
        <w:autoSpaceDE w:val="0"/>
        <w:autoSpaceDN w:val="0"/>
        <w:adjustRightInd w:val="0"/>
        <w:spacing w:after="0" w:line="360" w:lineRule="auto"/>
        <w:rPr>
          <w:rFonts w:ascii="Minion Pro" w:hAnsi="Minion Pro" w:cs="Times New Roman"/>
          <w:color w:val="F79646" w:themeColor="accent6"/>
          <w:sz w:val="24"/>
          <w:szCs w:val="24"/>
          <w:lang w:bidi="pa-IN"/>
        </w:rPr>
      </w:pPr>
      <w:r w:rsidRPr="00225E51">
        <w:rPr>
          <w:rFonts w:ascii="Minion Pro" w:hAnsi="Minion Pro" w:cs="Times New Roman"/>
          <w:b/>
          <w:bCs/>
          <w:color w:val="F79646" w:themeColor="accent6"/>
          <w:sz w:val="24"/>
          <w:szCs w:val="24"/>
        </w:rPr>
        <w:t>ABSTRACT</w:t>
      </w:r>
    </w:p>
    <w:p w14:paraId="034108BB" w14:textId="1872D754" w:rsidR="002236EF" w:rsidRPr="00225E51" w:rsidRDefault="002236EF" w:rsidP="00225E51">
      <w:pPr>
        <w:autoSpaceDE w:val="0"/>
        <w:autoSpaceDN w:val="0"/>
        <w:adjustRightInd w:val="0"/>
        <w:spacing w:after="0" w:line="240" w:lineRule="auto"/>
        <w:jc w:val="both"/>
        <w:rPr>
          <w:rFonts w:ascii="Minion Pro" w:hAnsi="Minion Pro" w:cs="Times New Roman"/>
          <w:sz w:val="20"/>
          <w:szCs w:val="20"/>
          <w:lang w:bidi="pa-IN"/>
        </w:rPr>
      </w:pPr>
      <w:bookmarkStart w:id="0" w:name="_Hlk50545148"/>
      <w:r w:rsidRPr="00225E51">
        <w:rPr>
          <w:rFonts w:ascii="Minion Pro" w:hAnsi="Minion Pro" w:cs="Times New Roman"/>
          <w:sz w:val="20"/>
          <w:szCs w:val="20"/>
          <w:lang w:bidi="pa-IN"/>
        </w:rPr>
        <w:t>Chronic kidney disease (CKD) a recognized predicament comprises of renal fibrosis, inflammation, structural and functional changes in kidney</w:t>
      </w:r>
      <w:r w:rsidRPr="00225E51">
        <w:rPr>
          <w:rFonts w:ascii="Minion Pro" w:hAnsi="Minion Pro" w:cs="Times New Roman"/>
          <w:b/>
          <w:bCs/>
          <w:sz w:val="20"/>
          <w:szCs w:val="20"/>
          <w:lang w:bidi="pa-IN"/>
        </w:rPr>
        <w:t xml:space="preserve">. </w:t>
      </w:r>
      <w:r w:rsidRPr="00225E51">
        <w:rPr>
          <w:rFonts w:ascii="Minion Pro" w:hAnsi="Minion Pro" w:cs="Times New Roman"/>
          <w:sz w:val="20"/>
          <w:szCs w:val="20"/>
          <w:lang w:bidi="pa-IN"/>
        </w:rPr>
        <w:t>Further, preclinical use of</w:t>
      </w:r>
      <w:r w:rsidRPr="00225E51">
        <w:rPr>
          <w:rFonts w:ascii="Minion Pro" w:hAnsi="Minion Pro" w:cs="Times New Roman"/>
          <w:b/>
          <w:bCs/>
          <w:sz w:val="20"/>
          <w:szCs w:val="20"/>
          <w:lang w:bidi="pa-IN"/>
        </w:rPr>
        <w:t xml:space="preserve"> </w:t>
      </w:r>
      <w:r w:rsidRPr="00225E51">
        <w:rPr>
          <w:rFonts w:ascii="Minion Pro" w:hAnsi="Minion Pro" w:cs="Times New Roman"/>
          <w:sz w:val="20"/>
          <w:szCs w:val="20"/>
          <w:lang w:bidi="pa-IN"/>
        </w:rPr>
        <w:t xml:space="preserve">protein tyrosine phosphatase inhibitor (sodium orthovanadate)/(SOV) to improve mitochondrial enzyme activity and to accelerate angiogenesis in diseased animals have also been registered in earlier studies. In the present study, we investigated whether sodium orthovanadate will be able to turn down bilateral I/R-induced CKD by suppressing these renal alterations or not. Bilateral I/R surgery was performed to induce chronic kidney disease in Wistar rats, which leads to the development of severe tubulointerstitial fibrosis and glomerulosclerosis with altered renal function. Noticeable changes were observed in oxidative stress, serum and urine parameters after subsequent SOV treatment (5mg and 10mg/kg/p.o) for 90 days in CKD rats. Furthermore, SOV treatment showed beneficial effects on mRNA expression of </w:t>
      </w:r>
      <w:r w:rsidRPr="00225E51">
        <w:rPr>
          <w:rFonts w:ascii="Minion Pro" w:hAnsi="Minion Pro" w:cs="Times New Roman"/>
          <w:i/>
          <w:iCs/>
          <w:sz w:val="20"/>
          <w:szCs w:val="20"/>
          <w:lang w:bidi="pa-IN"/>
        </w:rPr>
        <w:t xml:space="preserve">Kim-1, </w:t>
      </w:r>
      <w:r w:rsidRPr="00225E51">
        <w:rPr>
          <w:rFonts w:ascii="Minion Pro" w:hAnsi="Minion Pro" w:cs="Times New Roman"/>
          <w:sz w:val="20"/>
          <w:szCs w:val="20"/>
          <w:lang w:bidi="pa-IN"/>
        </w:rPr>
        <w:t>TGF-β and Collagen-IV, which is known to promote fibrosis via various signalling pathways involved in the progression of renal disease, Additionally, results revealed that SOV treatment successfully reduced the overexpression of pro-inflammatory marker IL-6 and also helped to restore reduced expression of  nephrin, and podocin in bilateral I/R-induced CKD animals. Moreover, present studies also demonstrated the considerable functional and structural changes after SOV treatment, and these results are further supported via data obtained from the biochemical analysis and quantitaive analysis of histopathological slides respectively. In conclusion, SOV reduces renal fibrosis,glomerulosclerosis and inflammation in chronic kidney disease by modulating involved gene expressions (PTP-1B, IL-6, podocin, nephrin,</w:t>
      </w:r>
      <w:r w:rsidRPr="00225E51">
        <w:rPr>
          <w:rFonts w:ascii="Minion Pro" w:hAnsi="Minion Pro" w:cs="Times New Roman"/>
          <w:i/>
          <w:iCs/>
          <w:sz w:val="20"/>
          <w:szCs w:val="20"/>
          <w:lang w:bidi="pa-IN"/>
        </w:rPr>
        <w:t xml:space="preserve">Kim-1, </w:t>
      </w:r>
      <w:r w:rsidRPr="00225E51">
        <w:rPr>
          <w:rFonts w:ascii="Minion Pro" w:hAnsi="Minion Pro" w:cs="Times New Roman"/>
          <w:sz w:val="20"/>
          <w:szCs w:val="20"/>
          <w:lang w:bidi="pa-IN"/>
        </w:rPr>
        <w:t xml:space="preserve">TGF-β and Collagen-IV)and  inhibiting PTPase activity in renal tissue. </w:t>
      </w:r>
    </w:p>
    <w:p w14:paraId="08BB6046" w14:textId="56747990" w:rsidR="00225E51" w:rsidRPr="00225E51" w:rsidRDefault="00225E51" w:rsidP="00225E51">
      <w:pPr>
        <w:autoSpaceDE w:val="0"/>
        <w:autoSpaceDN w:val="0"/>
        <w:adjustRightInd w:val="0"/>
        <w:spacing w:after="0" w:line="240" w:lineRule="auto"/>
        <w:jc w:val="both"/>
        <w:rPr>
          <w:rFonts w:ascii="Times New Roman" w:hAnsi="Times New Roman" w:cs="Times New Roman"/>
          <w:sz w:val="20"/>
          <w:szCs w:val="20"/>
          <w:lang w:bidi="pa-IN"/>
        </w:rPr>
      </w:pPr>
    </w:p>
    <w:bookmarkEnd w:id="0"/>
    <w:p w14:paraId="70F895CB" w14:textId="3AB54ECC" w:rsidR="002236EF" w:rsidRDefault="00225E51" w:rsidP="002236EF">
      <w:pPr>
        <w:autoSpaceDE w:val="0"/>
        <w:autoSpaceDN w:val="0"/>
        <w:adjustRightInd w:val="0"/>
        <w:spacing w:after="0" w:line="360" w:lineRule="auto"/>
        <w:jc w:val="both"/>
        <w:rPr>
          <w:rFonts w:ascii="Times New Roman" w:hAnsi="Times New Roman" w:cs="Times New Roman"/>
          <w:sz w:val="24"/>
          <w:szCs w:val="24"/>
          <w:lang w:bidi="pa-IN"/>
        </w:rPr>
      </w:pPr>
      <w:r w:rsidRPr="00225E51">
        <w:rPr>
          <w:rFonts w:ascii="Times New Roman" w:eastAsia="CIDFont+F3" w:hAnsi="Times New Roman" w:cs="Times New Roman"/>
          <w:noProof/>
        </w:rPr>
        <w:drawing>
          <wp:inline distT="0" distB="0" distL="0" distR="0" wp14:anchorId="0E667F7B" wp14:editId="2B8F7CD9">
            <wp:extent cx="3543300" cy="2028825"/>
            <wp:effectExtent l="0" t="0" r="0" b="0"/>
            <wp:docPr id="3" name="Object 3"/>
            <wp:cNvGraphicFramePr>
              <a:graphicFrameLocks xmlns:a="http://schemas.openxmlformats.org/drawingml/2006/main"/>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11943471" cy="4284426"/>
                      <a:chOff x="1" y="1540644"/>
                      <a:chExt cx="11943471" cy="4284426"/>
                    </a:xfrm>
                  </a:grpSpPr>
                  <a:grpSp>
                    <a:nvGrpSpPr>
                      <a:cNvPr id="55" name="Group 54"/>
                      <a:cNvGrpSpPr/>
                    </a:nvGrpSpPr>
                    <a:grpSpPr>
                      <a:xfrm>
                        <a:off x="1" y="1540644"/>
                        <a:ext cx="11943471" cy="4284426"/>
                        <a:chOff x="1" y="1540644"/>
                        <a:chExt cx="11943471" cy="4284426"/>
                      </a:xfrm>
                    </a:grpSpPr>
                    <a:grpSp>
                      <a:nvGrpSpPr>
                        <a:cNvPr id="3" name="Group 17"/>
                        <a:cNvGrpSpPr/>
                      </a:nvGrpSpPr>
                      <a:grpSpPr>
                        <a:xfrm>
                          <a:off x="8139331" y="2082021"/>
                          <a:ext cx="1890934" cy="2124221"/>
                          <a:chOff x="8540226" y="1753726"/>
                          <a:chExt cx="2302399" cy="2489485"/>
                        </a:xfrm>
                      </a:grpSpPr>
                      <a:sp>
                        <a:nvSpPr>
                          <a:cNvPr id="34" name="Arc 33"/>
                          <a:cNvSpPr/>
                        </a:nvSpPr>
                        <a:spPr>
                          <a:xfrm>
                            <a:off x="9666557" y="3067143"/>
                            <a:ext cx="1176068" cy="1176068"/>
                          </a:xfrm>
                          <a:prstGeom prst="arc">
                            <a:avLst>
                              <a:gd name="adj1" fmla="val 15956854"/>
                              <a:gd name="adj2" fmla="val 10795556"/>
                            </a:avLst>
                          </a:prstGeom>
                          <a:ln w="38100">
                            <a:solidFill>
                              <a:schemeClr val="accent6"/>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350"/>
                            </a:p>
                          </a:txBody>
                          <a:useSpRect/>
                        </a:txSp>
                        <a:style>
                          <a:lnRef idx="1">
                            <a:schemeClr val="accent1"/>
                          </a:lnRef>
                          <a:fillRef idx="0">
                            <a:schemeClr val="accent1"/>
                          </a:fillRef>
                          <a:effectRef idx="0">
                            <a:schemeClr val="accent1"/>
                          </a:effectRef>
                          <a:fontRef idx="minor">
                            <a:schemeClr val="tx1"/>
                          </a:fontRef>
                        </a:style>
                      </a:sp>
                      <a:cxnSp>
                        <a:nvCxnSpPr>
                          <a:cNvPr id="35" name="Straight Connector 34"/>
                          <a:cNvCxnSpPr>
                            <a:cxnSpLocks/>
                          </a:cNvCxnSpPr>
                        </a:nvCxnSpPr>
                        <a:spPr>
                          <a:xfrm flipH="1">
                            <a:off x="8540226" y="3655937"/>
                            <a:ext cx="1143000" cy="0"/>
                          </a:xfrm>
                          <a:prstGeom prst="line">
                            <a:avLst/>
                          </a:prstGeom>
                          <a:ln w="38100">
                            <a:solidFill>
                              <a:schemeClr val="accent6"/>
                            </a:solidFill>
                          </a:ln>
                        </a:spPr>
                        <a:style>
                          <a:lnRef idx="1">
                            <a:schemeClr val="accent1"/>
                          </a:lnRef>
                          <a:fillRef idx="0">
                            <a:schemeClr val="accent1"/>
                          </a:fillRef>
                          <a:effectRef idx="0">
                            <a:schemeClr val="accent1"/>
                          </a:effectRef>
                          <a:fontRef idx="minor">
                            <a:schemeClr val="tx1"/>
                          </a:fontRef>
                        </a:style>
                      </a:cxnSp>
                      <a:cxnSp>
                        <a:nvCxnSpPr>
                          <a:cNvPr id="36" name="Straight Connector 35"/>
                          <a:cNvCxnSpPr>
                            <a:cxnSpLocks/>
                          </a:cNvCxnSpPr>
                        </a:nvCxnSpPr>
                        <a:spPr>
                          <a:xfrm flipV="1">
                            <a:off x="10208272" y="1753726"/>
                            <a:ext cx="0" cy="1333939"/>
                          </a:xfrm>
                          <a:prstGeom prst="line">
                            <a:avLst/>
                          </a:prstGeom>
                          <a:ln w="38100">
                            <a:solidFill>
                              <a:schemeClr val="accent6"/>
                            </a:solidFill>
                            <a:tailEnd type="oval"/>
                          </a:ln>
                        </a:spPr>
                        <a:style>
                          <a:lnRef idx="1">
                            <a:schemeClr val="accent1"/>
                          </a:lnRef>
                          <a:fillRef idx="0">
                            <a:schemeClr val="accent1"/>
                          </a:fillRef>
                          <a:effectRef idx="0">
                            <a:schemeClr val="accent1"/>
                          </a:effectRef>
                          <a:fontRef idx="minor">
                            <a:schemeClr val="tx1"/>
                          </a:fontRef>
                        </a:style>
                      </a:cxnSp>
                      <a:sp>
                        <a:nvSpPr>
                          <a:cNvPr id="37" name="Oval 36"/>
                          <a:cNvSpPr/>
                        </a:nvSpPr>
                        <a:spPr>
                          <a:xfrm>
                            <a:off x="9833111" y="3244870"/>
                            <a:ext cx="850117" cy="842748"/>
                          </a:xfrm>
                          <a:prstGeom prst="ellipse">
                            <a:avLst/>
                          </a:prstGeom>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smtClean="0">
                                  <a:solidFill>
                                    <a:schemeClr val="tx1">
                                      <a:lumMod val="85000"/>
                                      <a:lumOff val="15000"/>
                                    </a:schemeClr>
                                  </a:solidFill>
                                </a:rPr>
                                <a:t>90</a:t>
                              </a:r>
                              <a:r>
                                <a:rPr lang="en-US" sz="1400" b="1" baseline="30000" dirty="0" smtClean="0">
                                  <a:solidFill>
                                    <a:schemeClr val="tx1">
                                      <a:lumMod val="85000"/>
                                      <a:lumOff val="15000"/>
                                    </a:schemeClr>
                                  </a:solidFill>
                                </a:rPr>
                                <a:t>th</a:t>
                              </a:r>
                              <a:r>
                                <a:rPr lang="en-US" sz="1400" b="1" dirty="0" smtClean="0">
                                  <a:solidFill>
                                    <a:schemeClr val="tx1">
                                      <a:lumMod val="85000"/>
                                      <a:lumOff val="15000"/>
                                    </a:schemeClr>
                                  </a:solidFill>
                                </a:rPr>
                                <a:t> day </a:t>
                              </a:r>
                              <a:endParaRPr lang="en-US" sz="1400" b="1" dirty="0">
                                <a:solidFill>
                                  <a:schemeClr val="tx1">
                                    <a:lumMod val="85000"/>
                                    <a:lumOff val="15000"/>
                                  </a:schemeClr>
                                </a:solidFill>
                              </a:endParaRPr>
                            </a:p>
                          </a:txBody>
                          <a:useSpRect/>
                        </a:txSp>
                        <a:style>
                          <a:lnRef idx="1">
                            <a:schemeClr val="accent6"/>
                          </a:lnRef>
                          <a:fillRef idx="3">
                            <a:schemeClr val="accent6"/>
                          </a:fillRef>
                          <a:effectRef idx="2">
                            <a:schemeClr val="accent6"/>
                          </a:effectRef>
                          <a:fontRef idx="minor">
                            <a:schemeClr val="lt1"/>
                          </a:fontRef>
                        </a:style>
                      </a:sp>
                    </a:grpSp>
                    <a:grpSp>
                      <a:nvGrpSpPr>
                        <a:cNvPr id="4" name="Group 16"/>
                        <a:cNvGrpSpPr/>
                      </a:nvGrpSpPr>
                      <a:grpSpPr>
                        <a:xfrm>
                          <a:off x="5884157" y="3173195"/>
                          <a:ext cx="2057826" cy="2193342"/>
                          <a:chOff x="6222608" y="3087927"/>
                          <a:chExt cx="2317619" cy="2489485"/>
                        </a:xfrm>
                      </a:grpSpPr>
                      <a:sp>
                        <a:nvSpPr>
                          <a:cNvPr id="41" name="Arc 40"/>
                          <a:cNvSpPr/>
                        </a:nvSpPr>
                        <a:spPr>
                          <a:xfrm rot="10800000">
                            <a:off x="7364159" y="3087927"/>
                            <a:ext cx="1176068" cy="1176068"/>
                          </a:xfrm>
                          <a:prstGeom prst="arc">
                            <a:avLst>
                              <a:gd name="adj1" fmla="val 10895"/>
                              <a:gd name="adj2" fmla="val 15969831"/>
                            </a:avLst>
                          </a:prstGeom>
                          <a:ln w="38100">
                            <a:solidFill>
                              <a:schemeClr val="accent5"/>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350"/>
                            </a:p>
                          </a:txBody>
                          <a:useSpRect/>
                        </a:txSp>
                        <a:style>
                          <a:lnRef idx="1">
                            <a:schemeClr val="accent1"/>
                          </a:lnRef>
                          <a:fillRef idx="0">
                            <a:schemeClr val="accent1"/>
                          </a:fillRef>
                          <a:effectRef idx="0">
                            <a:schemeClr val="accent1"/>
                          </a:effectRef>
                          <a:fontRef idx="minor">
                            <a:schemeClr val="tx1"/>
                          </a:fontRef>
                        </a:style>
                      </a:sp>
                      <a:cxnSp>
                        <a:nvCxnSpPr>
                          <a:cNvPr id="42" name="Straight Connector 41"/>
                          <a:cNvCxnSpPr>
                            <a:cxnSpLocks/>
                          </a:cNvCxnSpPr>
                        </a:nvCxnSpPr>
                        <a:spPr>
                          <a:xfrm>
                            <a:off x="6222608" y="3656199"/>
                            <a:ext cx="1141550" cy="0"/>
                          </a:xfrm>
                          <a:prstGeom prst="line">
                            <a:avLst/>
                          </a:prstGeom>
                          <a:ln w="38100">
                            <a:solidFill>
                              <a:schemeClr val="accent5"/>
                            </a:solidFill>
                          </a:ln>
                        </a:spPr>
                        <a:style>
                          <a:lnRef idx="1">
                            <a:schemeClr val="accent1"/>
                          </a:lnRef>
                          <a:fillRef idx="0">
                            <a:schemeClr val="accent1"/>
                          </a:fillRef>
                          <a:effectRef idx="0">
                            <a:schemeClr val="accent1"/>
                          </a:effectRef>
                          <a:fontRef idx="minor">
                            <a:schemeClr val="tx1"/>
                          </a:fontRef>
                        </a:style>
                      </a:cxnSp>
                      <a:cxnSp>
                        <a:nvCxnSpPr>
                          <a:cNvPr id="73" name="Straight Connector 72"/>
                          <a:cNvCxnSpPr>
                            <a:cxnSpLocks/>
                          </a:cNvCxnSpPr>
                        </a:nvCxnSpPr>
                        <a:spPr>
                          <a:xfrm rot="10800000" flipV="1">
                            <a:off x="7998512" y="4243473"/>
                            <a:ext cx="0" cy="1333939"/>
                          </a:xfrm>
                          <a:prstGeom prst="line">
                            <a:avLst/>
                          </a:prstGeom>
                          <a:ln w="38100">
                            <a:solidFill>
                              <a:schemeClr val="accent5"/>
                            </a:solidFill>
                            <a:tailEnd type="oval"/>
                          </a:ln>
                        </a:spPr>
                        <a:style>
                          <a:lnRef idx="1">
                            <a:schemeClr val="accent1"/>
                          </a:lnRef>
                          <a:fillRef idx="0">
                            <a:schemeClr val="accent1"/>
                          </a:fillRef>
                          <a:effectRef idx="0">
                            <a:schemeClr val="accent1"/>
                          </a:effectRef>
                          <a:fontRef idx="minor">
                            <a:schemeClr val="tx1"/>
                          </a:fontRef>
                        </a:style>
                      </a:cxnSp>
                      <a:sp>
                        <a:nvSpPr>
                          <a:cNvPr id="40" name="Oval 39"/>
                          <a:cNvSpPr/>
                        </a:nvSpPr>
                        <a:spPr>
                          <a:xfrm>
                            <a:off x="7511883" y="3235650"/>
                            <a:ext cx="880621" cy="880621"/>
                          </a:xfrm>
                          <a:prstGeom prst="ellipse">
                            <a:avLst/>
                          </a:prstGeom>
                          <a:ln/>
                        </a:spPr>
                        <a:txSp>
                          <a:txBody>
                            <a:bodyPr rot="0" spcFirstLastPara="0" vertOverflow="overflow" horzOverflow="overflow" vert="horz" wrap="square" lIns="68580" tIns="34290" rIns="68580" bIns="34290" numCol="1" spcCol="0" rtlCol="0" fromWordArt="0" anchor="ctr" anchorCtr="0" forceAA="0" compatLnSpc="1">
                              <a:prstTxWarp prst="textNoShape">
                                <a:avLst/>
                              </a:prstTxWarp>
                              <a:noAutofit/>
                            </a:bodyP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smtClean="0">
                                  <a:effectLst>
                                    <a:outerShdw blurRad="38100" dist="38100" dir="2700000" algn="tl">
                                      <a:srgbClr val="000000">
                                        <a:alpha val="43137"/>
                                      </a:srgbClr>
                                    </a:outerShdw>
                                  </a:effectLst>
                                </a:rPr>
                                <a:t>60</a:t>
                              </a:r>
                              <a:r>
                                <a:rPr lang="en-US" sz="1400" b="1" baseline="30000" dirty="0" smtClean="0">
                                  <a:effectLst>
                                    <a:outerShdw blurRad="38100" dist="38100" dir="2700000" algn="tl">
                                      <a:srgbClr val="000000">
                                        <a:alpha val="43137"/>
                                      </a:srgbClr>
                                    </a:outerShdw>
                                  </a:effectLst>
                                </a:rPr>
                                <a:t>th</a:t>
                              </a:r>
                              <a:r>
                                <a:rPr lang="en-US" sz="1400" b="1" dirty="0" smtClean="0">
                                  <a:effectLst>
                                    <a:outerShdw blurRad="38100" dist="38100" dir="2700000" algn="tl">
                                      <a:srgbClr val="000000">
                                        <a:alpha val="43137"/>
                                      </a:srgbClr>
                                    </a:outerShdw>
                                  </a:effectLst>
                                </a:rPr>
                                <a:t> day</a:t>
                              </a:r>
                              <a:endParaRPr lang="en-US" sz="1400" b="1" dirty="0">
                                <a:effectLst>
                                  <a:outerShdw blurRad="38100" dist="38100" dir="2700000" algn="tl">
                                    <a:srgbClr val="000000">
                                      <a:alpha val="43137"/>
                                    </a:srgbClr>
                                  </a:outerShdw>
                                </a:effectLst>
                              </a:endParaRPr>
                            </a:p>
                          </a:txBody>
                          <a:useSpRect/>
                        </a:txSp>
                        <a:style>
                          <a:lnRef idx="1">
                            <a:schemeClr val="accent5"/>
                          </a:lnRef>
                          <a:fillRef idx="3">
                            <a:schemeClr val="accent5"/>
                          </a:fillRef>
                          <a:effectRef idx="2">
                            <a:schemeClr val="accent5"/>
                          </a:effectRef>
                          <a:fontRef idx="minor">
                            <a:schemeClr val="lt1"/>
                          </a:fontRef>
                        </a:style>
                      </a:sp>
                    </a:grpSp>
                    <a:grpSp>
                      <a:nvGrpSpPr>
                        <a:cNvPr id="5" name="Group 15"/>
                        <a:cNvGrpSpPr/>
                      </a:nvGrpSpPr>
                      <a:grpSpPr>
                        <a:xfrm>
                          <a:off x="3597257" y="2172544"/>
                          <a:ext cx="2044312" cy="2193342"/>
                          <a:chOff x="3905920" y="1753726"/>
                          <a:chExt cx="2302399" cy="2489485"/>
                        </a:xfrm>
                      </a:grpSpPr>
                      <a:sp>
                        <a:nvSpPr>
                          <a:cNvPr id="75" name="Arc 74"/>
                          <a:cNvSpPr/>
                        </a:nvSpPr>
                        <a:spPr>
                          <a:xfrm>
                            <a:off x="5032251" y="3067143"/>
                            <a:ext cx="1176068" cy="1176068"/>
                          </a:xfrm>
                          <a:prstGeom prst="arc">
                            <a:avLst>
                              <a:gd name="adj1" fmla="val 15956854"/>
                              <a:gd name="adj2" fmla="val 10795556"/>
                            </a:avLst>
                          </a:prstGeom>
                          <a:ln w="38100">
                            <a:solidFill>
                              <a:schemeClr val="accent2"/>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350"/>
                            </a:p>
                          </a:txBody>
                          <a:useSpRect/>
                        </a:txSp>
                        <a:style>
                          <a:lnRef idx="1">
                            <a:schemeClr val="accent1"/>
                          </a:lnRef>
                          <a:fillRef idx="0">
                            <a:schemeClr val="accent1"/>
                          </a:fillRef>
                          <a:effectRef idx="0">
                            <a:schemeClr val="accent1"/>
                          </a:effectRef>
                          <a:fontRef idx="minor">
                            <a:schemeClr val="tx1"/>
                          </a:fontRef>
                        </a:style>
                      </a:sp>
                      <a:cxnSp>
                        <a:nvCxnSpPr>
                          <a:cNvPr id="76" name="Straight Connector 75"/>
                          <a:cNvCxnSpPr>
                            <a:cxnSpLocks/>
                          </a:cNvCxnSpPr>
                        </a:nvCxnSpPr>
                        <a:spPr>
                          <a:xfrm flipH="1">
                            <a:off x="3905920" y="3655937"/>
                            <a:ext cx="1143000" cy="0"/>
                          </a:xfrm>
                          <a:prstGeom prst="line">
                            <a:avLst/>
                          </a:prstGeom>
                          <a:ln w="38100">
                            <a:solidFill>
                              <a:schemeClr val="accent2"/>
                            </a:solidFill>
                          </a:ln>
                        </a:spPr>
                        <a:style>
                          <a:lnRef idx="1">
                            <a:schemeClr val="accent1"/>
                          </a:lnRef>
                          <a:fillRef idx="0">
                            <a:schemeClr val="accent1"/>
                          </a:fillRef>
                          <a:effectRef idx="0">
                            <a:schemeClr val="accent1"/>
                          </a:effectRef>
                          <a:fontRef idx="minor">
                            <a:schemeClr val="tx1"/>
                          </a:fontRef>
                        </a:style>
                      </a:cxnSp>
                      <a:cxnSp>
                        <a:nvCxnSpPr>
                          <a:cNvPr id="77" name="Straight Connector 76"/>
                          <a:cNvCxnSpPr>
                            <a:cxnSpLocks/>
                          </a:cNvCxnSpPr>
                        </a:nvCxnSpPr>
                        <a:spPr>
                          <a:xfrm flipV="1">
                            <a:off x="5573966" y="1753726"/>
                            <a:ext cx="0" cy="1333939"/>
                          </a:xfrm>
                          <a:prstGeom prst="line">
                            <a:avLst/>
                          </a:prstGeom>
                          <a:ln w="38100">
                            <a:solidFill>
                              <a:schemeClr val="accent2"/>
                            </a:solidFill>
                            <a:tailEnd type="oval"/>
                          </a:ln>
                        </a:spPr>
                        <a:style>
                          <a:lnRef idx="1">
                            <a:schemeClr val="accent1"/>
                          </a:lnRef>
                          <a:fillRef idx="0">
                            <a:schemeClr val="accent1"/>
                          </a:fillRef>
                          <a:effectRef idx="0">
                            <a:schemeClr val="accent1"/>
                          </a:effectRef>
                          <a:fontRef idx="minor">
                            <a:schemeClr val="tx1"/>
                          </a:fontRef>
                        </a:style>
                      </a:cxnSp>
                      <a:sp>
                        <a:nvSpPr>
                          <a:cNvPr id="78" name="Oval 77"/>
                          <a:cNvSpPr/>
                        </a:nvSpPr>
                        <a:spPr>
                          <a:xfrm>
                            <a:off x="5149755" y="3187888"/>
                            <a:ext cx="965433" cy="946245"/>
                          </a:xfrm>
                          <a:prstGeom prst="ellipse">
                            <a:avLst/>
                          </a:prstGeom>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smtClean="0">
                                  <a:solidFill>
                                    <a:schemeClr val="tx1">
                                      <a:lumMod val="85000"/>
                                      <a:lumOff val="15000"/>
                                    </a:schemeClr>
                                  </a:solidFill>
                                </a:rPr>
                                <a:t>30</a:t>
                              </a:r>
                              <a:r>
                                <a:rPr lang="en-US" sz="1400" b="1" baseline="30000" dirty="0" smtClean="0">
                                  <a:solidFill>
                                    <a:schemeClr val="tx1">
                                      <a:lumMod val="85000"/>
                                      <a:lumOff val="15000"/>
                                    </a:schemeClr>
                                  </a:solidFill>
                                </a:rPr>
                                <a:t>th</a:t>
                              </a:r>
                              <a:r>
                                <a:rPr lang="en-US" sz="1400" b="1" dirty="0" smtClean="0">
                                  <a:solidFill>
                                    <a:schemeClr val="tx1">
                                      <a:lumMod val="85000"/>
                                      <a:lumOff val="15000"/>
                                    </a:schemeClr>
                                  </a:solidFill>
                                </a:rPr>
                                <a:t> day</a:t>
                              </a:r>
                              <a:endParaRPr lang="en-US" sz="1400" b="1" dirty="0">
                                <a:solidFill>
                                  <a:schemeClr val="tx1">
                                    <a:lumMod val="85000"/>
                                    <a:lumOff val="15000"/>
                                  </a:schemeClr>
                                </a:solidFill>
                              </a:endParaRPr>
                            </a:p>
                          </a:txBody>
                          <a:useSpRect/>
                        </a:txSp>
                        <a:style>
                          <a:lnRef idx="1">
                            <a:schemeClr val="accent2"/>
                          </a:lnRef>
                          <a:fillRef idx="3">
                            <a:schemeClr val="accent2"/>
                          </a:fillRef>
                          <a:effectRef idx="2">
                            <a:schemeClr val="accent2"/>
                          </a:effectRef>
                          <a:fontRef idx="minor">
                            <a:schemeClr val="lt1"/>
                          </a:fontRef>
                        </a:style>
                      </a:sp>
                    </a:grpSp>
                    <a:grpSp>
                      <a:nvGrpSpPr>
                        <a:cNvPr id="6" name="Group 14"/>
                        <a:cNvGrpSpPr/>
                      </a:nvGrpSpPr>
                      <a:grpSpPr>
                        <a:xfrm>
                          <a:off x="1476723" y="3173195"/>
                          <a:ext cx="2057826" cy="2193342"/>
                          <a:chOff x="1601158" y="3087927"/>
                          <a:chExt cx="2317619" cy="2489485"/>
                        </a:xfrm>
                      </a:grpSpPr>
                      <a:sp>
                        <a:nvSpPr>
                          <a:cNvPr id="82" name="Arc 81"/>
                          <a:cNvSpPr/>
                        </a:nvSpPr>
                        <a:spPr>
                          <a:xfrm rot="10800000">
                            <a:off x="2742709" y="3087927"/>
                            <a:ext cx="1176068" cy="1176068"/>
                          </a:xfrm>
                          <a:prstGeom prst="arc">
                            <a:avLst>
                              <a:gd name="adj1" fmla="val 10895"/>
                              <a:gd name="adj2" fmla="val 15969831"/>
                            </a:avLst>
                          </a:prstGeom>
                          <a:ln w="38100">
                            <a:solidFill>
                              <a:schemeClr val="accent3"/>
                            </a:solidFill>
                          </a:ln>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350"/>
                            </a:p>
                          </a:txBody>
                          <a:useSpRect/>
                        </a:txSp>
                        <a:style>
                          <a:lnRef idx="1">
                            <a:schemeClr val="accent1"/>
                          </a:lnRef>
                          <a:fillRef idx="0">
                            <a:schemeClr val="accent1"/>
                          </a:fillRef>
                          <a:effectRef idx="0">
                            <a:schemeClr val="accent1"/>
                          </a:effectRef>
                          <a:fontRef idx="minor">
                            <a:schemeClr val="tx1"/>
                          </a:fontRef>
                        </a:style>
                      </a:sp>
                      <a:cxnSp>
                        <a:nvCxnSpPr>
                          <a:cNvPr id="83" name="Straight Connector 82"/>
                          <a:cNvCxnSpPr>
                            <a:cxnSpLocks/>
                          </a:cNvCxnSpPr>
                        </a:nvCxnSpPr>
                        <a:spPr>
                          <a:xfrm>
                            <a:off x="1601158" y="3656199"/>
                            <a:ext cx="1141550" cy="0"/>
                          </a:xfrm>
                          <a:prstGeom prst="line">
                            <a:avLst/>
                          </a:prstGeom>
                          <a:ln w="38100">
                            <a:solidFill>
                              <a:schemeClr val="accent3"/>
                            </a:solidFill>
                          </a:ln>
                        </a:spPr>
                        <a:style>
                          <a:lnRef idx="1">
                            <a:schemeClr val="accent1"/>
                          </a:lnRef>
                          <a:fillRef idx="0">
                            <a:schemeClr val="accent1"/>
                          </a:fillRef>
                          <a:effectRef idx="0">
                            <a:schemeClr val="accent1"/>
                          </a:effectRef>
                          <a:fontRef idx="minor">
                            <a:schemeClr val="tx1"/>
                          </a:fontRef>
                        </a:style>
                      </a:cxnSp>
                      <a:cxnSp>
                        <a:nvCxnSpPr>
                          <a:cNvPr id="84" name="Straight Connector 83"/>
                          <a:cNvCxnSpPr>
                            <a:cxnSpLocks/>
                          </a:cNvCxnSpPr>
                        </a:nvCxnSpPr>
                        <a:spPr>
                          <a:xfrm rot="10800000" flipV="1">
                            <a:off x="3377062" y="4243473"/>
                            <a:ext cx="0" cy="1333939"/>
                          </a:xfrm>
                          <a:prstGeom prst="line">
                            <a:avLst/>
                          </a:prstGeom>
                          <a:ln w="38100">
                            <a:solidFill>
                              <a:schemeClr val="accent3"/>
                            </a:solidFill>
                            <a:tailEnd type="oval"/>
                          </a:ln>
                        </a:spPr>
                        <a:style>
                          <a:lnRef idx="1">
                            <a:schemeClr val="accent1"/>
                          </a:lnRef>
                          <a:fillRef idx="0">
                            <a:schemeClr val="accent1"/>
                          </a:fillRef>
                          <a:effectRef idx="0">
                            <a:schemeClr val="accent1"/>
                          </a:effectRef>
                          <a:fontRef idx="minor">
                            <a:schemeClr val="tx1"/>
                          </a:fontRef>
                        </a:style>
                      </a:cxnSp>
                      <a:sp>
                        <a:nvSpPr>
                          <a:cNvPr id="81" name="Oval 80"/>
                          <a:cNvSpPr/>
                        </a:nvSpPr>
                        <a:spPr>
                          <a:xfrm>
                            <a:off x="2890432" y="3235650"/>
                            <a:ext cx="880621" cy="880621"/>
                          </a:xfrm>
                          <a:prstGeom prst="ellipse">
                            <a:avLst/>
                          </a:prstGeom>
                          <a:ln/>
                        </a:spPr>
                        <a:txSp>
                          <a:txBody>
                            <a:bodyPr rot="0" spcFirstLastPara="0" vertOverflow="overflow" horzOverflow="overflow" vert="horz" wrap="square" lIns="68580" tIns="34290" rIns="68580" bIns="34290" numCol="1" spcCol="0" rtlCol="0" fromWordArt="0" anchor="ctr" anchorCtr="0" forceAA="0" compatLnSpc="1">
                              <a:prstTxWarp prst="textNoShape">
                                <a:avLst/>
                              </a:prstTxWarp>
                              <a:noAutofit/>
                            </a:bodyP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smtClean="0">
                                  <a:solidFill>
                                    <a:schemeClr val="accent1">
                                      <a:lumMod val="50000"/>
                                    </a:schemeClr>
                                  </a:solidFill>
                                </a:rPr>
                                <a:t>10</a:t>
                              </a:r>
                              <a:r>
                                <a:rPr lang="en-US" sz="1400" b="1" baseline="30000" dirty="0" smtClean="0">
                                  <a:solidFill>
                                    <a:schemeClr val="accent1">
                                      <a:lumMod val="50000"/>
                                    </a:schemeClr>
                                  </a:solidFill>
                                </a:rPr>
                                <a:t>th</a:t>
                              </a:r>
                              <a:r>
                                <a:rPr lang="en-US" sz="1400" b="1" dirty="0" smtClean="0">
                                  <a:solidFill>
                                    <a:schemeClr val="accent1">
                                      <a:lumMod val="50000"/>
                                    </a:schemeClr>
                                  </a:solidFill>
                                </a:rPr>
                                <a:t> day </a:t>
                              </a:r>
                              <a:endParaRPr lang="en-US" sz="1400" b="1" dirty="0">
                                <a:solidFill>
                                  <a:schemeClr val="accent1">
                                    <a:lumMod val="50000"/>
                                  </a:schemeClr>
                                </a:solidFill>
                              </a:endParaRPr>
                            </a:p>
                          </a:txBody>
                          <a:useSpRect/>
                        </a:txSp>
                        <a:style>
                          <a:lnRef idx="1">
                            <a:schemeClr val="accent3"/>
                          </a:lnRef>
                          <a:fillRef idx="3">
                            <a:schemeClr val="accent3"/>
                          </a:fillRef>
                          <a:effectRef idx="2">
                            <a:schemeClr val="accent3"/>
                          </a:effectRef>
                          <a:fontRef idx="minor">
                            <a:schemeClr val="lt1"/>
                          </a:fontRef>
                        </a:style>
                      </a:sp>
                    </a:grpSp>
                    <a:grpSp>
                      <a:nvGrpSpPr>
                        <a:cNvPr id="7" name="Group 13"/>
                        <a:cNvGrpSpPr/>
                      </a:nvGrpSpPr>
                      <a:grpSpPr>
                        <a:xfrm>
                          <a:off x="1" y="2172544"/>
                          <a:ext cx="1421014" cy="2193342"/>
                          <a:chOff x="0" y="1753726"/>
                          <a:chExt cx="1600410" cy="2489485"/>
                        </a:xfrm>
                      </a:grpSpPr>
                      <a:sp>
                        <a:nvSpPr>
                          <a:cNvPr id="86" name="Arc 85"/>
                          <a:cNvSpPr/>
                        </a:nvSpPr>
                        <a:spPr>
                          <a:xfrm>
                            <a:off x="424342" y="3067143"/>
                            <a:ext cx="1176068" cy="1176068"/>
                          </a:xfrm>
                          <a:prstGeom prst="arc">
                            <a:avLst>
                              <a:gd name="adj1" fmla="val 15956854"/>
                              <a:gd name="adj2" fmla="val 10891041"/>
                            </a:avLst>
                          </a:prstGeom>
                          <a:ln w="38100"/>
                        </a:spPr>
                        <a:txSp>
                          <a:txBody>
                            <a:bodyPr rtlCol="0" anchor="ct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endParaRPr lang="en-US" sz="1350"/>
                            </a:p>
                          </a:txBody>
                          <a:useSpRect/>
                        </a:txSp>
                        <a:style>
                          <a:lnRef idx="1">
                            <a:schemeClr val="accent1"/>
                          </a:lnRef>
                          <a:fillRef idx="0">
                            <a:schemeClr val="accent1"/>
                          </a:fillRef>
                          <a:effectRef idx="0">
                            <a:schemeClr val="accent1"/>
                          </a:effectRef>
                          <a:fontRef idx="minor">
                            <a:schemeClr val="tx1"/>
                          </a:fontRef>
                        </a:style>
                      </a:sp>
                      <a:cxnSp>
                        <a:nvCxnSpPr>
                          <a:cNvPr id="87" name="Straight Connector 86"/>
                          <a:cNvCxnSpPr>
                            <a:cxnSpLocks/>
                          </a:cNvCxnSpPr>
                        </a:nvCxnSpPr>
                        <a:spPr>
                          <a:xfrm flipH="1">
                            <a:off x="0" y="3655937"/>
                            <a:ext cx="438631" cy="0"/>
                          </a:xfrm>
                          <a:prstGeom prst="line">
                            <a:avLst/>
                          </a:prstGeom>
                          <a:ln w="38100"/>
                        </a:spPr>
                        <a:style>
                          <a:lnRef idx="1">
                            <a:schemeClr val="accent1"/>
                          </a:lnRef>
                          <a:fillRef idx="0">
                            <a:schemeClr val="accent1"/>
                          </a:fillRef>
                          <a:effectRef idx="0">
                            <a:schemeClr val="accent1"/>
                          </a:effectRef>
                          <a:fontRef idx="minor">
                            <a:schemeClr val="tx1"/>
                          </a:fontRef>
                        </a:style>
                      </a:cxnSp>
                      <a:cxnSp>
                        <a:nvCxnSpPr>
                          <a:cNvPr id="88" name="Straight Connector 87"/>
                          <a:cNvCxnSpPr>
                            <a:cxnSpLocks/>
                          </a:cNvCxnSpPr>
                        </a:nvCxnSpPr>
                        <a:spPr>
                          <a:xfrm flipV="1">
                            <a:off x="966057" y="1753726"/>
                            <a:ext cx="0" cy="1333939"/>
                          </a:xfrm>
                          <a:prstGeom prst="line">
                            <a:avLst/>
                          </a:prstGeom>
                          <a:ln w="38100">
                            <a:tailEnd type="oval"/>
                          </a:ln>
                        </a:spPr>
                        <a:style>
                          <a:lnRef idx="1">
                            <a:schemeClr val="accent1"/>
                          </a:lnRef>
                          <a:fillRef idx="0">
                            <a:schemeClr val="accent1"/>
                          </a:fillRef>
                          <a:effectRef idx="0">
                            <a:schemeClr val="accent1"/>
                          </a:effectRef>
                          <a:fontRef idx="minor">
                            <a:schemeClr val="tx1"/>
                          </a:fontRef>
                        </a:style>
                      </a:cxnSp>
                      <a:sp>
                        <a:nvSpPr>
                          <a:cNvPr id="89" name="Oval 88"/>
                          <a:cNvSpPr/>
                        </a:nvSpPr>
                        <a:spPr>
                          <a:xfrm>
                            <a:off x="572066" y="3214866"/>
                            <a:ext cx="880621" cy="880621"/>
                          </a:xfrm>
                          <a:prstGeom prst="ellipse">
                            <a:avLst/>
                          </a:prstGeom>
                          <a:ln/>
                        </a:spPr>
                        <a:txSp>
                          <a:txBody>
                            <a:bodyPr rtlCol="0" anchor="ctr"/>
                            <a:lstStyle>
                              <a:defPPr>
                                <a:defRPr lang="en-US"/>
                              </a:defPPr>
                              <a:lvl1pPr marL="0" algn="l" defTabSz="914400" rtl="0" eaLnBrk="1" latinLnBrk="0" hangingPunct="1">
                                <a:defRPr sz="1800" kern="1200">
                                  <a:solidFill>
                                    <a:schemeClr val="lt1"/>
                                  </a:solidFill>
                                  <a:latin typeface="+mn-lt"/>
                                  <a:ea typeface="+mn-ea"/>
                                  <a:cs typeface="+mn-cs"/>
                                </a:defRPr>
                              </a:lvl1pPr>
                              <a:lvl2pPr marL="457200" algn="l" defTabSz="914400" rtl="0" eaLnBrk="1" latinLnBrk="0" hangingPunct="1">
                                <a:defRPr sz="1800" kern="1200">
                                  <a:solidFill>
                                    <a:schemeClr val="lt1"/>
                                  </a:solidFill>
                                  <a:latin typeface="+mn-lt"/>
                                  <a:ea typeface="+mn-ea"/>
                                  <a:cs typeface="+mn-cs"/>
                                </a:defRPr>
                              </a:lvl2pPr>
                              <a:lvl3pPr marL="914400" algn="l" defTabSz="914400" rtl="0" eaLnBrk="1" latinLnBrk="0" hangingPunct="1">
                                <a:defRPr sz="1800" kern="1200">
                                  <a:solidFill>
                                    <a:schemeClr val="lt1"/>
                                  </a:solidFill>
                                  <a:latin typeface="+mn-lt"/>
                                  <a:ea typeface="+mn-ea"/>
                                  <a:cs typeface="+mn-cs"/>
                                </a:defRPr>
                              </a:lvl3pPr>
                              <a:lvl4pPr marL="1371600" algn="l" defTabSz="914400" rtl="0" eaLnBrk="1" latinLnBrk="0" hangingPunct="1">
                                <a:defRPr sz="1800" kern="1200">
                                  <a:solidFill>
                                    <a:schemeClr val="lt1"/>
                                  </a:solidFill>
                                  <a:latin typeface="+mn-lt"/>
                                  <a:ea typeface="+mn-ea"/>
                                  <a:cs typeface="+mn-cs"/>
                                </a:defRPr>
                              </a:lvl4pPr>
                              <a:lvl5pPr marL="1828800" algn="l" defTabSz="914400" rtl="0" eaLnBrk="1" latinLnBrk="0" hangingPunct="1">
                                <a:defRPr sz="1800" kern="1200">
                                  <a:solidFill>
                                    <a:schemeClr val="lt1"/>
                                  </a:solidFill>
                                  <a:latin typeface="+mn-lt"/>
                                  <a:ea typeface="+mn-ea"/>
                                  <a:cs typeface="+mn-cs"/>
                                </a:defRPr>
                              </a:lvl5pPr>
                              <a:lvl6pPr marL="2286000" algn="l" defTabSz="914400" rtl="0" eaLnBrk="1" latinLnBrk="0" hangingPunct="1">
                                <a:defRPr sz="1800" kern="1200">
                                  <a:solidFill>
                                    <a:schemeClr val="lt1"/>
                                  </a:solidFill>
                                  <a:latin typeface="+mn-lt"/>
                                  <a:ea typeface="+mn-ea"/>
                                  <a:cs typeface="+mn-cs"/>
                                </a:defRPr>
                              </a:lvl6pPr>
                              <a:lvl7pPr marL="2743200" algn="l" defTabSz="914400" rtl="0" eaLnBrk="1" latinLnBrk="0" hangingPunct="1">
                                <a:defRPr sz="1800" kern="1200">
                                  <a:solidFill>
                                    <a:schemeClr val="lt1"/>
                                  </a:solidFill>
                                  <a:latin typeface="+mn-lt"/>
                                  <a:ea typeface="+mn-ea"/>
                                  <a:cs typeface="+mn-cs"/>
                                </a:defRPr>
                              </a:lvl7pPr>
                              <a:lvl8pPr marL="3200400" algn="l" defTabSz="914400" rtl="0" eaLnBrk="1" latinLnBrk="0" hangingPunct="1">
                                <a:defRPr sz="1800" kern="1200">
                                  <a:solidFill>
                                    <a:schemeClr val="lt1"/>
                                  </a:solidFill>
                                  <a:latin typeface="+mn-lt"/>
                                  <a:ea typeface="+mn-ea"/>
                                  <a:cs typeface="+mn-cs"/>
                                </a:defRPr>
                              </a:lvl8pPr>
                              <a:lvl9pPr marL="3657600" algn="l" defTabSz="914400" rtl="0" eaLnBrk="1" latinLnBrk="0" hangingPunct="1">
                                <a:defRPr sz="1800" kern="1200">
                                  <a:solidFill>
                                    <a:schemeClr val="lt1"/>
                                  </a:solidFill>
                                  <a:latin typeface="+mn-lt"/>
                                  <a:ea typeface="+mn-ea"/>
                                  <a:cs typeface="+mn-cs"/>
                                </a:defRPr>
                              </a:lvl9pPr>
                            </a:lstStyle>
                            <a:p>
                              <a:pPr algn="ctr"/>
                              <a:r>
                                <a:rPr lang="en-US" sz="1400" b="1" dirty="0" smtClean="0">
                                  <a:effectLst>
                                    <a:outerShdw blurRad="38100" dist="38100" dir="2700000" algn="tl">
                                      <a:srgbClr val="000000">
                                        <a:alpha val="43137"/>
                                      </a:srgbClr>
                                    </a:outerShdw>
                                  </a:effectLst>
                                </a:rPr>
                                <a:t>0 day</a:t>
                              </a:r>
                              <a:endParaRPr lang="en-US" sz="1400" b="1" dirty="0">
                                <a:effectLst>
                                  <a:outerShdw blurRad="38100" dist="38100" dir="2700000" algn="tl">
                                    <a:srgbClr val="000000">
                                      <a:alpha val="43137"/>
                                    </a:srgbClr>
                                  </a:outerShdw>
                                </a:effectLst>
                              </a:endParaRPr>
                            </a:p>
                          </a:txBody>
                          <a:useSpRect/>
                        </a:txSp>
                        <a:style>
                          <a:lnRef idx="1">
                            <a:schemeClr val="accent1"/>
                          </a:lnRef>
                          <a:fillRef idx="3">
                            <a:schemeClr val="accent1"/>
                          </a:fillRef>
                          <a:effectRef idx="2">
                            <a:schemeClr val="accent1"/>
                          </a:effectRef>
                          <a:fontRef idx="minor">
                            <a:schemeClr val="lt1"/>
                          </a:fontRef>
                        </a:style>
                      </a:sp>
                    </a:grpSp>
                    <a:sp>
                      <a:nvSpPr>
                        <a:cNvPr id="90" name="TextBox 89"/>
                        <a:cNvSpPr txBox="1"/>
                      </a:nvSpPr>
                      <a:spPr>
                        <a:xfrm>
                          <a:off x="557050" y="1681950"/>
                          <a:ext cx="1285865" cy="415498"/>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100" b="1" dirty="0" smtClean="0"/>
                              <a:t>Initial day</a:t>
                            </a:r>
                            <a:endParaRPr lang="en-US" sz="2100" b="1" dirty="0"/>
                          </a:p>
                        </a:txBody>
                        <a:useSpRect/>
                      </a:txSp>
                    </a:sp>
                    <a:sp>
                      <a:nvSpPr>
                        <a:cNvPr id="91" name="TextBox 90"/>
                        <a:cNvSpPr txBox="1"/>
                      </a:nvSpPr>
                      <a:spPr>
                        <a:xfrm>
                          <a:off x="2844053" y="5409572"/>
                          <a:ext cx="1347485" cy="415498"/>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100" b="1" dirty="0" smtClean="0"/>
                              <a:t>Treatment</a:t>
                            </a:r>
                            <a:endParaRPr lang="en-US" sz="2100" b="1" dirty="0"/>
                          </a:p>
                        </a:txBody>
                        <a:useSpRect/>
                      </a:txSp>
                    </a:sp>
                    <a:sp>
                      <a:nvSpPr>
                        <a:cNvPr id="92" name="TextBox 91"/>
                        <a:cNvSpPr txBox="1"/>
                      </a:nvSpPr>
                      <a:spPr>
                        <a:xfrm>
                          <a:off x="4960321" y="1736541"/>
                          <a:ext cx="1504643" cy="415498"/>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100" b="1" dirty="0" smtClean="0"/>
                              <a:t>Assessment</a:t>
                            </a:r>
                            <a:endParaRPr lang="en-US" sz="2100" b="1" dirty="0"/>
                          </a:p>
                        </a:txBody>
                        <a:useSpRect/>
                      </a:txSp>
                    </a:sp>
                    <a:sp>
                      <a:nvSpPr>
                        <a:cNvPr id="93" name="TextBox 92"/>
                        <a:cNvSpPr txBox="1"/>
                      </a:nvSpPr>
                      <a:spPr>
                        <a:xfrm>
                          <a:off x="7189336" y="5395560"/>
                          <a:ext cx="1504643" cy="415498"/>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100" b="1" dirty="0" smtClean="0"/>
                              <a:t>Assessment</a:t>
                            </a:r>
                            <a:endParaRPr lang="en-US" sz="2100" b="1" dirty="0"/>
                          </a:p>
                        </a:txBody>
                        <a:useSpRect/>
                      </a:txSp>
                    </a:sp>
                    <a:sp>
                      <a:nvSpPr>
                        <a:cNvPr id="94" name="TextBox 93"/>
                        <a:cNvSpPr txBox="1"/>
                      </a:nvSpPr>
                      <a:spPr>
                        <a:xfrm>
                          <a:off x="9430548" y="1540644"/>
                          <a:ext cx="1178463" cy="415498"/>
                        </a:xfrm>
                        <a:prstGeom prst="rect">
                          <a:avLst/>
                        </a:prstGeom>
                        <a:noFill/>
                      </a:spPr>
                      <a:txSp>
                        <a:txBody>
                          <a:bodyPr wrap="non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algn="ctr"/>
                            <a:r>
                              <a:rPr lang="en-US" sz="2100" b="1" dirty="0" smtClean="0"/>
                              <a:t>Final day</a:t>
                            </a:r>
                            <a:endParaRPr lang="en-US" sz="2100" b="1" dirty="0"/>
                          </a:p>
                        </a:txBody>
                        <a:useSpRect/>
                      </a:txSp>
                    </a:sp>
                    <a:grpSp>
                      <a:nvGrpSpPr>
                        <a:cNvPr id="13" name="Group 94"/>
                        <a:cNvGrpSpPr/>
                      </a:nvGrpSpPr>
                      <a:grpSpPr>
                        <a:xfrm>
                          <a:off x="883363" y="2195177"/>
                          <a:ext cx="2038619" cy="1035395"/>
                          <a:chOff x="1093587" y="1758693"/>
                          <a:chExt cx="2090890" cy="1380528"/>
                        </a:xfrm>
                      </a:grpSpPr>
                      <a:sp>
                        <a:nvSpPr>
                          <a:cNvPr id="96" name="TextBox 95"/>
                          <a:cNvSpPr txBox="1"/>
                        </a:nvSpPr>
                        <a:spPr>
                          <a:xfrm>
                            <a:off x="1093587" y="1758693"/>
                            <a:ext cx="2090890" cy="400110"/>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350" b="1" noProof="1" smtClean="0"/>
                                <a:t>PROTOCOL 4(A)</a:t>
                              </a:r>
                              <a:endParaRPr lang="en-US" sz="1350" b="1" noProof="1"/>
                            </a:p>
                          </a:txBody>
                          <a:useSpRect/>
                        </a:txSp>
                      </a:sp>
                      <a:cxnSp>
                        <a:nvCxnSpPr>
                          <a:cNvPr id="97" name="Straight Connector 96"/>
                          <a:cNvCxnSpPr/>
                        </a:nvCxnSpPr>
                        <a:spPr>
                          <a:xfrm>
                            <a:off x="1136650" y="2158920"/>
                            <a:ext cx="1403350" cy="0"/>
                          </a:xfrm>
                          <a:prstGeom prst="line">
                            <a:avLst/>
                          </a:prstGeom>
                          <a:ln w="38100"/>
                        </a:spPr>
                        <a:style>
                          <a:lnRef idx="1">
                            <a:schemeClr val="accent1"/>
                          </a:lnRef>
                          <a:fillRef idx="0">
                            <a:schemeClr val="accent1"/>
                          </a:fillRef>
                          <a:effectRef idx="0">
                            <a:schemeClr val="accent1"/>
                          </a:effectRef>
                          <a:fontRef idx="minor">
                            <a:schemeClr val="tx1"/>
                          </a:fontRef>
                        </a:style>
                      </a:cxnSp>
                      <a:sp>
                        <a:nvSpPr>
                          <a:cNvPr id="98" name="Rectangle 97"/>
                          <a:cNvSpPr/>
                        </a:nvSpPr>
                        <a:spPr>
                          <a:xfrm>
                            <a:off x="1129980" y="2154334"/>
                            <a:ext cx="1963511" cy="984887"/>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noProof="1" smtClean="0"/>
                                <a:t>Bilateral Ischemia -Reperfusion  (I/R) Injury (45 min)</a:t>
                              </a:r>
                              <a:endParaRPr lang="en-US" sz="1400" noProof="1"/>
                            </a:p>
                          </a:txBody>
                          <a:useSpRect/>
                        </a:txSp>
                      </a:sp>
                    </a:grpSp>
                    <a:grpSp>
                      <a:nvGrpSpPr>
                        <a:cNvPr id="14" name="Group 98"/>
                        <a:cNvGrpSpPr/>
                      </a:nvGrpSpPr>
                      <a:grpSpPr>
                        <a:xfrm>
                          <a:off x="3082819" y="4128917"/>
                          <a:ext cx="1770004" cy="1024665"/>
                          <a:chOff x="1075389" y="1503933"/>
                          <a:chExt cx="1815389" cy="1366220"/>
                        </a:xfrm>
                      </a:grpSpPr>
                      <a:sp>
                        <a:nvSpPr>
                          <a:cNvPr id="100" name="TextBox 99"/>
                          <a:cNvSpPr txBox="1"/>
                        </a:nvSpPr>
                        <a:spPr>
                          <a:xfrm>
                            <a:off x="1075389" y="1503933"/>
                            <a:ext cx="1815389" cy="677108"/>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350" b="1" noProof="1" smtClean="0"/>
                                <a:t>Serotonin 5HT</a:t>
                              </a:r>
                              <a:r>
                                <a:rPr lang="en-US" sz="1350" b="1" baseline="-25000" noProof="1" smtClean="0"/>
                                <a:t>2A  </a:t>
                              </a:r>
                              <a:r>
                                <a:rPr lang="en-US" sz="1350" b="1" noProof="1" smtClean="0"/>
                                <a:t>Antagonist</a:t>
                              </a:r>
                              <a:endParaRPr lang="en-US" sz="1350" b="1" noProof="1"/>
                            </a:p>
                          </a:txBody>
                          <a:useSpRect/>
                        </a:txSp>
                      </a:sp>
                      <a:cxnSp>
                        <a:nvCxnSpPr>
                          <a:cNvPr id="101" name="Straight Connector 100"/>
                          <a:cNvCxnSpPr/>
                        </a:nvCxnSpPr>
                        <a:spPr>
                          <a:xfrm>
                            <a:off x="1136650" y="2158920"/>
                            <a:ext cx="1403350" cy="0"/>
                          </a:xfrm>
                          <a:prstGeom prst="line">
                            <a:avLst/>
                          </a:prstGeom>
                          <a:ln w="38100">
                            <a:solidFill>
                              <a:schemeClr val="accent3">
                                <a:lumMod val="75000"/>
                              </a:schemeClr>
                            </a:solidFill>
                          </a:ln>
                        </a:spPr>
                        <a:style>
                          <a:lnRef idx="1">
                            <a:schemeClr val="accent1"/>
                          </a:lnRef>
                          <a:fillRef idx="0">
                            <a:schemeClr val="accent1"/>
                          </a:fillRef>
                          <a:effectRef idx="0">
                            <a:schemeClr val="accent1"/>
                          </a:effectRef>
                          <a:fontRef idx="minor">
                            <a:schemeClr val="tx1"/>
                          </a:fontRef>
                        </a:style>
                      </a:cxnSp>
                      <a:sp>
                        <a:nvSpPr>
                          <a:cNvPr id="102" name="Rectangle 101"/>
                          <a:cNvSpPr/>
                        </a:nvSpPr>
                        <a:spPr>
                          <a:xfrm>
                            <a:off x="1129980" y="2172527"/>
                            <a:ext cx="1667317" cy="697626"/>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noProof="1" smtClean="0"/>
                                <a:t>Ketanserin (5mg/kg/p.o)</a:t>
                              </a:r>
                              <a:endParaRPr lang="en-US" sz="1400" noProof="1"/>
                            </a:p>
                          </a:txBody>
                          <a:useSpRect/>
                        </a:txSp>
                      </a:sp>
                    </a:grpSp>
                    <a:grpSp>
                      <a:nvGrpSpPr>
                        <a:cNvPr id="15" name="Group 102"/>
                        <a:cNvGrpSpPr/>
                      </a:nvGrpSpPr>
                      <a:grpSpPr>
                        <a:xfrm>
                          <a:off x="5140932" y="2208823"/>
                          <a:ext cx="1625635" cy="1049042"/>
                          <a:chOff x="1075389" y="1776888"/>
                          <a:chExt cx="1667317" cy="1398722"/>
                        </a:xfrm>
                      </a:grpSpPr>
                      <a:sp>
                        <a:nvSpPr>
                          <a:cNvPr id="104" name="TextBox 103"/>
                          <a:cNvSpPr txBox="1"/>
                        </a:nvSpPr>
                        <a:spPr>
                          <a:xfrm>
                            <a:off x="1075389" y="1776888"/>
                            <a:ext cx="1509057" cy="40010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350" b="1" noProof="1" smtClean="0"/>
                                <a:t>Parameters</a:t>
                              </a:r>
                              <a:endParaRPr lang="en-US" sz="1350" b="1" noProof="1"/>
                            </a:p>
                          </a:txBody>
                          <a:useSpRect/>
                        </a:txSp>
                      </a:sp>
                      <a:cxnSp>
                        <a:nvCxnSpPr>
                          <a:cNvPr id="105" name="Straight Connector 104"/>
                          <a:cNvCxnSpPr/>
                        </a:nvCxnSpPr>
                        <a:spPr>
                          <a:xfrm>
                            <a:off x="1136650" y="2158920"/>
                            <a:ext cx="1403350" cy="0"/>
                          </a:xfrm>
                          <a:prstGeom prst="line">
                            <a:avLst/>
                          </a:prstGeom>
                          <a:ln w="38100">
                            <a:solidFill>
                              <a:schemeClr val="accent2">
                                <a:lumMod val="75000"/>
                              </a:schemeClr>
                            </a:solidFill>
                          </a:ln>
                        </a:spPr>
                        <a:style>
                          <a:lnRef idx="1">
                            <a:schemeClr val="accent1"/>
                          </a:lnRef>
                          <a:fillRef idx="0">
                            <a:schemeClr val="accent1"/>
                          </a:fillRef>
                          <a:effectRef idx="0">
                            <a:schemeClr val="accent1"/>
                          </a:effectRef>
                          <a:fontRef idx="minor">
                            <a:schemeClr val="tx1"/>
                          </a:fontRef>
                        </a:style>
                      </a:cxnSp>
                      <a:sp>
                        <a:nvSpPr>
                          <a:cNvPr id="106" name="Rectangle 105"/>
                          <a:cNvSpPr/>
                        </a:nvSpPr>
                        <a:spPr>
                          <a:xfrm>
                            <a:off x="1075389" y="2190725"/>
                            <a:ext cx="1667317" cy="984885"/>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noProof="1" smtClean="0"/>
                                <a:t>Boday weight</a:t>
                              </a:r>
                            </a:p>
                            <a:p>
                              <a:r>
                                <a:rPr lang="en-US" sz="1400" noProof="1" smtClean="0"/>
                                <a:t>Urine volume</a:t>
                              </a:r>
                            </a:p>
                            <a:p>
                              <a:r>
                                <a:rPr lang="en-US" sz="1400" noProof="1" smtClean="0"/>
                                <a:t>Proteinuria</a:t>
                              </a:r>
                              <a:endParaRPr lang="en-US" sz="1400" noProof="1"/>
                            </a:p>
                          </a:txBody>
                          <a:useSpRect/>
                        </a:txSp>
                      </a:sp>
                    </a:grpSp>
                    <a:grpSp>
                      <a:nvGrpSpPr>
                        <a:cNvPr id="16" name="Group 106"/>
                        <a:cNvGrpSpPr/>
                      </a:nvGrpSpPr>
                      <a:grpSpPr>
                        <a:xfrm>
                          <a:off x="7517314" y="4212548"/>
                          <a:ext cx="1625635" cy="1049043"/>
                          <a:chOff x="1075389" y="1776888"/>
                          <a:chExt cx="1667317" cy="1398723"/>
                        </a:xfrm>
                      </a:grpSpPr>
                      <a:sp>
                        <a:nvSpPr>
                          <a:cNvPr id="108" name="TextBox 107"/>
                          <a:cNvSpPr txBox="1"/>
                        </a:nvSpPr>
                        <a:spPr>
                          <a:xfrm>
                            <a:off x="1075389" y="1776888"/>
                            <a:ext cx="1509057" cy="400109"/>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350" b="1" noProof="1" smtClean="0"/>
                                <a:t>Parameters</a:t>
                              </a:r>
                              <a:endParaRPr lang="en-US" sz="1350" b="1" noProof="1"/>
                            </a:p>
                          </a:txBody>
                          <a:useSpRect/>
                        </a:txSp>
                      </a:sp>
                      <a:cxnSp>
                        <a:nvCxnSpPr>
                          <a:cNvPr id="109" name="Straight Connector 108"/>
                          <a:cNvCxnSpPr/>
                        </a:nvCxnSpPr>
                        <a:spPr>
                          <a:xfrm>
                            <a:off x="1136650" y="2158920"/>
                            <a:ext cx="1403350" cy="0"/>
                          </a:xfrm>
                          <a:prstGeom prst="line">
                            <a:avLst/>
                          </a:prstGeom>
                          <a:ln w="38100">
                            <a:solidFill>
                              <a:schemeClr val="accent5"/>
                            </a:solidFill>
                          </a:ln>
                        </a:spPr>
                        <a:style>
                          <a:lnRef idx="1">
                            <a:schemeClr val="accent1"/>
                          </a:lnRef>
                          <a:fillRef idx="0">
                            <a:schemeClr val="accent1"/>
                          </a:fillRef>
                          <a:effectRef idx="0">
                            <a:schemeClr val="accent1"/>
                          </a:effectRef>
                          <a:fontRef idx="minor">
                            <a:schemeClr val="tx1"/>
                          </a:fontRef>
                        </a:style>
                      </a:cxnSp>
                      <a:sp>
                        <a:nvSpPr>
                          <a:cNvPr id="110" name="Rectangle 109"/>
                          <a:cNvSpPr/>
                        </a:nvSpPr>
                        <a:spPr>
                          <a:xfrm>
                            <a:off x="1075389" y="2190726"/>
                            <a:ext cx="1667317" cy="984885"/>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noProof="1" smtClean="0"/>
                                <a:t>Boday weight</a:t>
                              </a:r>
                            </a:p>
                            <a:p>
                              <a:r>
                                <a:rPr lang="en-US" sz="1400" noProof="1" smtClean="0"/>
                                <a:t>Urine volume</a:t>
                              </a:r>
                            </a:p>
                            <a:p>
                              <a:r>
                                <a:rPr lang="en-US" sz="1400" noProof="1" smtClean="0"/>
                                <a:t>Proteinuria</a:t>
                              </a:r>
                              <a:endParaRPr lang="en-US" sz="1400" noProof="1"/>
                            </a:p>
                          </a:txBody>
                          <a:useSpRect/>
                        </a:txSp>
                      </a:sp>
                    </a:grpSp>
                    <a:grpSp>
                      <a:nvGrpSpPr>
                        <a:cNvPr id="17" name="Group 110"/>
                        <a:cNvGrpSpPr/>
                      </a:nvGrpSpPr>
                      <a:grpSpPr>
                        <a:xfrm>
                          <a:off x="9613177" y="1931351"/>
                          <a:ext cx="2330295" cy="1447154"/>
                          <a:chOff x="1136651" y="1345758"/>
                          <a:chExt cx="2165564" cy="1929538"/>
                        </a:xfrm>
                      </a:grpSpPr>
                      <a:sp>
                        <a:nvSpPr>
                          <a:cNvPr id="112" name="TextBox 111"/>
                          <a:cNvSpPr txBox="1"/>
                        </a:nvSpPr>
                        <a:spPr>
                          <a:xfrm>
                            <a:off x="1210496" y="1345758"/>
                            <a:ext cx="1791034" cy="677108"/>
                          </a:xfrm>
                          <a:prstGeom prst="rect">
                            <a:avLst/>
                          </a:prstGeom>
                          <a:noFill/>
                        </a:spPr>
                        <a:txSp>
                          <a:txBody>
                            <a:bodyPr wrap="square" rtlCol="0">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350" b="1" noProof="1" smtClean="0"/>
                                <a:t>Evaluation of various kidney paramters </a:t>
                              </a:r>
                              <a:endParaRPr lang="en-US" sz="1350" b="1" noProof="1"/>
                            </a:p>
                          </a:txBody>
                          <a:useSpRect/>
                        </a:txSp>
                      </a:sp>
                      <a:cxnSp>
                        <a:nvCxnSpPr>
                          <a:cNvPr id="113" name="Straight Connector 112"/>
                          <a:cNvCxnSpPr/>
                        </a:nvCxnSpPr>
                        <a:spPr>
                          <a:xfrm flipV="1">
                            <a:off x="1136651" y="1978057"/>
                            <a:ext cx="1877952" cy="12052"/>
                          </a:xfrm>
                          <a:prstGeom prst="line">
                            <a:avLst/>
                          </a:prstGeom>
                          <a:ln w="38100">
                            <a:solidFill>
                              <a:schemeClr val="accent6">
                                <a:lumMod val="75000"/>
                              </a:schemeClr>
                            </a:solidFill>
                          </a:ln>
                        </a:spPr>
                        <a:style>
                          <a:lnRef idx="1">
                            <a:schemeClr val="accent1"/>
                          </a:lnRef>
                          <a:fillRef idx="0">
                            <a:schemeClr val="accent1"/>
                          </a:fillRef>
                          <a:effectRef idx="0">
                            <a:schemeClr val="accent1"/>
                          </a:effectRef>
                          <a:fontRef idx="minor">
                            <a:schemeClr val="tx1"/>
                          </a:fontRef>
                        </a:style>
                      </a:cxnSp>
                      <a:sp>
                        <a:nvSpPr>
                          <a:cNvPr id="114" name="Rectangle 113"/>
                          <a:cNvSpPr/>
                        </a:nvSpPr>
                        <a:spPr>
                          <a:xfrm>
                            <a:off x="1239830" y="2003153"/>
                            <a:ext cx="2062385" cy="1272143"/>
                          </a:xfrm>
                          <a:prstGeom prst="rect">
                            <a:avLst/>
                          </a:prstGeom>
                        </a:spPr>
                        <a:txSp>
                          <a:txBody>
                            <a:bodyPr wrap="square">
                              <a:spAutoFit/>
                            </a:bodyPr>
                            <a:lstStyle>
                              <a:defPPr>
                                <a:defRPr lang="en-US"/>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n-US" sz="1400" noProof="1" smtClean="0"/>
                                <a:t>Urinary function </a:t>
                              </a:r>
                            </a:p>
                            <a:p>
                              <a:r>
                                <a:rPr lang="en-US" sz="1400" noProof="1" smtClean="0"/>
                                <a:t>Serum Parameters</a:t>
                              </a:r>
                            </a:p>
                            <a:p>
                              <a:r>
                                <a:rPr lang="en-US" sz="1400" noProof="1" smtClean="0"/>
                                <a:t>Histological studies</a:t>
                              </a:r>
                            </a:p>
                            <a:p>
                              <a:r>
                                <a:rPr lang="en-US" sz="1400" noProof="1" smtClean="0"/>
                                <a:t>qPCR</a:t>
                              </a:r>
                              <a:endParaRPr lang="en-US" sz="1400" noProof="1"/>
                            </a:p>
                          </a:txBody>
                          <a:useSpRect/>
                        </a:txSp>
                      </a:sp>
                    </a:grpSp>
                  </a:grpSp>
                </lc:lockedCanvas>
              </a:graphicData>
            </a:graphic>
          </wp:inline>
        </w:drawing>
      </w:r>
    </w:p>
    <w:p w14:paraId="589CCA44" w14:textId="5E8A8DFE" w:rsidR="00F97780" w:rsidRPr="00F97780" w:rsidRDefault="00F97780" w:rsidP="002236EF">
      <w:pPr>
        <w:autoSpaceDE w:val="0"/>
        <w:autoSpaceDN w:val="0"/>
        <w:adjustRightInd w:val="0"/>
        <w:spacing w:after="0" w:line="360" w:lineRule="auto"/>
        <w:jc w:val="both"/>
        <w:rPr>
          <w:rFonts w:ascii="Minion Pro" w:hAnsi="Minion Pro" w:cs="Times New Roman"/>
          <w:sz w:val="20"/>
          <w:szCs w:val="20"/>
          <w:lang w:bidi="pa-IN"/>
        </w:rPr>
      </w:pPr>
      <w:r w:rsidRPr="00F97780">
        <w:rPr>
          <w:rFonts w:ascii="Minion Pro" w:hAnsi="Minion Pro" w:cs="Times New Roman"/>
          <w:sz w:val="20"/>
          <w:szCs w:val="20"/>
          <w:lang w:bidi="pa-IN"/>
        </w:rPr>
        <w:t xml:space="preserve">Figure1: </w:t>
      </w:r>
      <w:r>
        <w:rPr>
          <w:rFonts w:ascii="Minion Pro" w:hAnsi="Minion Pro" w:cs="Times New Roman"/>
          <w:sz w:val="20"/>
          <w:szCs w:val="20"/>
          <w:lang w:bidi="pa-IN"/>
        </w:rPr>
        <w:t>S</w:t>
      </w:r>
      <w:r w:rsidRPr="00F97780">
        <w:rPr>
          <w:rFonts w:ascii="Minion Pro" w:hAnsi="Minion Pro" w:cs="Times New Roman"/>
          <w:sz w:val="20"/>
          <w:szCs w:val="20"/>
          <w:lang w:bidi="pa-IN"/>
        </w:rPr>
        <w:t>chematic presentation of experimental protocol</w:t>
      </w:r>
    </w:p>
    <w:p w14:paraId="109AC038" w14:textId="7F43213C" w:rsidR="00225E51" w:rsidRDefault="00225E51" w:rsidP="002236EF">
      <w:pPr>
        <w:autoSpaceDE w:val="0"/>
        <w:autoSpaceDN w:val="0"/>
        <w:adjustRightInd w:val="0"/>
        <w:spacing w:after="0" w:line="360" w:lineRule="auto"/>
        <w:jc w:val="both"/>
        <w:rPr>
          <w:rFonts w:ascii="Arial"/>
          <w:b/>
          <w:color w:val="BF5A14"/>
          <w:sz w:val="20"/>
        </w:rPr>
      </w:pPr>
      <w:r>
        <w:rPr>
          <w:rFonts w:ascii="Arial"/>
          <w:b/>
          <w:color w:val="BF5A14"/>
          <w:sz w:val="20"/>
        </w:rPr>
        <w:t>Recent Publications</w:t>
      </w:r>
    </w:p>
    <w:p w14:paraId="14FC5F75" w14:textId="5D1EF89F" w:rsidR="00755E86" w:rsidRPr="00F97780" w:rsidRDefault="00225E51" w:rsidP="00755E86">
      <w:pPr>
        <w:pStyle w:val="ListParagraph"/>
        <w:widowControl w:val="0"/>
        <w:numPr>
          <w:ilvl w:val="0"/>
          <w:numId w:val="1"/>
        </w:numPr>
        <w:autoSpaceDE w:val="0"/>
        <w:autoSpaceDN w:val="0"/>
        <w:adjustRightInd w:val="0"/>
        <w:spacing w:after="0" w:line="240" w:lineRule="auto"/>
        <w:ind w:left="360"/>
        <w:jc w:val="both"/>
        <w:rPr>
          <w:rFonts w:ascii="Minion Pro" w:hAnsi="Minion Pro" w:cs="Times New Roman"/>
          <w:noProof/>
          <w:sz w:val="20"/>
          <w:szCs w:val="20"/>
        </w:rPr>
      </w:pPr>
      <w:r w:rsidRPr="00F97780">
        <w:rPr>
          <w:rFonts w:ascii="Minion Pro" w:hAnsi="Minion Pro" w:cs="Times New Roman"/>
          <w:sz w:val="20"/>
          <w:szCs w:val="20"/>
          <w:lang w:bidi="pa-IN"/>
        </w:rPr>
        <w:fldChar w:fldCharType="begin" w:fldLock="1"/>
      </w:r>
      <w:r w:rsidRPr="00F97780">
        <w:rPr>
          <w:rFonts w:ascii="Minion Pro" w:hAnsi="Minion Pro" w:cs="Times New Roman"/>
          <w:sz w:val="20"/>
          <w:szCs w:val="20"/>
          <w:lang w:bidi="pa-IN"/>
        </w:rPr>
        <w:instrText xml:space="preserve">ADDIN Mendeley Bibliography CSL_BIBLIOGRAPHY </w:instrText>
      </w:r>
      <w:r w:rsidRPr="00F97780">
        <w:rPr>
          <w:rFonts w:ascii="Minion Pro" w:hAnsi="Minion Pro" w:cs="Times New Roman"/>
          <w:sz w:val="20"/>
          <w:szCs w:val="20"/>
          <w:lang w:bidi="pa-IN"/>
        </w:rPr>
        <w:fldChar w:fldCharType="separate"/>
      </w:r>
      <w:r w:rsidR="00755E86" w:rsidRPr="00F97780">
        <w:rPr>
          <w:rFonts w:ascii="Minion Pro" w:hAnsi="Minion Pro" w:cs="Times New Roman"/>
          <w:noProof/>
          <w:sz w:val="20"/>
          <w:szCs w:val="20"/>
        </w:rPr>
        <w:t xml:space="preserve">Kaur G, Krishan P. Serotonin 5HT 2A receptor antagonism mediated anti-inflammatory and anti-fibrotic effect in adriamycin-induced CKD in rats. 2020;(1999). </w:t>
      </w:r>
    </w:p>
    <w:p w14:paraId="3799CD63" w14:textId="49FCCEC3" w:rsidR="00755E86" w:rsidRPr="00F97780" w:rsidRDefault="00755E86" w:rsidP="00755E86">
      <w:pPr>
        <w:pStyle w:val="ListParagraph"/>
        <w:widowControl w:val="0"/>
        <w:numPr>
          <w:ilvl w:val="0"/>
          <w:numId w:val="1"/>
        </w:numPr>
        <w:autoSpaceDE w:val="0"/>
        <w:autoSpaceDN w:val="0"/>
        <w:adjustRightInd w:val="0"/>
        <w:spacing w:after="0" w:line="240" w:lineRule="auto"/>
        <w:ind w:left="360"/>
        <w:jc w:val="both"/>
        <w:rPr>
          <w:rFonts w:ascii="Minion Pro" w:hAnsi="Minion Pro" w:cs="Times New Roman"/>
          <w:noProof/>
          <w:sz w:val="20"/>
          <w:szCs w:val="20"/>
        </w:rPr>
      </w:pPr>
      <w:r w:rsidRPr="00F97780">
        <w:rPr>
          <w:rFonts w:ascii="Minion Pro" w:hAnsi="Minion Pro" w:cs="Times New Roman"/>
          <w:noProof/>
          <w:sz w:val="20"/>
          <w:szCs w:val="20"/>
        </w:rPr>
        <w:t>Kaur G, Krishan P. Understanding Serotonin 5-HT 2A Receptors- regulated cellular and molecular Mechanisms of Chronic Kidney Diseases. 2020;1–11.</w:t>
      </w:r>
    </w:p>
    <w:p w14:paraId="7B0E298E" w14:textId="77777777" w:rsidR="00F97780" w:rsidRPr="00F97780" w:rsidRDefault="00F97780" w:rsidP="00F97780">
      <w:pPr>
        <w:pStyle w:val="ListParagraph"/>
        <w:widowControl w:val="0"/>
        <w:numPr>
          <w:ilvl w:val="0"/>
          <w:numId w:val="1"/>
        </w:numPr>
        <w:autoSpaceDE w:val="0"/>
        <w:autoSpaceDN w:val="0"/>
        <w:adjustRightInd w:val="0"/>
        <w:spacing w:after="0" w:line="240" w:lineRule="auto"/>
        <w:ind w:left="360"/>
        <w:jc w:val="both"/>
        <w:rPr>
          <w:rFonts w:ascii="Minion Pro" w:hAnsi="Minion Pro" w:cs="Times New Roman"/>
          <w:noProof/>
          <w:sz w:val="20"/>
          <w:szCs w:val="20"/>
        </w:rPr>
      </w:pPr>
      <w:r w:rsidRPr="00F97780">
        <w:rPr>
          <w:rFonts w:ascii="Minion Pro" w:hAnsi="Minion Pro" w:cs="Arial"/>
          <w:color w:val="222222"/>
          <w:sz w:val="20"/>
          <w:szCs w:val="20"/>
          <w:shd w:val="clear" w:color="auto" w:fill="F8F8F8"/>
        </w:rPr>
        <w:t>Bedi O, Kaur G, Singh H, Krishan P. Dietary Interventions for Diabetic Neuropathy &amp; Nephropathy: A Review. Current Psychopharmacology. 2018 Aug 1;7(2):107-12.</w:t>
      </w:r>
    </w:p>
    <w:p w14:paraId="00734B64" w14:textId="77777777" w:rsidR="00F97780" w:rsidRPr="00F97780" w:rsidRDefault="00F97780" w:rsidP="00F97780">
      <w:pPr>
        <w:pStyle w:val="ListParagraph"/>
        <w:widowControl w:val="0"/>
        <w:numPr>
          <w:ilvl w:val="0"/>
          <w:numId w:val="1"/>
        </w:numPr>
        <w:autoSpaceDE w:val="0"/>
        <w:autoSpaceDN w:val="0"/>
        <w:adjustRightInd w:val="0"/>
        <w:spacing w:after="0" w:line="240" w:lineRule="auto"/>
        <w:ind w:left="360"/>
        <w:jc w:val="both"/>
        <w:rPr>
          <w:rFonts w:ascii="Minion Pro" w:hAnsi="Minion Pro" w:cs="Times New Roman"/>
          <w:noProof/>
          <w:sz w:val="20"/>
          <w:szCs w:val="20"/>
        </w:rPr>
      </w:pPr>
      <w:r w:rsidRPr="00F97780">
        <w:rPr>
          <w:rFonts w:ascii="Minion Pro" w:hAnsi="Minion Pro" w:cs="Arial"/>
          <w:color w:val="222222"/>
          <w:sz w:val="20"/>
          <w:szCs w:val="20"/>
          <w:shd w:val="clear" w:color="auto" w:fill="F8F8F8"/>
        </w:rPr>
        <w:t>Kaur G, Sharma S. Nephroprotective effect of low viscosity sodium alginate on lead acetate-Induced nephrotoxicity in rats. Ind. J. Pha. Ed. Res. 2017 Oct 1;51(4S):S559-65.</w:t>
      </w:r>
    </w:p>
    <w:p w14:paraId="71873680" w14:textId="3EE108DE" w:rsidR="00225E51" w:rsidRPr="00605AFA" w:rsidRDefault="00755E86" w:rsidP="00755E86">
      <w:pPr>
        <w:pStyle w:val="ListParagraph"/>
        <w:widowControl w:val="0"/>
        <w:numPr>
          <w:ilvl w:val="0"/>
          <w:numId w:val="1"/>
        </w:numPr>
        <w:autoSpaceDE w:val="0"/>
        <w:autoSpaceDN w:val="0"/>
        <w:adjustRightInd w:val="0"/>
        <w:spacing w:after="0" w:line="240" w:lineRule="auto"/>
        <w:ind w:left="360"/>
        <w:jc w:val="both"/>
        <w:rPr>
          <w:rFonts w:ascii="Minion Pro" w:hAnsi="Minion Pro" w:cs="Times New Roman"/>
          <w:sz w:val="20"/>
          <w:szCs w:val="20"/>
          <w:lang w:bidi="pa-IN"/>
        </w:rPr>
      </w:pPr>
      <w:r w:rsidRPr="00605AFA">
        <w:rPr>
          <w:rFonts w:ascii="Minion Pro" w:hAnsi="Minion Pro" w:cs="Arial"/>
          <w:color w:val="222222"/>
          <w:sz w:val="20"/>
          <w:szCs w:val="20"/>
          <w:shd w:val="clear" w:color="auto" w:fill="F8F8F8"/>
        </w:rPr>
        <w:t>Rani M, Kumar R, Kaur G, Krishan P. Regulatory Requirements for Collection, Administration and Transfusion of Blood and Blood Products. Applied Clinical Research, Clinical Trials and Regulatory Affairs. 2017 Apr 1;4(1):43-54.</w:t>
      </w:r>
      <w:r w:rsidR="00225E51" w:rsidRPr="00605AFA">
        <w:rPr>
          <w:rFonts w:ascii="Minion Pro" w:hAnsi="Minion Pro" w:cs="Times New Roman"/>
          <w:sz w:val="20"/>
          <w:szCs w:val="20"/>
          <w:lang w:bidi="pa-IN"/>
        </w:rPr>
        <w:fldChar w:fldCharType="end"/>
      </w:r>
    </w:p>
    <w:sectPr w:rsidR="00225E51" w:rsidRPr="00605AFA" w:rsidSect="00225E51">
      <w:type w:val="continuous"/>
      <w:pgSz w:w="12240" w:h="15840"/>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6E1C09" w14:textId="77777777" w:rsidR="0041485F" w:rsidRDefault="0041485F" w:rsidP="00F97780">
      <w:pPr>
        <w:spacing w:after="0" w:line="240" w:lineRule="auto"/>
      </w:pPr>
      <w:r>
        <w:separator/>
      </w:r>
    </w:p>
  </w:endnote>
  <w:endnote w:type="continuationSeparator" w:id="0">
    <w:p w14:paraId="4E3B80B1" w14:textId="77777777" w:rsidR="0041485F" w:rsidRDefault="0041485F" w:rsidP="00F977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IDFont+F3">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362" w:type="pct"/>
      <w:jc w:val="center"/>
      <w:tblCellMar>
        <w:top w:w="144" w:type="dxa"/>
        <w:left w:w="115" w:type="dxa"/>
        <w:bottom w:w="144" w:type="dxa"/>
        <w:right w:w="115" w:type="dxa"/>
      </w:tblCellMar>
      <w:tblLook w:val="04A0" w:firstRow="1" w:lastRow="0" w:firstColumn="1" w:lastColumn="0" w:noHBand="0" w:noVBand="1"/>
    </w:tblPr>
    <w:tblGrid>
      <w:gridCol w:w="4801"/>
      <w:gridCol w:w="5483"/>
    </w:tblGrid>
    <w:tr w:rsidR="00F97780" w14:paraId="47DF9C08" w14:textId="77777777" w:rsidTr="00605AFA">
      <w:trPr>
        <w:trHeight w:hRule="exact" w:val="115"/>
        <w:jc w:val="center"/>
      </w:trPr>
      <w:tc>
        <w:tcPr>
          <w:tcW w:w="4801" w:type="dxa"/>
          <w:shd w:val="clear" w:color="auto" w:fill="4F81BD" w:themeFill="accent1"/>
          <w:tcMar>
            <w:top w:w="0" w:type="dxa"/>
            <w:bottom w:w="0" w:type="dxa"/>
          </w:tcMar>
        </w:tcPr>
        <w:p w14:paraId="17ED3DF5" w14:textId="77777777" w:rsidR="00F97780" w:rsidRDefault="00F97780">
          <w:pPr>
            <w:pStyle w:val="Header"/>
            <w:tabs>
              <w:tab w:val="clear" w:pos="4680"/>
              <w:tab w:val="clear" w:pos="9360"/>
            </w:tabs>
            <w:rPr>
              <w:caps/>
              <w:sz w:val="18"/>
            </w:rPr>
          </w:pPr>
        </w:p>
      </w:tc>
      <w:tc>
        <w:tcPr>
          <w:tcW w:w="5484" w:type="dxa"/>
          <w:shd w:val="clear" w:color="auto" w:fill="4F81BD" w:themeFill="accent1"/>
          <w:tcMar>
            <w:top w:w="0" w:type="dxa"/>
            <w:bottom w:w="0" w:type="dxa"/>
          </w:tcMar>
        </w:tcPr>
        <w:p w14:paraId="036EAC96" w14:textId="77777777" w:rsidR="00F97780" w:rsidRDefault="00F97780">
          <w:pPr>
            <w:pStyle w:val="Header"/>
            <w:tabs>
              <w:tab w:val="clear" w:pos="4680"/>
              <w:tab w:val="clear" w:pos="9360"/>
            </w:tabs>
            <w:jc w:val="right"/>
            <w:rPr>
              <w:caps/>
              <w:sz w:val="18"/>
            </w:rPr>
          </w:pPr>
        </w:p>
      </w:tc>
    </w:tr>
    <w:tr w:rsidR="00F97780" w14:paraId="4C4B07BB" w14:textId="77777777" w:rsidTr="00605AFA">
      <w:trPr>
        <w:jc w:val="center"/>
      </w:trPr>
      <w:sdt>
        <w:sdtPr>
          <w:rPr>
            <w:rFonts w:ascii="Arial"/>
            <w:color w:val="BF5A14"/>
          </w:rPr>
          <w:alias w:val="Author"/>
          <w:tag w:val=""/>
          <w:id w:val="1534151868"/>
          <w:placeholder>
            <w:docPart w:val="C03FF98E8B234EB2BE4FBA7B7D132663"/>
          </w:placeholder>
          <w:dataBinding w:prefixMappings="xmlns:ns0='http://purl.org/dc/elements/1.1/' xmlns:ns1='http://schemas.openxmlformats.org/package/2006/metadata/core-properties' " w:xpath="/ns1:coreProperties[1]/ns0:creator[1]" w:storeItemID="{6C3C8BC8-F283-45AE-878A-BAB7291924A1}"/>
          <w:text/>
        </w:sdtPr>
        <w:sdtContent>
          <w:tc>
            <w:tcPr>
              <w:tcW w:w="4801" w:type="dxa"/>
              <w:shd w:val="clear" w:color="auto" w:fill="auto"/>
              <w:vAlign w:val="center"/>
            </w:tcPr>
            <w:p w14:paraId="6871B8D1" w14:textId="622A45E2" w:rsidR="00F97780" w:rsidRDefault="00605AFA" w:rsidP="00605AFA">
              <w:pPr>
                <w:pStyle w:val="Footer"/>
                <w:tabs>
                  <w:tab w:val="clear" w:pos="4680"/>
                  <w:tab w:val="clear" w:pos="9360"/>
                </w:tabs>
                <w:rPr>
                  <w:caps/>
                  <w:color w:val="808080" w:themeColor="background1" w:themeShade="80"/>
                  <w:sz w:val="18"/>
                  <w:szCs w:val="18"/>
                </w:rPr>
              </w:pPr>
              <w:r>
                <w:rPr>
                  <w:rFonts w:ascii="Arial"/>
                  <w:color w:val="BF5A14"/>
                </w:rPr>
                <w:t xml:space="preserve">        </w:t>
              </w:r>
              <w:r w:rsidRPr="00F97780">
                <w:rPr>
                  <w:rFonts w:ascii="Arial"/>
                  <w:color w:val="BF5A14"/>
                </w:rPr>
                <w:t>Biography</w:t>
              </w:r>
            </w:p>
          </w:tc>
        </w:sdtContent>
      </w:sdt>
      <w:tc>
        <w:tcPr>
          <w:tcW w:w="5484" w:type="dxa"/>
          <w:shd w:val="clear" w:color="auto" w:fill="auto"/>
          <w:vAlign w:val="center"/>
        </w:tcPr>
        <w:p w14:paraId="6DCC28ED" w14:textId="77777777" w:rsidR="00F97780" w:rsidRDefault="00F97780" w:rsidP="00605AFA">
          <w:pPr>
            <w:pStyle w:val="Footer"/>
            <w:tabs>
              <w:tab w:val="clear" w:pos="4680"/>
              <w:tab w:val="clear" w:pos="9360"/>
            </w:tabs>
            <w:jc w:val="right"/>
            <w:rPr>
              <w:caps/>
              <w:color w:val="808080" w:themeColor="background1" w:themeShade="80"/>
              <w:sz w:val="18"/>
              <w:szCs w:val="18"/>
            </w:rPr>
          </w:pPr>
          <w:r>
            <w:rPr>
              <w:caps/>
              <w:color w:val="808080" w:themeColor="background1" w:themeShade="80"/>
              <w:sz w:val="18"/>
              <w:szCs w:val="18"/>
            </w:rPr>
            <w:fldChar w:fldCharType="begin"/>
          </w:r>
          <w:r>
            <w:rPr>
              <w:caps/>
              <w:color w:val="808080" w:themeColor="background1" w:themeShade="80"/>
              <w:sz w:val="18"/>
              <w:szCs w:val="18"/>
            </w:rPr>
            <w:instrText xml:space="preserve"> PAGE   \* MERGEFORMAT </w:instrText>
          </w:r>
          <w:r>
            <w:rPr>
              <w:caps/>
              <w:color w:val="808080" w:themeColor="background1" w:themeShade="80"/>
              <w:sz w:val="18"/>
              <w:szCs w:val="18"/>
            </w:rPr>
            <w:fldChar w:fldCharType="separate"/>
          </w:r>
          <w:r>
            <w:rPr>
              <w:caps/>
              <w:noProof/>
              <w:color w:val="808080" w:themeColor="background1" w:themeShade="80"/>
              <w:sz w:val="18"/>
              <w:szCs w:val="18"/>
            </w:rPr>
            <w:t>2</w:t>
          </w:r>
          <w:r>
            <w:rPr>
              <w:caps/>
              <w:noProof/>
              <w:color w:val="808080" w:themeColor="background1" w:themeShade="80"/>
              <w:sz w:val="18"/>
              <w:szCs w:val="18"/>
            </w:rPr>
            <w:fldChar w:fldCharType="end"/>
          </w:r>
        </w:p>
      </w:tc>
    </w:tr>
  </w:tbl>
  <w:p w14:paraId="2174BEB8" w14:textId="2BC6826B" w:rsidR="00F97780" w:rsidRDefault="00F97780" w:rsidP="00605AFA">
    <w:pPr>
      <w:tabs>
        <w:tab w:val="left" w:pos="360"/>
      </w:tabs>
      <w:spacing w:before="41" w:line="154" w:lineRule="exact"/>
      <w:ind w:right="-180"/>
      <w:jc w:val="both"/>
      <w:rPr>
        <w:rFonts w:ascii="Arial"/>
        <w:sz w:val="14"/>
      </w:rPr>
    </w:pPr>
    <w:r>
      <w:rPr>
        <w:rFonts w:ascii="Arial"/>
        <w:sz w:val="14"/>
      </w:rPr>
      <w:t xml:space="preserve">Gagandeep Kaur  </w:t>
    </w:r>
    <w:r>
      <w:rPr>
        <w:rFonts w:ascii="Arial"/>
        <w:sz w:val="14"/>
      </w:rPr>
      <w:t xml:space="preserve">has her expertise in evaluation and passion in improving the health and wellbeing. </w:t>
    </w:r>
    <w:r>
      <w:rPr>
        <w:rFonts w:ascii="Arial"/>
        <w:sz w:val="14"/>
      </w:rPr>
      <w:t>She is a Ph.D (Research Scholar) working under the kind supervision of Dr. Pawan Krishan in the department of Pharmaceutical Sciences and Drug Research, Punjabi University, Patiala, Punjab (India). Currently, she is availin senior research fellowship for her research work focusing on chronic kidney disease from Indian Medical Council for Research (ICMR) Delhi, India.</w:t>
    </w:r>
  </w:p>
  <w:p w14:paraId="32B7444B" w14:textId="77777777" w:rsidR="00F97780" w:rsidRDefault="00F97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0DD9F94" w14:textId="77777777" w:rsidR="0041485F" w:rsidRDefault="0041485F" w:rsidP="00F97780">
      <w:pPr>
        <w:spacing w:after="0" w:line="240" w:lineRule="auto"/>
      </w:pPr>
      <w:r>
        <w:separator/>
      </w:r>
    </w:p>
  </w:footnote>
  <w:footnote w:type="continuationSeparator" w:id="0">
    <w:p w14:paraId="45B72037" w14:textId="77777777" w:rsidR="0041485F" w:rsidRDefault="0041485F" w:rsidP="00F977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B5222D0"/>
    <w:multiLevelType w:val="hybridMultilevel"/>
    <w:tmpl w:val="8DA6B3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docVars>
    <w:docVar w:name="__Grammarly_42____i" w:val="H4sIAAAAAAAEAKtWckksSQxILCpxzi/NK1GyMqwFAAEhoTITAAAA"/>
    <w:docVar w:name="__Grammarly_42___1" w:val="H4sIAAAAAAAEAKtWcslP9kxRslIyNDYyNrYwtjQwMjI1MTM1MTdX0lEKTi0uzszPAykwrAUAWrZ25ywAAAA="/>
  </w:docVars>
  <w:rsids>
    <w:rsidRoot w:val="009C4AB1"/>
    <w:rsid w:val="001E41BA"/>
    <w:rsid w:val="002236EF"/>
    <w:rsid w:val="00225E51"/>
    <w:rsid w:val="0041485F"/>
    <w:rsid w:val="00597090"/>
    <w:rsid w:val="00605AFA"/>
    <w:rsid w:val="00755E86"/>
    <w:rsid w:val="009C4AB1"/>
    <w:rsid w:val="00E8728C"/>
    <w:rsid w:val="00F208F9"/>
    <w:rsid w:val="00F97780"/>
  </w:rsids>
  <m:mathPr>
    <m:mathFont m:val="Cambria Math"/>
    <m:brkBin m:val="before"/>
    <m:brkBinSub m:val="--"/>
    <m:smallFrac m:val="0"/>
    <m:dispDef/>
    <m:lMargin m:val="0"/>
    <m:rMargin m:val="0"/>
    <m:defJc m:val="centerGroup"/>
    <m:wrapIndent m:val="1440"/>
    <m:intLim m:val="subSup"/>
    <m:naryLim m:val="undOvr"/>
  </m:mathPr>
  <w:themeFontLang w:val="en-US" w:bidi="pa-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BFC223A"/>
  <w15:docId w15:val="{26BE585F-2B66-4436-9216-2574F64E8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4AB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5E86"/>
    <w:pPr>
      <w:ind w:left="720"/>
      <w:contextualSpacing/>
    </w:pPr>
  </w:style>
  <w:style w:type="paragraph" w:styleId="Header">
    <w:name w:val="header"/>
    <w:basedOn w:val="Normal"/>
    <w:link w:val="HeaderChar"/>
    <w:uiPriority w:val="99"/>
    <w:unhideWhenUsed/>
    <w:rsid w:val="00F977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7780"/>
  </w:style>
  <w:style w:type="paragraph" w:styleId="Footer">
    <w:name w:val="footer"/>
    <w:basedOn w:val="Normal"/>
    <w:link w:val="FooterChar"/>
    <w:uiPriority w:val="99"/>
    <w:unhideWhenUsed/>
    <w:rsid w:val="00F977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778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C03FF98E8B234EB2BE4FBA7B7D132663"/>
        <w:category>
          <w:name w:val="General"/>
          <w:gallery w:val="placeholder"/>
        </w:category>
        <w:types>
          <w:type w:val="bbPlcHdr"/>
        </w:types>
        <w:behaviors>
          <w:behavior w:val="content"/>
        </w:behaviors>
        <w:guid w:val="{849E72B0-9FB6-4806-8A00-8F35E8D20D0C}"/>
      </w:docPartPr>
      <w:docPartBody>
        <w:p w:rsidR="00000000" w:rsidRDefault="00996115" w:rsidP="00996115">
          <w:pPr>
            <w:pStyle w:val="C03FF98E8B234EB2BE4FBA7B7D132663"/>
          </w:pPr>
          <w:r>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Minion Pro">
    <w:panose1 w:val="02040503050306020203"/>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CIDFont+F3">
    <w:altName w:val="MS Mincho"/>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6115"/>
    <w:rsid w:val="00996115"/>
    <w:rsid w:val="00C42C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96115"/>
    <w:rPr>
      <w:color w:val="808080"/>
    </w:rPr>
  </w:style>
  <w:style w:type="paragraph" w:customStyle="1" w:styleId="7AD62F3BD43D4EA5A93BAD3B555A4B46">
    <w:name w:val="7AD62F3BD43D4EA5A93BAD3B555A4B46"/>
    <w:rsid w:val="00996115"/>
  </w:style>
  <w:style w:type="paragraph" w:customStyle="1" w:styleId="C03FF98E8B234EB2BE4FBA7B7D132663">
    <w:name w:val="C03FF98E8B234EB2BE4FBA7B7D132663"/>
    <w:rsid w:val="0099611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06C5E4B-AEF7-40FA-8323-40C28873E6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465</Words>
  <Characters>2652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3111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Biography</dc:creator>
  <cp:lastModifiedBy>PC</cp:lastModifiedBy>
  <cp:revision>5</cp:revision>
  <dcterms:created xsi:type="dcterms:W3CDTF">2020-05-08T17:25:00Z</dcterms:created>
  <dcterms:modified xsi:type="dcterms:W3CDTF">2020-09-09T07:03:00Z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1793d9b1-c0dd-3a72-afbd-f0ed7cc05b51</vt:lpwstr>
  </property>
  <property fmtid="{D5CDD505-2E9C-101B-9397-08002B2CF9AE}" pid="4" name="Mendeley Citation Style_1">
    <vt:lpwstr>http://www.zotero.org/styles/vancouver</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 11th edition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7th edition</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http://www.zotero.org/styles/european-journal-of-pharmacology</vt:lpwstr>
  </property>
  <property fmtid="{D5CDD505-2E9C-101B-9397-08002B2CF9AE}" pid="14" name="Mendeley Recent Style Name 4_1">
    <vt:lpwstr>European Journal of Pharmacology</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http://www.zotero.org/styles/national-library-of-medicine</vt:lpwstr>
  </property>
  <property fmtid="{D5CDD505-2E9C-101B-9397-08002B2CF9AE}" pid="22" name="Mendeley Recent Style Name 8_1">
    <vt:lpwstr>National Library of Medicine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ies>
</file>