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rFonts w:hint="default"/>
          <w:color w:val="337AB7"/>
          <w:lang w:val="en-US"/>
        </w:rPr>
        <w:t xml:space="preserve">pharmacology of Ischemic Heart Disease: Concomitant Diseases and Choice of Beta_blocker </w:t>
      </w:r>
      <w:r>
        <w:rPr>
          <w:color w:val="337AB7"/>
        </w:rPr>
        <w:t xml:space="preserve"> </w:t>
      </w:r>
    </w:p>
    <w:p>
      <w:pPr>
        <w:pStyle w:val="8"/>
        <w:spacing w:before="73" w:line="198" w:lineRule="exact"/>
        <w:ind w:left="100" w:right="5987"/>
        <w:rPr>
          <w:rFonts w:hint="default" w:ascii="Arial"/>
          <w:lang w:val="en-US"/>
        </w:rPr>
      </w:pPr>
      <w:r>
        <w:rPr>
          <w:rFonts w:hint="default" w:ascii="Arial"/>
          <w:lang w:val="en-US"/>
        </w:rPr>
        <w:t>Mohy Eldeen Mohammed</w:t>
      </w:r>
      <w:r>
        <w:rPr>
          <w:rFonts w:ascii="Arial"/>
        </w:rPr>
        <w:t xml:space="preserve">, </w:t>
      </w:r>
      <w:r>
        <w:rPr>
          <w:rFonts w:hint="default" w:ascii="Arial"/>
          <w:lang w:val="en-US"/>
        </w:rPr>
        <w:t>resident of cardiovascular disease</w:t>
      </w:r>
      <w:r>
        <w:rPr>
          <w:rFonts w:ascii="Arial"/>
        </w:rPr>
        <w:t>,</w:t>
      </w:r>
      <w:r>
        <w:rPr>
          <w:rFonts w:hint="default" w:ascii="Arial"/>
          <w:lang w:val="en-US"/>
        </w:rPr>
        <w:t xml:space="preserve"> Hurghada General Hospital</w:t>
      </w:r>
      <w:r>
        <w:rPr>
          <w:rFonts w:ascii="Arial"/>
        </w:rPr>
        <w:t xml:space="preserve">, </w:t>
      </w:r>
      <w:r>
        <w:rPr>
          <w:rFonts w:hint="default" w:ascii="Arial"/>
          <w:lang w:val="en-US"/>
        </w:rPr>
        <w:t>Red Sea</w:t>
      </w:r>
      <w:r>
        <w:rPr>
          <w:rFonts w:ascii="Arial"/>
        </w:rPr>
        <w:t xml:space="preserve">, </w:t>
      </w:r>
      <w:r>
        <w:rPr>
          <w:rFonts w:hint="default" w:ascii="Arial"/>
          <w:lang w:val="en-US"/>
        </w:rPr>
        <w:t>Egypt</w:t>
      </w:r>
    </w:p>
    <w:p>
      <w:pPr>
        <w:pStyle w:val="8"/>
        <w:rPr>
          <w:rFonts w:ascii="Arial"/>
          <w:sz w:val="20"/>
        </w:rPr>
      </w:pPr>
    </w:p>
    <w:p>
      <w:pPr>
        <w:pStyle w:val="8"/>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rPr>
          <w:color w:val="BF5A14"/>
        </w:rPr>
      </w:pPr>
      <w:r>
        <w:rPr>
          <w:color w:val="BF5A14"/>
        </w:rPr>
        <w:t>Abstract (300 word limit)</w:t>
      </w:r>
    </w:p>
    <w:p>
      <w:pPr>
        <w:pStyle w:val="8"/>
        <w:spacing w:before="90" w:line="280" w:lineRule="auto"/>
        <w:ind w:left="100"/>
        <w:jc w:val="both"/>
        <w:rPr>
          <w:rFonts w:ascii="SimSun" w:hAnsi="SimSun" w:eastAsia="SimSun" w:cs="SimSun"/>
          <w:sz w:val="24"/>
          <w:szCs w:val="24"/>
        </w:rPr>
      </w:pPr>
      <w:r>
        <w:rPr>
          <w:rFonts w:ascii="SimSun" w:hAnsi="SimSun" w:eastAsia="SimSun" w:cs="SimSun"/>
          <w:sz w:val="24"/>
          <w:szCs w:val="24"/>
        </w:rPr>
        <w:t>Concom</w:t>
      </w:r>
      <w:r>
        <w:rPr>
          <w:rFonts w:hint="default" w:ascii="SimSun" w:hAnsi="SimSun" w:eastAsia="SimSun" w:cs="SimSun"/>
          <w:sz w:val="24"/>
          <w:szCs w:val="24"/>
          <w:lang w:val="en-US"/>
        </w:rPr>
        <w:t>i</w:t>
      </w:r>
      <w:r>
        <w:rPr>
          <w:rFonts w:ascii="SimSun" w:hAnsi="SimSun" w:eastAsia="SimSun" w:cs="SimSun"/>
          <w:sz w:val="24"/>
          <w:szCs w:val="24"/>
        </w:rPr>
        <w:t>tant Diseases and Choice of β-Blocker</w:t>
      </w:r>
      <w:r>
        <w:rPr>
          <w:rFonts w:hint="default" w:ascii="SimSun" w:hAnsi="SimSun" w:eastAsia="SimSun" w:cs="SimSun"/>
          <w:sz w:val="24"/>
          <w:szCs w:val="24"/>
          <w:lang w:val="en-US"/>
        </w:rPr>
        <w:t xml:space="preserve">: </w:t>
      </w:r>
      <w:r>
        <w:rPr>
          <w:rFonts w:ascii="SimSun" w:hAnsi="SimSun" w:eastAsia="SimSun" w:cs="SimSun"/>
          <w:sz w:val="24"/>
          <w:szCs w:val="24"/>
        </w:rPr>
        <w:t>Respiratory</w:t>
      </w:r>
      <w:r>
        <w:rPr>
          <w:rFonts w:hint="default" w:ascii="SimSun" w:hAnsi="SimSun" w:eastAsia="SimSun" w:cs="SimSun"/>
          <w:sz w:val="24"/>
          <w:szCs w:val="24"/>
          <w:lang w:val="en-US"/>
        </w:rPr>
        <w:t xml:space="preserve"> </w:t>
      </w:r>
      <w:r>
        <w:rPr>
          <w:rFonts w:ascii="SimSun" w:hAnsi="SimSun" w:eastAsia="SimSun" w:cs="SimSun"/>
          <w:sz w:val="24"/>
          <w:szCs w:val="24"/>
        </w:rPr>
        <w:t xml:space="preserve">disease. Cardioselective β1-blockers in low doses are best for patients with reversible bronchospasm. In patients with a history of asthma, no β-blocker can be considered safe. Associated cardiovascular disease. For hypertension plus effort angina, see “β-blockers for hypertension” earlier in this chapter. In patients with sick sinus syndrome, pure β-blockade can be dangerous. β-blockers with ISA may be best. In patients with Raynaud phenomenon, propranolol with its peripheral vasoconstrictive effects is best avoided. In active peripheral vascular disease, β-blockers are generally contraindicated, although the evidence is not firm. Renal disease. The logical choice should be a β-blocker eliminated by the liver rather than the kidney (see Fig. </w:t>
      </w:r>
      <w:r>
        <w:rPr>
          <w:rFonts w:hint="default" w:ascii="SimSun" w:hAnsi="SimSun" w:eastAsia="SimSun" w:cs="SimSun"/>
          <w:sz w:val="24"/>
          <w:szCs w:val="24"/>
          <w:lang w:val="en-US"/>
        </w:rPr>
        <w:t>1</w:t>
      </w:r>
      <w:r>
        <w:rPr>
          <w:rFonts w:ascii="SimSun" w:hAnsi="SimSun" w:eastAsia="SimSun" w:cs="SimSun"/>
          <w:sz w:val="24"/>
          <w:szCs w:val="24"/>
        </w:rPr>
        <w:t>). Of those, the vasodilating β-blocker nebivolol conserved the estimated glomerular filtration rate in patients with heart failure better than did metoprolol.</w:t>
      </w:r>
      <w:r>
        <w:rPr>
          <w:rFonts w:hint="default" w:ascii="SimSun" w:hAnsi="SimSun" w:eastAsia="SimSun" w:cs="SimSun"/>
          <w:sz w:val="24"/>
          <w:szCs w:val="24"/>
          <w:lang w:val="en-US"/>
        </w:rPr>
        <w:t>(1)</w:t>
      </w:r>
      <w:r>
        <w:rPr>
          <w:rFonts w:ascii="SimSun" w:hAnsi="SimSun" w:eastAsia="SimSun" w:cs="SimSun"/>
          <w:sz w:val="24"/>
          <w:szCs w:val="24"/>
        </w:rPr>
        <w:t xml:space="preserve"> Diabetes mellitus. In diabetes mellitus, the risk of β-blockade in insulin-requiring diabetics is that the premonitory symptoms of hypoglycemia might be masked. There is a lesser risk with the cardioselective agents. In type 2 diabetics with hypertension, initial β-blocker therapy by atenolol was as effective as the ACE inhibitor, captopril, in reducing macrovascular endpoints at the cost of weight gain and more antidiabetic medication.</w:t>
      </w:r>
      <w:r>
        <w:rPr>
          <w:rFonts w:hint="default" w:ascii="SimSun" w:hAnsi="SimSun" w:eastAsia="SimSun" w:cs="SimSun"/>
          <w:sz w:val="24"/>
          <w:szCs w:val="24"/>
          <w:lang w:val="en-US"/>
        </w:rPr>
        <w:t>(2)</w:t>
      </w:r>
      <w:r>
        <w:rPr>
          <w:rFonts w:ascii="SimSun" w:hAnsi="SimSun" w:eastAsia="SimSun" w:cs="SimSun"/>
          <w:sz w:val="24"/>
          <w:szCs w:val="24"/>
        </w:rPr>
        <w:t xml:space="preserve"> Whether diabetic nephropathy benefits as much from treatment with β-blockade is not clear. ARBs and ACE inhibitors have now established themselves as agents of first choice in diabetic nephropathy. Carvedilol combined with renin angiotensin system (RAS) blocker therapy in diabetic patients with hypertension results in better glycemic control and less insulin resistance than combination therapy that includes metoprolol.</w:t>
      </w:r>
      <w:r>
        <w:rPr>
          <w:rFonts w:hint="default" w:ascii="SimSun" w:hAnsi="SimSun" w:eastAsia="SimSun" w:cs="SimSun"/>
          <w:sz w:val="24"/>
          <w:szCs w:val="24"/>
          <w:lang w:val="en-US"/>
        </w:rPr>
        <w:t>(3)</w:t>
      </w:r>
      <w:r>
        <w:rPr>
          <w:rFonts w:ascii="SimSun" w:hAnsi="SimSun" w:eastAsia="SimSun" w:cs="SimSun"/>
          <w:sz w:val="24"/>
          <w:szCs w:val="24"/>
        </w:rPr>
        <w:t xml:space="preserve"> Although better glycemic control should theoretically translate into fewer cardiovascular events and other adverse outcomes, the short-term nature of this study does not allow conclusions on outcomes. Those at risk of new diabetes. The use of β-blockers and diuretics poses a risk of new diabetes,</w:t>
      </w:r>
      <w:r>
        <w:rPr>
          <w:rFonts w:hint="default" w:ascii="SimSun" w:hAnsi="SimSun" w:eastAsia="SimSun" w:cs="SimSun"/>
          <w:sz w:val="24"/>
          <w:szCs w:val="24"/>
          <w:lang w:val="en-US"/>
        </w:rPr>
        <w:t>(4)</w:t>
      </w:r>
      <w:r>
        <w:rPr>
          <w:rFonts w:ascii="SimSun" w:hAnsi="SimSun" w:eastAsia="SimSun" w:cs="SimSun"/>
          <w:sz w:val="24"/>
          <w:szCs w:val="24"/>
        </w:rPr>
        <w:t xml:space="preserve"> which should be lessened by a truly low dose of the diuretic or by using another combination. Regular blood glucose checks are desirable</w:t>
      </w:r>
      <w:r>
        <w:rPr>
          <w:rFonts w:hint="default" w:ascii="SimSun" w:hAnsi="SimSun" w:eastAsia="SimSun" w:cs="SimSun"/>
          <w:sz w:val="24"/>
          <w:szCs w:val="24"/>
          <w:lang w:val="en-US"/>
        </w:rPr>
        <w:t xml:space="preserve"> </w:t>
      </w:r>
      <w:r>
        <w:rPr>
          <w:rFonts w:ascii="SimSun" w:hAnsi="SimSun" w:eastAsia="SimSun" w:cs="SimSun"/>
          <w:sz w:val="24"/>
          <w:szCs w:val="24"/>
        </w:rPr>
        <w:t>.</w:t>
      </w:r>
    </w:p>
    <w:p>
      <w:pPr>
        <w:pStyle w:val="8"/>
        <w:spacing w:before="90" w:line="280" w:lineRule="auto"/>
        <w:ind w:left="100"/>
        <w:jc w:val="both"/>
        <w:rPr>
          <w:rFonts w:hint="default" w:ascii="SimSun" w:hAnsi="SimSun" w:eastAsia="SimSun" w:cs="SimSun"/>
          <w:sz w:val="24"/>
          <w:szCs w:val="24"/>
          <w:lang w:val="en-US"/>
        </w:rPr>
      </w:pPr>
      <w:r>
        <w:rPr>
          <w:rFonts w:hint="default" w:ascii="SimSun" w:hAnsi="SimSun" w:eastAsia="SimSun" w:cs="SimSun"/>
          <w:sz w:val="24"/>
          <w:szCs w:val="24"/>
          <w:lang w:val="en-US"/>
        </w:rPr>
        <w:t xml:space="preserve">     </w:t>
      </w:r>
      <w:r>
        <w:rPr>
          <w:rFonts w:hint="default" w:ascii="SimSun" w:hAnsi="SimSun" w:eastAsia="SimSun" w:cs="SimSun"/>
          <w:sz w:val="24"/>
          <w:szCs w:val="24"/>
          <w:lang w:val="en-US"/>
        </w:rPr>
        <w:drawing>
          <wp:inline distT="0" distB="0" distL="114300" distR="114300">
            <wp:extent cx="3384550" cy="2271395"/>
            <wp:effectExtent l="0" t="0" r="6350" b="14605"/>
            <wp:docPr id="2" name="Picture 2" descr="SharedScreenshotxsx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redScreenshotxsxz"/>
                    <pic:cNvPicPr>
                      <a:picLocks noChangeAspect="1"/>
                    </pic:cNvPicPr>
                  </pic:nvPicPr>
                  <pic:blipFill>
                    <a:blip r:embed="rId6"/>
                    <a:stretch>
                      <a:fillRect/>
                    </a:stretch>
                  </pic:blipFill>
                  <pic:spPr>
                    <a:xfrm>
                      <a:off x="0" y="0"/>
                      <a:ext cx="3384550" cy="2271395"/>
                    </a:xfrm>
                    <a:prstGeom prst="rect">
                      <a:avLst/>
                    </a:prstGeom>
                  </pic:spPr>
                </pic:pic>
              </a:graphicData>
            </a:graphic>
          </wp:inline>
        </w:drawing>
      </w:r>
    </w:p>
    <w:p>
      <w:pPr>
        <w:pStyle w:val="1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40" w:leftChars="0" w:right="0" w:firstLineChars="0"/>
        <w:textAlignment w:val="baseline"/>
        <w:rPr>
          <w:rFonts w:ascii="SimSun" w:hAnsi="SimSun" w:eastAsia="SimSun" w:cs="SimSun"/>
          <w:sz w:val="24"/>
          <w:szCs w:val="24"/>
        </w:rPr>
      </w:pPr>
      <w:r>
        <w:rPr>
          <w:rFonts w:ascii="SimSun" w:hAnsi="SimSun" w:eastAsia="SimSun" w:cs="SimSun"/>
          <w:sz w:val="24"/>
          <w:szCs w:val="24"/>
        </w:rPr>
        <w:t>Fig. 1 Comparative</w:t>
      </w:r>
      <w:r>
        <w:rPr>
          <w:rFonts w:hint="default" w:ascii="SimSun" w:hAnsi="SimSun" w:eastAsia="SimSun" w:cs="SimSun"/>
          <w:sz w:val="24"/>
          <w:szCs w:val="24"/>
          <w:lang w:val="en-US"/>
        </w:rPr>
        <w:t xml:space="preserve"> r</w:t>
      </w:r>
      <w:r>
        <w:rPr>
          <w:rFonts w:ascii="SimSun" w:hAnsi="SimSun" w:eastAsia="SimSun" w:cs="SimSun"/>
          <w:sz w:val="24"/>
          <w:szCs w:val="24"/>
        </w:rPr>
        <w:t>outes of elimination of β-blockers. Those most hydrophilic and least lipid-soluble are excreted unchanged by the kidneys. Those most lipophilic and least water-soluble are largely metabolized by the liver. Note that the metabolite of acebutolol, diacetolol, is largely excreted by the kidney, in contrast to the parent compound. (For derivation of data in figure, see third edition.</w:t>
      </w:r>
      <w:r>
        <w:rPr>
          <w:rFonts w:hint="default" w:ascii="SimSun" w:hAnsi="SimSun" w:eastAsia="SimSun" w:cs="SimSun"/>
          <w:sz w:val="24"/>
          <w:szCs w:val="24"/>
          <w:lang w:val="en-US"/>
        </w:rPr>
        <w:t xml:space="preserve"> </w:t>
      </w:r>
      <w:r>
        <w:rPr>
          <w:rFonts w:ascii="SimSun" w:hAnsi="SimSun" w:eastAsia="SimSun" w:cs="SimSun"/>
          <w:sz w:val="24"/>
          <w:szCs w:val="24"/>
        </w:rPr>
        <w:t>Estimated data points</w:t>
      </w:r>
      <w:r>
        <w:rPr>
          <w:rFonts w:hint="default" w:ascii="SimSun" w:hAnsi="SimSun" w:eastAsia="SimSun" w:cs="SimSun"/>
          <w:sz w:val="24"/>
          <w:szCs w:val="24"/>
          <w:lang w:val="en-US"/>
        </w:rPr>
        <w:t xml:space="preserve">  </w:t>
      </w:r>
      <w:r>
        <w:rPr>
          <w:rFonts w:ascii="SimSun" w:hAnsi="SimSun" w:eastAsia="SimSun" w:cs="SimSun"/>
          <w:sz w:val="24"/>
          <w:szCs w:val="24"/>
        </w:rPr>
        <w:t xml:space="preserve"> for acebutolol and newer agents added.)</w:t>
      </w:r>
      <w:r>
        <w:rPr>
          <w:rFonts w:hint="default" w:ascii="SimSun" w:hAnsi="SimSun" w:eastAsia="SimSun" w:cs="SimSun"/>
          <w:sz w:val="24"/>
          <w:szCs w:val="24"/>
          <w:lang w:val="en-US"/>
        </w:rPr>
        <w:t xml:space="preserve"> (5)</w:t>
      </w:r>
      <w:r>
        <w:rPr>
          <w:rFonts w:ascii="SimSun" w:hAnsi="SimSun" w:eastAsia="SimSun" w:cs="SimSun"/>
          <w:sz w:val="24"/>
          <w:szCs w:val="24"/>
        </w:rPr>
        <w:t xml:space="preserve"> </w:t>
      </w:r>
    </w:p>
    <w:p>
      <w:pPr>
        <w:pStyle w:val="8"/>
        <w:spacing w:before="90" w:line="280" w:lineRule="auto"/>
        <w:ind w:left="100"/>
        <w:jc w:val="both"/>
      </w:pPr>
    </w:p>
    <w:p>
      <w:pPr>
        <w:pStyle w:val="8"/>
        <w:spacing w:before="90" w:line="280" w:lineRule="auto"/>
        <w:ind w:left="100"/>
        <w:jc w:val="both"/>
      </w:pPr>
    </w:p>
    <w:p>
      <w:pPr>
        <w:pStyle w:val="8"/>
        <w:spacing w:before="90" w:line="280" w:lineRule="auto"/>
        <w:ind w:left="100"/>
        <w:jc w:val="both"/>
        <w:rPr>
          <w:rFonts w:ascii="Arial"/>
          <w:b/>
          <w:sz w:val="20"/>
        </w:rPr>
      </w:pPr>
      <w:r>
        <w:t xml:space="preserve">Statement of the Problem: </w:t>
      </w:r>
      <w:r>
        <w:rPr>
          <w:rFonts w:ascii="Arial"/>
          <w:b/>
          <w:color w:val="BF5A14"/>
          <w:sz w:val="20"/>
        </w:rPr>
        <w:t>Recent Publications (minimum 5)</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textAlignment w:val="baseline"/>
        <w:rPr>
          <w:rFonts w:hint="default" w:ascii="Georgia" w:hAnsi="Georgia" w:eastAsia="Georgia" w:cs="Georgia"/>
          <w:b/>
          <w:bCs/>
          <w:i w:val="0"/>
          <w:iCs w:val="0"/>
          <w:caps w:val="0"/>
          <w:color w:val="000000"/>
          <w:spacing w:val="0"/>
          <w:sz w:val="28"/>
          <w:szCs w:val="28"/>
          <w:vertAlign w:val="baseline"/>
          <w:lang w:val="en-US"/>
        </w:rPr>
      </w:pPr>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480" w:firstLineChars="200"/>
        <w:textAlignment w:val="baseline"/>
      </w:pPr>
      <w:r>
        <w:rPr>
          <w:rFonts w:hint="default" w:ascii="SimSun" w:hAnsi="SimSun" w:eastAsia="SimSun" w:cs="SimSun"/>
          <w:sz w:val="24"/>
          <w:szCs w:val="24"/>
          <w:lang w:val="en-US"/>
        </w:rPr>
        <w:t>1.H.Ito, et al.:Differential effects of carvedilol and metoprolol on renal function in patients with heart failure.CircJ.74:15781583 2020</w:t>
      </w:r>
      <w:r>
        <w:rPr>
          <w:rFonts w:hint="default" w:ascii="SimSun" w:hAnsi="SimSun" w:cs="SimSun"/>
          <w:sz w:val="24"/>
          <w:szCs w:val="24"/>
          <w:lang w:val="en-US"/>
        </w:rPr>
        <w:t xml:space="preserve"> </w:t>
      </w:r>
      <w:r>
        <w:rPr>
          <w:rFonts w:hint="default" w:ascii="Georgia" w:hAnsi="Georgia" w:eastAsia="Georgia" w:cs="Georgia"/>
          <w:i w:val="0"/>
          <w:iCs w:val="0"/>
          <w:caps w:val="0"/>
          <w:color w:val="006BB2"/>
          <w:spacing w:val="0"/>
          <w:sz w:val="18"/>
          <w:szCs w:val="18"/>
          <w:u w:val="none"/>
          <w:vertAlign w:val="baseline"/>
        </w:rPr>
        <w:fldChar w:fldCharType="begin"/>
      </w:r>
      <w:r>
        <w:rPr>
          <w:rFonts w:hint="default" w:ascii="Georgia" w:hAnsi="Georgia" w:eastAsia="Georgia" w:cs="Georgia"/>
          <w:i w:val="0"/>
          <w:iCs w:val="0"/>
          <w:caps w:val="0"/>
          <w:color w:val="006BB2"/>
          <w:spacing w:val="0"/>
          <w:sz w:val="18"/>
          <w:szCs w:val="18"/>
          <w:u w:val="none"/>
          <w:vertAlign w:val="baseline"/>
        </w:rPr>
        <w:instrText xml:space="preserve"> HYPERLINK "https://www.ncbi.nlm.nih.gov/pubmed/20562496" \t "https://expertconsult.inkling.com/read/opies-cardiovascular-drug-companion-braunwald-heart-diseas-9e/chapter-1/_blank" </w:instrText>
      </w:r>
      <w:r>
        <w:rPr>
          <w:rFonts w:hint="default" w:ascii="Georgia" w:hAnsi="Georgia" w:eastAsia="Georgia" w:cs="Georgia"/>
          <w:i w:val="0"/>
          <w:iCs w:val="0"/>
          <w:caps w:val="0"/>
          <w:color w:val="006BB2"/>
          <w:spacing w:val="0"/>
          <w:sz w:val="18"/>
          <w:szCs w:val="18"/>
          <w:u w:val="none"/>
          <w:vertAlign w:val="baseline"/>
        </w:rPr>
        <w:fldChar w:fldCharType="separate"/>
      </w:r>
      <w:r>
        <w:rPr>
          <w:rStyle w:val="11"/>
          <w:rFonts w:hint="default" w:ascii="Georgia" w:hAnsi="Georgia" w:eastAsia="Georgia" w:cs="Georgia"/>
          <w:i w:val="0"/>
          <w:iCs w:val="0"/>
          <w:caps w:val="0"/>
          <w:color w:val="006BB2"/>
          <w:spacing w:val="0"/>
          <w:sz w:val="18"/>
          <w:szCs w:val="18"/>
          <w:u w:val="none"/>
          <w:vertAlign w:val="baseline"/>
          <w:lang w:val="en-US"/>
        </w:rPr>
        <w:t>PMID: 2</w:t>
      </w:r>
      <w:r>
        <w:rPr>
          <w:rStyle w:val="11"/>
          <w:rFonts w:hint="default" w:ascii="Georgia" w:hAnsi="Georgia" w:eastAsia="Georgia" w:cs="Georgia"/>
          <w:i w:val="0"/>
          <w:iCs w:val="0"/>
          <w:caps w:val="0"/>
          <w:color w:val="006BB2"/>
          <w:spacing w:val="0"/>
          <w:sz w:val="18"/>
          <w:szCs w:val="18"/>
          <w:u w:val="none"/>
          <w:vertAlign w:val="baseline"/>
        </w:rPr>
        <w:t>0562496</w:t>
      </w:r>
      <w:r>
        <w:rPr>
          <w:rFonts w:hint="default" w:ascii="Georgia" w:hAnsi="Georgia" w:eastAsia="Georgia" w:cs="Georgia"/>
          <w:i w:val="0"/>
          <w:iCs w:val="0"/>
          <w:caps w:val="0"/>
          <w:color w:val="006BB2"/>
          <w:spacing w:val="0"/>
          <w:sz w:val="18"/>
          <w:szCs w:val="18"/>
          <w:u w:val="none"/>
          <w:vertAlign w:val="baseline"/>
        </w:rPr>
        <w:fldChar w:fldCharType="end"/>
      </w:r>
    </w:p>
    <w:p>
      <w:pPr>
        <w:pStyle w:val="8"/>
        <w:spacing w:before="90" w:line="280" w:lineRule="auto"/>
        <w:ind w:left="100"/>
        <w:jc w:val="both"/>
        <w:rPr>
          <w:rFonts w:hint="default" w:ascii="SimSun" w:hAnsi="SimSun" w:eastAsia="SimSun" w:cs="SimSun"/>
          <w:sz w:val="24"/>
          <w:szCs w:val="24"/>
          <w:lang w:val="en-US"/>
        </w:rPr>
      </w:pPr>
      <w:r>
        <w:rPr>
          <w:rFonts w:hint="default" w:ascii="SimSun" w:hAnsi="SimSun" w:eastAsia="SimSun" w:cs="SimSun"/>
          <w:sz w:val="24"/>
          <w:szCs w:val="24"/>
          <w:lang w:val="en-US"/>
        </w:rPr>
        <w:t xml:space="preserve">2. UKPDS 39: UK Prospective Diabetes Study Group.Efficacy of atenolol and captopril in reducing risk of macrovascular and miccrovascular complications in Type 2 Diabetes Mellitus: UKPDS 39.Br MedJ.317:713-720 1998  </w:t>
      </w:r>
    </w:p>
    <w:p>
      <w:pPr>
        <w:pStyle w:val="8"/>
        <w:spacing w:before="90" w:line="280" w:lineRule="auto"/>
        <w:ind w:left="100"/>
        <w:jc w:val="both"/>
        <w:rPr>
          <w:rFonts w:hint="default" w:ascii="Georgia" w:hAnsi="Georgia" w:eastAsia="Georgia" w:cs="Georgia"/>
          <w:i w:val="0"/>
          <w:iCs w:val="0"/>
          <w:caps w:val="0"/>
          <w:color w:val="006BB2"/>
          <w:spacing w:val="0"/>
          <w:sz w:val="17"/>
          <w:szCs w:val="17"/>
          <w:u w:val="none"/>
          <w:vertAlign w:val="baseline"/>
        </w:rPr>
      </w:pPr>
      <w:r>
        <w:rPr>
          <w:rFonts w:hint="default" w:ascii="SimSun" w:hAnsi="SimSun" w:eastAsia="SimSun" w:cs="SimSun"/>
          <w:sz w:val="24"/>
          <w:szCs w:val="24"/>
          <w:lang w:val="en-US"/>
        </w:rPr>
        <w:t xml:space="preserve">3.G.L.Bakris,et al.:Metabolic effects of </w:t>
      </w:r>
      <w:bookmarkStart w:id="0" w:name="_GoBack"/>
      <w:bookmarkEnd w:id="0"/>
      <w:r>
        <w:rPr>
          <w:rFonts w:hint="default" w:ascii="SimSun" w:hAnsi="SimSun" w:eastAsia="SimSun" w:cs="SimSun"/>
          <w:sz w:val="24"/>
          <w:szCs w:val="24"/>
          <w:lang w:val="en-US"/>
        </w:rPr>
        <w:t xml:space="preserve">carvedilol vs metoprolol in patiem=nts with type 2 Diabetes mellitus and hypertension: a randomized controlled trial. JAMA, 292:2227-2236 2004 </w:t>
      </w:r>
      <w:r>
        <w:rPr>
          <w:rFonts w:hint="default" w:ascii="Georgia" w:hAnsi="Georgia" w:eastAsia="Georgia" w:cs="Georgia"/>
          <w:i w:val="0"/>
          <w:iCs w:val="0"/>
          <w:caps w:val="0"/>
          <w:color w:val="006BB2"/>
          <w:spacing w:val="0"/>
          <w:sz w:val="17"/>
          <w:szCs w:val="17"/>
          <w:u w:val="none"/>
          <w:vertAlign w:val="baseline"/>
        </w:rPr>
        <w:fldChar w:fldCharType="begin"/>
      </w:r>
      <w:r>
        <w:rPr>
          <w:rFonts w:hint="default" w:ascii="Georgia" w:hAnsi="Georgia" w:eastAsia="Georgia" w:cs="Georgia"/>
          <w:i w:val="0"/>
          <w:iCs w:val="0"/>
          <w:caps w:val="0"/>
          <w:color w:val="006BB2"/>
          <w:spacing w:val="0"/>
          <w:sz w:val="17"/>
          <w:szCs w:val="17"/>
          <w:u w:val="none"/>
          <w:vertAlign w:val="baseline"/>
        </w:rPr>
        <w:instrText xml:space="preserve"> HYPERLINK "https://www.ncbi.nlm.nih.gov/pubmed/15536109" \t "https://expertconsult.inkling.com/read/opies-cardiovascular-drug-companion-braunwald-heart-diseas-9e/chapter-1/_blank" </w:instrText>
      </w:r>
      <w:r>
        <w:rPr>
          <w:rFonts w:hint="default" w:ascii="Georgia" w:hAnsi="Georgia" w:eastAsia="Georgia" w:cs="Georgia"/>
          <w:i w:val="0"/>
          <w:iCs w:val="0"/>
          <w:caps w:val="0"/>
          <w:color w:val="006BB2"/>
          <w:spacing w:val="0"/>
          <w:sz w:val="17"/>
          <w:szCs w:val="17"/>
          <w:u w:val="none"/>
          <w:vertAlign w:val="baseline"/>
        </w:rPr>
        <w:fldChar w:fldCharType="separate"/>
      </w:r>
      <w:r>
        <w:rPr>
          <w:rStyle w:val="11"/>
          <w:rFonts w:hint="default" w:ascii="Georgia" w:hAnsi="Georgia" w:eastAsia="Georgia" w:cs="Georgia"/>
          <w:i w:val="0"/>
          <w:iCs w:val="0"/>
          <w:caps w:val="0"/>
          <w:color w:val="006BB2"/>
          <w:spacing w:val="0"/>
          <w:sz w:val="17"/>
          <w:szCs w:val="17"/>
          <w:u w:val="none"/>
          <w:vertAlign w:val="baseline"/>
          <w:lang w:val="en-US"/>
        </w:rPr>
        <w:t>PMID: 1</w:t>
      </w:r>
      <w:r>
        <w:rPr>
          <w:rStyle w:val="11"/>
          <w:rFonts w:hint="default" w:ascii="Georgia" w:hAnsi="Georgia" w:eastAsia="Georgia" w:cs="Georgia"/>
          <w:i w:val="0"/>
          <w:iCs w:val="0"/>
          <w:caps w:val="0"/>
          <w:color w:val="006BB2"/>
          <w:spacing w:val="0"/>
          <w:sz w:val="17"/>
          <w:szCs w:val="17"/>
          <w:u w:val="none"/>
          <w:vertAlign w:val="baseline"/>
        </w:rPr>
        <w:t>5536109</w:t>
      </w:r>
      <w:r>
        <w:rPr>
          <w:rFonts w:hint="default" w:ascii="Georgia" w:hAnsi="Georgia" w:eastAsia="Georgia" w:cs="Georgia"/>
          <w:i w:val="0"/>
          <w:iCs w:val="0"/>
          <w:caps w:val="0"/>
          <w:color w:val="006BB2"/>
          <w:spacing w:val="0"/>
          <w:sz w:val="17"/>
          <w:szCs w:val="17"/>
          <w:u w:val="none"/>
          <w:vertAlign w:val="baseline"/>
        </w:rPr>
        <w:fldChar w:fldCharType="end"/>
      </w:r>
    </w:p>
    <w:p>
      <w:pPr>
        <w:pStyle w:val="8"/>
        <w:spacing w:before="90" w:line="280" w:lineRule="auto"/>
        <w:jc w:val="both"/>
        <w:rPr>
          <w:rFonts w:hint="default" w:ascii="SimSun" w:hAnsi="SimSun" w:eastAsia="SimSun" w:cs="SimSun"/>
          <w:sz w:val="24"/>
          <w:szCs w:val="24"/>
          <w:lang w:val="en-US"/>
        </w:rPr>
      </w:pPr>
      <w:r>
        <w:rPr>
          <w:rFonts w:hint="default" w:ascii="SimSun" w:hAnsi="SimSun" w:eastAsia="SimSun" w:cs="SimSun"/>
          <w:sz w:val="24"/>
          <w:szCs w:val="24"/>
          <w:lang w:val="en-US"/>
        </w:rPr>
        <w:t xml:space="preserve">4.S.K.Lam,et al.:Incdent diabetes in clinical trials of antihypertensive drugs. Lancet. 369:1514-1515 2007 </w:t>
      </w:r>
      <w:r>
        <w:rPr>
          <w:rFonts w:hint="default" w:ascii="Georgia" w:hAnsi="Georgia" w:eastAsia="Georgia" w:cs="Georgia"/>
          <w:i w:val="0"/>
          <w:iCs w:val="0"/>
          <w:caps w:val="0"/>
          <w:color w:val="006BB2"/>
          <w:spacing w:val="0"/>
          <w:sz w:val="17"/>
          <w:szCs w:val="17"/>
          <w:u w:val="none"/>
          <w:vertAlign w:val="baseline"/>
        </w:rPr>
        <w:fldChar w:fldCharType="begin"/>
      </w:r>
      <w:r>
        <w:rPr>
          <w:rFonts w:hint="default" w:ascii="Georgia" w:hAnsi="Georgia" w:eastAsia="Georgia" w:cs="Georgia"/>
          <w:i w:val="0"/>
          <w:iCs w:val="0"/>
          <w:caps w:val="0"/>
          <w:color w:val="006BB2"/>
          <w:spacing w:val="0"/>
          <w:sz w:val="17"/>
          <w:szCs w:val="17"/>
          <w:u w:val="none"/>
          <w:vertAlign w:val="baseline"/>
        </w:rPr>
        <w:instrText xml:space="preserve"> HYPERLINK "https://www.ncbi.nlm.nih.gov/pubmed/17482974" \t "https://expertconsult.inkling.com/read/opies-cardiovascular-drug-companion-braunwald-heart-diseas-9e/chapter-1/_blank" </w:instrText>
      </w:r>
      <w:r>
        <w:rPr>
          <w:rFonts w:hint="default" w:ascii="Georgia" w:hAnsi="Georgia" w:eastAsia="Georgia" w:cs="Georgia"/>
          <w:i w:val="0"/>
          <w:iCs w:val="0"/>
          <w:caps w:val="0"/>
          <w:color w:val="006BB2"/>
          <w:spacing w:val="0"/>
          <w:sz w:val="17"/>
          <w:szCs w:val="17"/>
          <w:u w:val="none"/>
          <w:vertAlign w:val="baseline"/>
        </w:rPr>
        <w:fldChar w:fldCharType="separate"/>
      </w:r>
      <w:r>
        <w:rPr>
          <w:rStyle w:val="11"/>
          <w:rFonts w:hint="default" w:ascii="Georgia" w:hAnsi="Georgia" w:eastAsia="Georgia" w:cs="Georgia"/>
          <w:i w:val="0"/>
          <w:iCs w:val="0"/>
          <w:caps w:val="0"/>
          <w:color w:val="006BB2"/>
          <w:spacing w:val="0"/>
          <w:sz w:val="17"/>
          <w:szCs w:val="17"/>
          <w:u w:val="none"/>
          <w:vertAlign w:val="baseline"/>
          <w:lang w:val="en-US"/>
        </w:rPr>
        <w:t>PMID: 1</w:t>
      </w:r>
      <w:r>
        <w:rPr>
          <w:rStyle w:val="11"/>
          <w:rFonts w:hint="default" w:ascii="Georgia" w:hAnsi="Georgia" w:eastAsia="Georgia" w:cs="Georgia"/>
          <w:i w:val="0"/>
          <w:iCs w:val="0"/>
          <w:caps w:val="0"/>
          <w:color w:val="006BB2"/>
          <w:spacing w:val="0"/>
          <w:sz w:val="17"/>
          <w:szCs w:val="17"/>
          <w:u w:val="none"/>
          <w:vertAlign w:val="baseline"/>
        </w:rPr>
        <w:t>7482974</w:t>
      </w:r>
      <w:r>
        <w:rPr>
          <w:rFonts w:hint="default" w:ascii="Georgia" w:hAnsi="Georgia" w:eastAsia="Georgia" w:cs="Georgia"/>
          <w:i w:val="0"/>
          <w:iCs w:val="0"/>
          <w:caps w:val="0"/>
          <w:color w:val="006BB2"/>
          <w:spacing w:val="0"/>
          <w:sz w:val="17"/>
          <w:szCs w:val="17"/>
          <w:u w:val="none"/>
          <w:vertAlign w:val="baseline"/>
        </w:rPr>
        <w:fldChar w:fldCharType="end"/>
      </w:r>
    </w:p>
    <w:p>
      <w:pPr>
        <w:pStyle w:val="8"/>
        <w:spacing w:before="90" w:line="280" w:lineRule="auto"/>
        <w:jc w:val="both"/>
        <w:rPr>
          <w:rFonts w:ascii="Calibri" w:hAnsi="Calibri"/>
        </w:rPr>
      </w:pPr>
      <w:r>
        <w:rPr>
          <w:rFonts w:hint="default" w:ascii="Calibri" w:hAnsi="Calibri"/>
          <w:lang w:val="en-US"/>
        </w:rPr>
        <w:t>5</w:t>
      </w:r>
      <w:r>
        <w:rPr>
          <w:rFonts w:ascii="Calibri" w:hAnsi="Calibri"/>
        </w:rPr>
        <w:t xml:space="preserve">. </w:t>
      </w:r>
      <w:r>
        <w:rPr>
          <w:rFonts w:ascii="SimSun" w:hAnsi="SimSun" w:eastAsia="SimSun" w:cs="SimSun"/>
          <w:sz w:val="24"/>
          <w:szCs w:val="24"/>
        </w:rPr>
        <w:t>(Figure © L. H. Opie, 2012.)</w:t>
      </w:r>
    </w:p>
    <w:p>
      <w:pPr>
        <w:pStyle w:val="8"/>
        <w:spacing w:before="85" w:line="216" w:lineRule="exact"/>
        <w:ind w:right="138"/>
        <w:jc w:val="both"/>
        <w:rPr>
          <w:rFonts w:ascii="Calibri" w:hAnsi="Calibri"/>
        </w:rPr>
      </w:pP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8"/>
        <w:rPr>
          <w:rFonts w:ascii="Calibri"/>
          <w:sz w:val="20"/>
        </w:rPr>
      </w:pPr>
    </w:p>
    <w:p>
      <w:pPr>
        <w:pStyle w:val="8"/>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lang w:val="en-IN" w:eastAsia="en-IN"/>
        </w:rP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p>
    <w:p>
      <w:pPr>
        <w:spacing w:before="41" w:line="154" w:lineRule="exact"/>
        <w:ind w:left="213" w:right="231"/>
        <w:jc w:val="both"/>
        <w:rPr>
          <w:rFonts w:ascii="Arial"/>
          <w:sz w:val="22"/>
          <w:szCs w:val="44"/>
        </w:rPr>
      </w:pPr>
      <w:r>
        <w:rPr>
          <w:rFonts w:hint="default" w:ascii="Arial"/>
          <w:sz w:val="22"/>
          <w:szCs w:val="44"/>
          <w:lang w:val="en-US"/>
        </w:rPr>
        <w:t>Mohy Eldeem Mohammed</w:t>
      </w:r>
      <w:r>
        <w:rPr>
          <w:rFonts w:ascii="Arial"/>
          <w:sz w:val="22"/>
          <w:szCs w:val="44"/>
        </w:rPr>
        <w:t xml:space="preserve"> has </w:t>
      </w:r>
      <w:r>
        <w:rPr>
          <w:rFonts w:hint="default" w:ascii="Arial"/>
          <w:sz w:val="22"/>
          <w:szCs w:val="44"/>
          <w:lang w:val="en-US"/>
        </w:rPr>
        <w:t>his</w:t>
      </w:r>
      <w:r>
        <w:rPr>
          <w:rFonts w:ascii="Arial"/>
          <w:sz w:val="22"/>
          <w:szCs w:val="44"/>
        </w:rPr>
        <w:t xml:space="preserve"> expertise in evaluation and passion in improving the health and wellbeing</w:t>
      </w:r>
      <w:r>
        <w:rPr>
          <w:rFonts w:hint="default" w:ascii="Arial"/>
          <w:sz w:val="22"/>
          <w:szCs w:val="44"/>
          <w:lang w:val="en-US"/>
        </w:rPr>
        <w:t xml:space="preserve"> in Cardiovascular diseses spesciality. His </w:t>
      </w:r>
      <w:r>
        <w:rPr>
          <w:rFonts w:ascii="Arial"/>
          <w:sz w:val="22"/>
          <w:szCs w:val="44"/>
        </w:rPr>
        <w:t>open and contextual evaluation model based on responsive constructivists creates new pathways for</w:t>
      </w:r>
      <w:r>
        <w:rPr>
          <w:rFonts w:hint="default" w:ascii="Arial"/>
          <w:sz w:val="22"/>
          <w:szCs w:val="44"/>
          <w:lang w:val="en-US"/>
        </w:rPr>
        <w:t xml:space="preserve"> </w:t>
      </w:r>
      <w:r>
        <w:rPr>
          <w:rFonts w:ascii="Arial"/>
          <w:sz w:val="22"/>
          <w:szCs w:val="44"/>
        </w:rPr>
        <w:t xml:space="preserve">mproving healthcare. </w:t>
      </w:r>
      <w:r>
        <w:rPr>
          <w:rFonts w:hint="default" w:ascii="Arial"/>
          <w:sz w:val="22"/>
          <w:szCs w:val="44"/>
          <w:lang w:val="en-US"/>
        </w:rPr>
        <w:t>He</w:t>
      </w:r>
      <w:r>
        <w:rPr>
          <w:rFonts w:ascii="Arial"/>
          <w:sz w:val="22"/>
          <w:szCs w:val="44"/>
        </w:rPr>
        <w:t xml:space="preserve"> has built this model after years of experience in </w:t>
      </w:r>
      <w:r>
        <w:rPr>
          <w:rFonts w:hint="default" w:ascii="Arial"/>
          <w:sz w:val="22"/>
          <w:szCs w:val="44"/>
          <w:lang w:val="en-US"/>
        </w:rPr>
        <w:t>training</w:t>
      </w:r>
      <w:r>
        <w:rPr>
          <w:rFonts w:ascii="Arial"/>
          <w:sz w:val="22"/>
          <w:szCs w:val="44"/>
        </w:rPr>
        <w:t>, evaluation,</w:t>
      </w:r>
      <w:r>
        <w:rPr>
          <w:rFonts w:hint="default" w:ascii="Arial"/>
          <w:sz w:val="22"/>
          <w:szCs w:val="44"/>
          <w:lang w:val="en-US"/>
        </w:rPr>
        <w:t xml:space="preserve"> treating alot of patients </w:t>
      </w:r>
      <w:r>
        <w:rPr>
          <w:rFonts w:ascii="Arial"/>
          <w:sz w:val="22"/>
          <w:szCs w:val="44"/>
        </w:rPr>
        <w:t xml:space="preserve">and administration  in </w:t>
      </w:r>
      <w:r>
        <w:rPr>
          <w:rFonts w:hint="default" w:ascii="Arial"/>
          <w:sz w:val="22"/>
          <w:szCs w:val="44"/>
          <w:lang w:val="en-US"/>
        </w:rPr>
        <w:t xml:space="preserve">his </w:t>
      </w:r>
      <w:r>
        <w:rPr>
          <w:rFonts w:ascii="Arial"/>
          <w:sz w:val="22"/>
          <w:szCs w:val="44"/>
        </w:rPr>
        <w:t>hospital .</w:t>
      </w:r>
    </w:p>
    <w:p>
      <w:pPr>
        <w:spacing w:before="62"/>
        <w:ind w:left="4217" w:right="4235"/>
        <w:jc w:val="center"/>
        <w:rPr>
          <w:rFonts w:ascii="Arial"/>
          <w:sz w:val="15"/>
          <w:szCs w:val="24"/>
        </w:rPr>
      </w:pPr>
      <w:r>
        <w:rPr>
          <w:rFonts w:ascii="Arial"/>
          <w:sz w:val="14"/>
        </w:rPr>
        <w:t xml:space="preserve">Email: </w:t>
      </w:r>
      <w:r>
        <w:rPr>
          <w:sz w:val="24"/>
          <w:szCs w:val="24"/>
        </w:rPr>
        <w:fldChar w:fldCharType="begin"/>
      </w:r>
      <w:r>
        <w:rPr>
          <w:sz w:val="24"/>
          <w:szCs w:val="24"/>
        </w:rPr>
        <w:instrText xml:space="preserve"> HYPERLINK "mailto:drXXXXXXX@xxxmail.com" </w:instrText>
      </w:r>
      <w:r>
        <w:rPr>
          <w:sz w:val="24"/>
          <w:szCs w:val="24"/>
        </w:rPr>
        <w:fldChar w:fldCharType="separate"/>
      </w:r>
      <w:r>
        <w:rPr>
          <w:rStyle w:val="11"/>
          <w:rFonts w:hint="default" w:ascii="Arial"/>
          <w:sz w:val="15"/>
          <w:szCs w:val="24"/>
          <w:lang w:val="en-US"/>
        </w:rPr>
        <w:t>tabib_alb@yahoo.co</w:t>
      </w:r>
      <w:r>
        <w:rPr>
          <w:rStyle w:val="11"/>
          <w:rFonts w:ascii="Arial"/>
          <w:sz w:val="15"/>
          <w:szCs w:val="24"/>
        </w:rPr>
        <w:t>m</w:t>
      </w:r>
      <w:r>
        <w:rPr>
          <w:rStyle w:val="11"/>
          <w:rFonts w:ascii="Arial"/>
          <w:sz w:val="15"/>
          <w:szCs w:val="24"/>
        </w:rPr>
        <w:fldChar w:fldCharType="end"/>
      </w:r>
    </w:p>
    <w:p>
      <w:pPr>
        <w:pStyle w:val="8"/>
        <w:spacing w:before="2"/>
        <w:rPr>
          <w:rFonts w:ascii="Arial"/>
          <w:sz w:val="19"/>
        </w:rPr>
      </w:pPr>
      <w:r>
        <w:rPr>
          <w:lang w:val="en-IN" w:eastAsia="en-IN"/>
        </w:rP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8"/>
        <w:rPr>
          <w:rFonts w:ascii="Arial"/>
          <w:sz w:val="20"/>
        </w:rPr>
      </w:pPr>
    </w:p>
    <w:p>
      <w:pPr>
        <w:pStyle w:val="8"/>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8"/>
        <w:spacing w:before="3"/>
        <w:rPr>
          <w:rFonts w:hint="default" w:ascii="Andalus" w:hAnsi="Andalus" w:cs="Andalus"/>
          <w:sz w:val="26"/>
          <w:lang w:val="en-US"/>
        </w:rPr>
      </w:pPr>
      <w:r>
        <w:rPr>
          <w:rFonts w:hint="default" w:ascii="Andalus" w:hAnsi="Andalus" w:cs="Andalus"/>
          <w:sz w:val="26"/>
          <w:lang w:val="en-US"/>
        </w:rPr>
        <w:t>Thank you</w:t>
      </w: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 w:name="Segoe Print">
    <w:panose1 w:val="02000600000000000000"/>
    <w:charset w:val="00"/>
    <w:family w:val="auto"/>
    <w:pitch w:val="default"/>
    <w:sig w:usb0="0000028F" w:usb1="00000000" w:usb2="00000000" w:usb3="00000000" w:csb0="2000009F" w:csb1="4701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 w:name="Myriad Pro">
    <w:altName w:val="Corbel"/>
    <w:panose1 w:val="00000000000000000000"/>
    <w:charset w:val="00"/>
    <w:family w:val="swiss"/>
    <w:pitch w:val="default"/>
    <w:sig w:usb0="00000000" w:usb1="00000000" w:usb2="00000000" w:usb3="00000000" w:csb0="0000019F" w:csb1="00000000"/>
  </w:font>
  <w:font w:name="Corbel">
    <w:panose1 w:val="020B0503020204020204"/>
    <w:charset w:val="00"/>
    <w:family w:val="auto"/>
    <w:pitch w:val="default"/>
    <w:sig w:usb0="A00002EF" w:usb1="4000A44B" w:usb2="00000000" w:usb3="00000000" w:csb0="2000019F" w:csb1="00000000"/>
  </w:font>
  <w:font w:name="Impact">
    <w:panose1 w:val="020B0806030902050204"/>
    <w:charset w:val="00"/>
    <w:family w:val="swiss"/>
    <w:pitch w:val="default"/>
    <w:sig w:usb0="00000287" w:usb1="00000000" w:usb2="00000000" w:usb3="00000000" w:csb0="2000009F" w:csb1="DFD70000"/>
  </w:font>
  <w:font w:name="Georgia">
    <w:panose1 w:val="02040502050405020303"/>
    <w:charset w:val="00"/>
    <w:family w:val="auto"/>
    <w:pitch w:val="default"/>
    <w:sig w:usb0="00000287" w:usb1="00000000" w:usb2="00000000" w:usb3="00000000" w:csb0="2000009F" w:csb1="00000000"/>
  </w:font>
  <w:font w:name="Symbol">
    <w:panose1 w:val="05050102010706020507"/>
    <w:charset w:val="00"/>
    <w:family w:val="auto"/>
    <w:pitch w:val="default"/>
    <w:sig w:usb0="00000000" w:usb1="00000000" w:usb2="00000000" w:usb3="00000000" w:csb0="80000000" w:csb1="00000000"/>
  </w:font>
  <w:font w:name="Arial Black">
    <w:panose1 w:val="020B0A04020102020204"/>
    <w:charset w:val="00"/>
    <w:family w:val="auto"/>
    <w:pitch w:val="default"/>
    <w:sig w:usb0="A00002AF" w:usb1="400078FB" w:usb2="00000000" w:usb3="00000000" w:csb0="6000009F" w:csb1="DFD70000"/>
  </w:font>
  <w:font w:name="Arabic Typesetting">
    <w:panose1 w:val="03020402040406030203"/>
    <w:charset w:val="00"/>
    <w:family w:val="auto"/>
    <w:pitch w:val="default"/>
    <w:sig w:usb0="80002007" w:usb1="80000000" w:usb2="00000008" w:usb3="00000000" w:csb0="000000D3" w:csb1="20080000"/>
  </w:font>
  <w:font w:name="Andalus">
    <w:panose1 w:val="02020603050405020304"/>
    <w:charset w:val="00"/>
    <w:family w:val="auto"/>
    <w:pitch w:val="default"/>
    <w:sig w:usb0="00002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5168;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5168;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251655168;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dYriNkAAAAKAQAADwAAAAAAAAABACAAAAAiAAAAZHJzL2Rvd25y&#10;ZXYueG1sUEsBAhQAFAAAAAgAh07iQHQt39b9AQAABQQAAA4AAAAAAAAAAQAgAAAAKAEAAGRycy9l&#10;Mm9Eb2MueG1sUEsFBgAAAAAGAAYAWQEAAJcFAA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8"/>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251655168;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ML0Fa2AAAAAoBAAAPAAAAAAAAAAEAIAAAACIAAABkcnMvZG93bnJl&#10;di54bWxQSwECFAAUAAAACACHTuJAnH8oOP0BAAAFBAAADgAAAAAAAAABACAAAAAnAQAAZHJzL2Uy&#10;b0RvYy54bWxQSwUGAAAAAAYABgBZAQAAlgUAAAAA&#10;">
              <v:fill on="f" focussize="0,0"/>
              <v:stroke on="f"/>
              <v:imagedata o:title=""/>
              <o:lock v:ext="edit" aspectratio="f"/>
              <v:textbox inset="0mm,0mm,0mm,0mm">
                <w:txbxContent>
                  <w:p>
                    <w:pPr>
                      <w:pStyle w:val="8"/>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AD87A7"/>
    <w:multiLevelType w:val="singleLevel"/>
    <w:tmpl w:val="F0AD87A7"/>
    <w:lvl w:ilvl="0" w:tentative="0">
      <w:start w:val="1"/>
      <w:numFmt w:val="decimal"/>
      <w:suff w:val="space"/>
      <w:lvlText w:val="%1."/>
      <w:lvlJc w:val="left"/>
      <w:pPr>
        <w:ind w:left="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9FF18EB"/>
    <w:rsid w:val="179064A3"/>
    <w:rsid w:val="1BF232A0"/>
    <w:rsid w:val="4BE97C7B"/>
    <w:rsid w:val="4CF00F4A"/>
    <w:rsid w:val="779B32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17"/>
    <w:semiHidden/>
    <w:unhideWhenUsed/>
    <w:uiPriority w:val="99"/>
    <w:rPr>
      <w:rFonts w:ascii="Tahoma" w:hAnsi="Tahoma" w:cs="Tahoma"/>
      <w:sz w:val="16"/>
      <w:szCs w:val="16"/>
    </w:rPr>
  </w:style>
  <w:style w:type="paragraph" w:styleId="8">
    <w:name w:val="Body Text"/>
    <w:basedOn w:val="1"/>
    <w:link w:val="18"/>
    <w:qFormat/>
    <w:uiPriority w:val="1"/>
    <w:rPr>
      <w:sz w:val="18"/>
      <w:szCs w:val="18"/>
    </w:rPr>
  </w:style>
  <w:style w:type="paragraph" w:styleId="9">
    <w:name w:val="footer"/>
    <w:basedOn w:val="1"/>
    <w:link w:val="16"/>
    <w:unhideWhenUsed/>
    <w:qFormat/>
    <w:uiPriority w:val="99"/>
    <w:pPr>
      <w:tabs>
        <w:tab w:val="center" w:pos="4513"/>
        <w:tab w:val="right" w:pos="9026"/>
      </w:tabs>
    </w:pPr>
  </w:style>
  <w:style w:type="paragraph" w:styleId="10">
    <w:name w:val="header"/>
    <w:basedOn w:val="1"/>
    <w:link w:val="15"/>
    <w:unhideWhenUsed/>
    <w:uiPriority w:val="99"/>
    <w:pPr>
      <w:tabs>
        <w:tab w:val="center" w:pos="4513"/>
        <w:tab w:val="right" w:pos="9026"/>
      </w:tabs>
    </w:pPr>
  </w:style>
  <w:style w:type="character" w:styleId="11">
    <w:name w:val="Hyperlink"/>
    <w:basedOn w:val="5"/>
    <w:unhideWhenUsed/>
    <w:uiPriority w:val="99"/>
    <w:rPr>
      <w:color w:val="0000FF" w:themeColor="hyperlink"/>
      <w:u w:val="single"/>
      <w14:textFill>
        <w14:solidFill>
          <w14:schemeClr w14:val="hlink"/>
        </w14:solidFill>
      </w14:textFill>
    </w:rPr>
  </w:style>
  <w:style w:type="paragraph" w:styleId="12">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5"/>
    <w:link w:val="10"/>
    <w:qFormat/>
    <w:uiPriority w:val="99"/>
    <w:rPr>
      <w:rFonts w:ascii="Tw Cen MT" w:hAnsi="Tw Cen MT" w:eastAsia="Tw Cen MT" w:cs="Tw Cen MT"/>
    </w:rPr>
  </w:style>
  <w:style w:type="character" w:customStyle="1" w:styleId="16">
    <w:name w:val="Footer Char"/>
    <w:basedOn w:val="5"/>
    <w:link w:val="9"/>
    <w:uiPriority w:val="99"/>
    <w:rPr>
      <w:rFonts w:ascii="Tw Cen MT" w:hAnsi="Tw Cen MT" w:eastAsia="Tw Cen MT" w:cs="Tw Cen MT"/>
    </w:rPr>
  </w:style>
  <w:style w:type="character" w:customStyle="1" w:styleId="17">
    <w:name w:val="Balloon Text Char"/>
    <w:basedOn w:val="5"/>
    <w:link w:val="7"/>
    <w:semiHidden/>
    <w:uiPriority w:val="99"/>
    <w:rPr>
      <w:rFonts w:ascii="Tahoma" w:hAnsi="Tahoma" w:eastAsia="Tw Cen MT" w:cs="Tahoma"/>
      <w:sz w:val="16"/>
      <w:szCs w:val="16"/>
    </w:rPr>
  </w:style>
  <w:style w:type="character" w:customStyle="1" w:styleId="18">
    <w:name w:val="Body Text Char"/>
    <w:basedOn w:val="5"/>
    <w:link w:val="8"/>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TotalTime>14</TotalTime>
  <ScaleCrop>false</ScaleCrop>
  <LinksUpToDate>false</LinksUpToDate>
  <CharactersWithSpaces>3674</CharactersWithSpaces>
  <Application>WPS Office_11.2.0.10307_F1E327BC-269C-435d-A152-05C5408002CA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cp:lastModifiedBy>tabib</cp:lastModifiedBy>
  <dcterms:modified xsi:type="dcterms:W3CDTF">2022-01-21T15:03:47Z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1033-11.2.0.10307</vt:lpwstr>
  </property>
  <property fmtid="{D5CDD505-2E9C-101B-9397-08002B2CF9AE}" pid="6" name="ICV">
    <vt:lpwstr>EA9C8B73154F48B1B2A7037BE8071091</vt:lpwstr>
  </property>
</Properties>
</file>