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884" w:rsidRDefault="00A31884" w:rsidP="00A31884">
      <w:pPr>
        <w:spacing w:line="360" w:lineRule="atLeast"/>
        <w:jc w:val="both"/>
        <w:rPr>
          <w:rFonts w:ascii="Arial" w:hAnsi="Arial" w:cs="Arial"/>
          <w:b/>
          <w:lang w:val="en-US"/>
        </w:rPr>
      </w:pPr>
      <w:r w:rsidRPr="005A4B4E">
        <w:rPr>
          <w:rFonts w:ascii="Arial" w:hAnsi="Arial" w:cs="Arial"/>
          <w:b/>
          <w:lang w:val="en-US"/>
        </w:rPr>
        <w:t>Titel:</w:t>
      </w:r>
    </w:p>
    <w:p w:rsidR="00A31884" w:rsidRPr="005A4B4E" w:rsidRDefault="00A31884" w:rsidP="00A31884">
      <w:pPr>
        <w:spacing w:line="360" w:lineRule="atLeast"/>
        <w:jc w:val="both"/>
        <w:rPr>
          <w:rFonts w:ascii="Arial" w:hAnsi="Arial" w:cs="Arial"/>
          <w:b/>
          <w:bCs/>
          <w:lang w:val="en-US"/>
        </w:rPr>
      </w:pPr>
    </w:p>
    <w:p w:rsidR="00A31884" w:rsidRPr="00A31884" w:rsidRDefault="007A660C" w:rsidP="00A31884">
      <w:pPr>
        <w:pStyle w:val="Heading1"/>
        <w:rPr>
          <w:lang w:val="en-US"/>
        </w:rPr>
      </w:pPr>
      <w:r>
        <w:t>Impact</w:t>
      </w:r>
      <w:r w:rsidR="00A31884" w:rsidRPr="005A4B4E">
        <w:t xml:space="preserve"> of human cytochrome P450 </w:t>
      </w:r>
      <w:r w:rsidRPr="005A4B4E">
        <w:t>is enzymes</w:t>
      </w:r>
      <w:r w:rsidR="00A31884" w:rsidRPr="005A4B4E">
        <w:t xml:space="preserve"> responsible</w:t>
      </w:r>
      <w:r>
        <w:t xml:space="preserve"> NSAs</w:t>
      </w:r>
      <w:r w:rsidR="00A31884" w:rsidRPr="005A4B4E">
        <w:t xml:space="preserve"> </w:t>
      </w:r>
      <w:proofErr w:type="gramStart"/>
      <w:r w:rsidR="00A31884" w:rsidRPr="005A4B4E">
        <w:t xml:space="preserve">for </w:t>
      </w:r>
      <w:r>
        <w:t xml:space="preserve"> longer</w:t>
      </w:r>
      <w:proofErr w:type="gramEnd"/>
      <w:r>
        <w:t xml:space="preserve"> duration in cu case gene. </w:t>
      </w:r>
      <w:r w:rsidR="00A31884" w:rsidRPr="005A4B4E">
        <w:t xml:space="preserve"> </w:t>
      </w:r>
    </w:p>
    <w:p w:rsidR="00A31884" w:rsidRPr="005A4B4E" w:rsidRDefault="00A31884" w:rsidP="00A31884">
      <w:pPr>
        <w:pStyle w:val="Heading1"/>
      </w:pPr>
    </w:p>
    <w:p w:rsidR="00A31884" w:rsidRPr="00A31884" w:rsidRDefault="00A31884" w:rsidP="00A31884">
      <w:pPr>
        <w:spacing w:line="480" w:lineRule="auto"/>
        <w:jc w:val="both"/>
        <w:rPr>
          <w:rFonts w:ascii="Arial" w:hAnsi="Arial" w:cs="Arial"/>
          <w:lang w:val="en-US"/>
        </w:rPr>
      </w:pPr>
      <w:r w:rsidRPr="005A4B4E">
        <w:rPr>
          <w:rFonts w:ascii="Arial" w:hAnsi="Arial" w:cs="Arial"/>
          <w:b/>
          <w:lang w:val="en-GB"/>
        </w:rPr>
        <w:t>Authors:</w:t>
      </w:r>
    </w:p>
    <w:p w:rsidR="00A31884" w:rsidRPr="00A4716C" w:rsidRDefault="00A31884" w:rsidP="00A4716C">
      <w:pPr>
        <w:jc w:val="both"/>
        <w:outlineLvl w:val="0"/>
        <w:rPr>
          <w:rFonts w:ascii="Arial" w:hAnsi="Arial" w:cs="Arial"/>
          <w:lang w:val="en-GB"/>
        </w:rPr>
      </w:pPr>
      <w:r w:rsidRPr="005A4B4E">
        <w:rPr>
          <w:rFonts w:ascii="Arial" w:hAnsi="Arial" w:cs="Arial"/>
          <w:lang w:val="en-GB"/>
        </w:rPr>
        <w:t>Dr.Salem Omr</w:t>
      </w:r>
      <w:r w:rsidR="00A4716C">
        <w:rPr>
          <w:rFonts w:ascii="Arial" w:hAnsi="Arial" w:cs="Arial"/>
          <w:lang w:val="en-GB"/>
        </w:rPr>
        <w:t>an Ali Abdalla</w:t>
      </w:r>
    </w:p>
    <w:p w:rsidR="00A31884" w:rsidRDefault="00A31884" w:rsidP="00A31884">
      <w:pPr>
        <w:jc w:val="both"/>
        <w:rPr>
          <w:rFonts w:ascii="Arial" w:hAnsi="Arial" w:cs="Arial"/>
          <w:b/>
        </w:rPr>
      </w:pPr>
    </w:p>
    <w:p w:rsidR="00A31884" w:rsidRDefault="00A31884" w:rsidP="00A31884">
      <w:pPr>
        <w:jc w:val="both"/>
        <w:rPr>
          <w:rFonts w:ascii="Arial" w:hAnsi="Arial" w:cs="Arial"/>
          <w:b/>
        </w:rPr>
      </w:pPr>
      <w:r w:rsidRPr="005A4B4E">
        <w:rPr>
          <w:rFonts w:ascii="Arial" w:hAnsi="Arial" w:cs="Arial"/>
          <w:b/>
        </w:rPr>
        <w:t>Affiliation</w:t>
      </w:r>
      <w:r>
        <w:rPr>
          <w:rFonts w:ascii="Arial" w:hAnsi="Arial" w:cs="Arial"/>
          <w:b/>
        </w:rPr>
        <w:t xml:space="preserve"> :</w:t>
      </w:r>
    </w:p>
    <w:p w:rsidR="00A31884" w:rsidRPr="005A4B4E" w:rsidRDefault="00A31884" w:rsidP="00A31884">
      <w:pPr>
        <w:jc w:val="both"/>
        <w:rPr>
          <w:rFonts w:ascii="Arial" w:hAnsi="Arial" w:cs="Arial"/>
          <w:b/>
        </w:rPr>
      </w:pPr>
    </w:p>
    <w:p w:rsidR="00A31884" w:rsidRPr="005A4B4E" w:rsidRDefault="007A660C" w:rsidP="001B2527">
      <w:pPr>
        <w:jc w:val="both"/>
        <w:rPr>
          <w:rFonts w:ascii="Arial" w:hAnsi="Arial" w:cs="Arial"/>
          <w:lang w:val="en-GB"/>
        </w:rPr>
      </w:pPr>
      <w:proofErr w:type="gramStart"/>
      <w:r>
        <w:rPr>
          <w:rFonts w:ascii="Arial" w:hAnsi="Arial" w:cs="Arial"/>
          <w:lang w:val="en-GB"/>
        </w:rPr>
        <w:t xml:space="preserve">Philadelphia </w:t>
      </w:r>
      <w:r w:rsidR="001B2527">
        <w:rPr>
          <w:rFonts w:ascii="Arial" w:hAnsi="Arial" w:cs="Arial"/>
          <w:lang w:val="en-GB"/>
        </w:rPr>
        <w:t xml:space="preserve"> </w:t>
      </w:r>
      <w:r>
        <w:rPr>
          <w:rFonts w:ascii="Arial" w:hAnsi="Arial" w:cs="Arial"/>
          <w:lang w:val="en-GB"/>
        </w:rPr>
        <w:t>university</w:t>
      </w:r>
      <w:proofErr w:type="gramEnd"/>
      <w:r w:rsidR="00FE5960">
        <w:rPr>
          <w:rFonts w:ascii="Arial" w:hAnsi="Arial" w:cs="Arial"/>
          <w:lang w:val="en-GB"/>
        </w:rPr>
        <w:t xml:space="preserve"> Amman Jourdan, </w:t>
      </w:r>
      <w:r>
        <w:rPr>
          <w:rFonts w:ascii="Arial" w:hAnsi="Arial" w:cs="Arial"/>
          <w:lang w:val="en-GB"/>
        </w:rPr>
        <w:t xml:space="preserve"> Pharmacy</w:t>
      </w:r>
      <w:r w:rsidR="001B2527">
        <w:rPr>
          <w:rFonts w:ascii="Arial" w:hAnsi="Arial" w:cs="Arial"/>
          <w:lang w:val="en-GB"/>
        </w:rPr>
        <w:t xml:space="preserve"> </w:t>
      </w:r>
      <w:r w:rsidR="00CD4963">
        <w:rPr>
          <w:rFonts w:ascii="Arial" w:hAnsi="Arial" w:cs="Arial"/>
          <w:lang w:val="en-GB"/>
        </w:rPr>
        <w:t>faculty, Department</w:t>
      </w:r>
      <w:r w:rsidR="001B2527">
        <w:rPr>
          <w:rFonts w:ascii="Arial" w:hAnsi="Arial" w:cs="Arial"/>
          <w:lang w:val="en-US"/>
        </w:rPr>
        <w:t xml:space="preserve"> of </w:t>
      </w:r>
      <w:r w:rsidR="00A31884" w:rsidRPr="005A4B4E">
        <w:rPr>
          <w:rFonts w:ascii="Arial" w:hAnsi="Arial" w:cs="Arial"/>
          <w:lang w:val="en-US"/>
        </w:rPr>
        <w:t>Pharmacology</w:t>
      </w:r>
    </w:p>
    <w:p w:rsidR="00A31884" w:rsidRPr="005A4B4E" w:rsidRDefault="00A31884" w:rsidP="00A31884">
      <w:pPr>
        <w:jc w:val="both"/>
        <w:rPr>
          <w:rFonts w:ascii="Arial" w:hAnsi="Arial" w:cs="Arial"/>
        </w:rPr>
      </w:pPr>
      <w:r w:rsidRPr="005A4B4E">
        <w:rPr>
          <w:rFonts w:ascii="Arial" w:hAnsi="Arial" w:cs="Arial"/>
        </w:rPr>
        <w:t xml:space="preserve">Tel: </w:t>
      </w:r>
      <w:r w:rsidR="007A660C">
        <w:rPr>
          <w:rFonts w:ascii="Arial" w:hAnsi="Arial" w:cs="Arial"/>
        </w:rPr>
        <w:t>+962796729505</w:t>
      </w:r>
      <w:r w:rsidR="001B2527">
        <w:rPr>
          <w:rFonts w:ascii="Arial" w:hAnsi="Arial" w:cs="Arial"/>
        </w:rPr>
        <w:t xml:space="preserve">    E-mail: pharmacology772</w:t>
      </w:r>
      <w:r w:rsidRPr="005A4B4E">
        <w:rPr>
          <w:rFonts w:ascii="Arial" w:hAnsi="Arial" w:cs="Arial"/>
        </w:rPr>
        <w:t>@yahoo.com</w:t>
      </w:r>
    </w:p>
    <w:p w:rsidR="00A31884" w:rsidRPr="005A4B4E" w:rsidRDefault="00A31884" w:rsidP="00A31884">
      <w:pPr>
        <w:spacing w:line="360" w:lineRule="atLeast"/>
        <w:jc w:val="both"/>
        <w:rPr>
          <w:rFonts w:ascii="Arial" w:hAnsi="Arial" w:cs="Arial"/>
        </w:rPr>
      </w:pPr>
    </w:p>
    <w:p w:rsidR="00A31884" w:rsidRPr="005A4B4E" w:rsidRDefault="00A31884" w:rsidP="00A31884">
      <w:pPr>
        <w:rPr>
          <w:rFonts w:ascii="Arial" w:hAnsi="Arial" w:cs="Arial"/>
          <w:lang w:val="en-US"/>
        </w:rPr>
      </w:pPr>
      <w:r w:rsidRPr="005A4B4E">
        <w:rPr>
          <w:rFonts w:ascii="Arial" w:hAnsi="Arial" w:cs="Arial"/>
          <w:b/>
          <w:lang w:val="en-US"/>
        </w:rPr>
        <w:t>Objective</w:t>
      </w:r>
      <w:r w:rsidR="00FE5960">
        <w:rPr>
          <w:rFonts w:ascii="Arial" w:hAnsi="Arial" w:cs="Arial"/>
          <w:lang w:val="en-US"/>
        </w:rPr>
        <w:t>.</w:t>
      </w:r>
      <w:bookmarkStart w:id="0" w:name="_GoBack"/>
      <w:bookmarkEnd w:id="0"/>
      <w:r>
        <w:rPr>
          <w:rFonts w:ascii="Arial" w:hAnsi="Arial" w:cs="Arial"/>
          <w:lang w:val="en-US"/>
        </w:rPr>
        <w:t xml:space="preserve"> Novalgin</w:t>
      </w:r>
      <w:r w:rsidRPr="005A4B4E">
        <w:rPr>
          <w:rFonts w:ascii="Arial" w:hAnsi="Arial" w:cs="Arial"/>
          <w:lang w:val="en-US"/>
        </w:rPr>
        <w:t xml:space="preserve"> is a widely used well tolerated analgesic drug which is how</w:t>
      </w:r>
      <w:r>
        <w:rPr>
          <w:rFonts w:ascii="Arial" w:hAnsi="Arial" w:cs="Arial"/>
          <w:lang w:val="en-US"/>
        </w:rPr>
        <w:t>-</w:t>
      </w:r>
      <w:r w:rsidRPr="005A4B4E">
        <w:rPr>
          <w:rFonts w:ascii="Arial" w:hAnsi="Arial" w:cs="Arial"/>
          <w:lang w:val="en-US"/>
        </w:rPr>
        <w:t>ever compromised by agranulocytosis as adverse effect. Subsequent to nonenzymatic hydrolysis, primary metabolic step is N-demethylation of 4-meth-ylaminoantipyrine (4-MAA) to 4-aminoantipyrine (4-AA). The aim of the present study was to identify the human cytochrome P-450 enzyme (CYP) mediating this reaction.</w:t>
      </w:r>
    </w:p>
    <w:p w:rsidR="00A31884" w:rsidRPr="005A4B4E" w:rsidRDefault="00A31884" w:rsidP="00A31884">
      <w:pPr>
        <w:jc w:val="both"/>
        <w:rPr>
          <w:rFonts w:ascii="Arial" w:hAnsi="Arial" w:cs="Arial"/>
          <w:lang w:val="en-US"/>
        </w:rPr>
      </w:pPr>
    </w:p>
    <w:p w:rsidR="00A31884" w:rsidRPr="005A4B4E" w:rsidRDefault="00A31884" w:rsidP="00A31884">
      <w:pPr>
        <w:jc w:val="both"/>
        <w:rPr>
          <w:rFonts w:ascii="Arial" w:hAnsi="Arial" w:cs="Arial"/>
          <w:lang w:val="en-US"/>
        </w:rPr>
      </w:pPr>
      <w:r w:rsidRPr="005A4B4E">
        <w:rPr>
          <w:rFonts w:ascii="Arial" w:hAnsi="Arial" w:cs="Arial"/>
          <w:lang w:val="en-US"/>
        </w:rPr>
        <w:t>.</w:t>
      </w:r>
      <w:r w:rsidRPr="005A4B4E">
        <w:rPr>
          <w:rFonts w:ascii="Arial" w:hAnsi="Arial" w:cs="Arial"/>
          <w:b/>
          <w:i/>
          <w:lang w:val="en-US"/>
        </w:rPr>
        <w:t>Methods.</w:t>
      </w:r>
      <w:r w:rsidRPr="005A4B4E">
        <w:rPr>
          <w:rFonts w:ascii="Arial" w:hAnsi="Arial" w:cs="Arial"/>
          <w:lang w:val="en-US"/>
        </w:rPr>
        <w:t xml:space="preserve"> We identified the relevant CYP using virus expressed isolated human CYP, human liver microsomes and rat liver microsomes with chemical inhibition studies. The substrate of 4-methylaminantipyrine was employed at six different concentrations (25, 50, 100, 400, 800 and 1200 µmol/l) with varying concentrations of selective inhibitors of CYP1A2 (furafylline, fluvoxamine), CYP3A4 (ketoconazole), CYP2A6 (coumarin), CYP2D6 (Quinidine), CYP2C19 (omeprazole, fluvoxamine, tranylcypromine), CYP2C9 (sulphaphenazole) and CYP1A1 (alpha naphthoflavone). 4-MAA and 4-AA were analyzed by HPLC, and enzyme kinetic parameters </w:t>
      </w:r>
      <w:r w:rsidRPr="005A4B4E">
        <w:rPr>
          <w:rFonts w:ascii="Arial" w:hAnsi="Arial" w:cs="Arial"/>
          <w:lang w:val="en-GB"/>
        </w:rPr>
        <w:t>(K</w:t>
      </w:r>
      <w:r w:rsidRPr="005A4B4E">
        <w:rPr>
          <w:rFonts w:ascii="Arial" w:hAnsi="Arial" w:cs="Arial"/>
          <w:vertAlign w:val="subscript"/>
          <w:lang w:val="en-GB"/>
        </w:rPr>
        <w:t>m</w:t>
      </w:r>
      <w:r w:rsidRPr="005A4B4E">
        <w:rPr>
          <w:rFonts w:ascii="Arial" w:hAnsi="Arial" w:cs="Arial"/>
          <w:lang w:val="en-GB"/>
        </w:rPr>
        <w:t xml:space="preserve"> and V</w:t>
      </w:r>
      <w:r w:rsidRPr="005A4B4E">
        <w:rPr>
          <w:rFonts w:ascii="Arial" w:hAnsi="Arial" w:cs="Arial"/>
          <w:vertAlign w:val="subscript"/>
          <w:lang w:val="en-GB"/>
        </w:rPr>
        <w:t>max</w:t>
      </w:r>
      <w:r w:rsidRPr="005A4B4E">
        <w:rPr>
          <w:rFonts w:ascii="Arial" w:hAnsi="Arial" w:cs="Arial"/>
          <w:lang w:val="en-GB"/>
        </w:rPr>
        <w:t>) were determined by regression (Sig-ma plot 9.0.</w:t>
      </w:r>
    </w:p>
    <w:p w:rsidR="00A31884" w:rsidRPr="005A4B4E" w:rsidRDefault="00A31884" w:rsidP="00A31884">
      <w:pPr>
        <w:jc w:val="both"/>
        <w:rPr>
          <w:rFonts w:ascii="Arial" w:hAnsi="Arial" w:cs="Arial"/>
          <w:lang w:val="en-GB"/>
        </w:rPr>
      </w:pPr>
    </w:p>
    <w:p w:rsidR="00A31884" w:rsidRPr="005A4B4E" w:rsidRDefault="00A31884" w:rsidP="00A31884">
      <w:pPr>
        <w:jc w:val="both"/>
        <w:rPr>
          <w:rFonts w:ascii="Arial" w:hAnsi="Arial" w:cs="Arial"/>
          <w:lang w:val="en-GB"/>
        </w:rPr>
      </w:pPr>
    </w:p>
    <w:p w:rsidR="00A31884" w:rsidRPr="005A4B4E" w:rsidRDefault="00A31884" w:rsidP="00A31884">
      <w:pPr>
        <w:jc w:val="both"/>
        <w:rPr>
          <w:rFonts w:ascii="Arial" w:hAnsi="Arial" w:cs="Arial"/>
          <w:lang w:val="en-GB"/>
        </w:rPr>
      </w:pPr>
    </w:p>
    <w:p w:rsidR="00A31884" w:rsidRPr="005A4B4E" w:rsidRDefault="00A31884" w:rsidP="00A31884">
      <w:pPr>
        <w:jc w:val="both"/>
        <w:rPr>
          <w:rFonts w:ascii="Arial" w:hAnsi="Arial" w:cs="Arial"/>
          <w:lang w:val="en-US"/>
        </w:rPr>
      </w:pPr>
      <w:r w:rsidRPr="005A4B4E">
        <w:rPr>
          <w:rFonts w:ascii="Arial" w:hAnsi="Arial" w:cs="Arial"/>
          <w:b/>
          <w:lang w:val="en-GB"/>
        </w:rPr>
        <w:t>Results.</w:t>
      </w:r>
      <w:r w:rsidRPr="005A4B4E">
        <w:rPr>
          <w:rFonts w:ascii="Arial" w:hAnsi="Arial" w:cs="Arial"/>
          <w:lang w:val="en-GB"/>
        </w:rPr>
        <w:t xml:space="preserve"> </w:t>
      </w:r>
      <w:r w:rsidRPr="005A4B4E">
        <w:rPr>
          <w:rFonts w:ascii="Arial" w:hAnsi="Arial" w:cs="Arial"/>
          <w:lang w:val="en-US"/>
        </w:rPr>
        <w:t xml:space="preserve">The N-demethylation of 4-MAA by microsomes prepared from baculovirus-expressing human CYP was pronounced with CYP2C19. Intrinsic clearance of the most active enzymes </w:t>
      </w:r>
      <w:r w:rsidRPr="005A4B4E">
        <w:rPr>
          <w:rFonts w:ascii="Arial" w:hAnsi="Arial" w:cs="Arial"/>
          <w:shd w:val="clear" w:color="auto" w:fill="FFFFFF"/>
          <w:lang w:val="en-US"/>
        </w:rPr>
        <w:t xml:space="preserve">were </w:t>
      </w:r>
      <w:r w:rsidRPr="005A4B4E">
        <w:rPr>
          <w:rFonts w:ascii="Arial" w:hAnsi="Arial" w:cs="Arial"/>
          <w:color w:val="000000"/>
          <w:shd w:val="clear" w:color="auto" w:fill="FFFFFF"/>
          <w:lang w:val="en-US"/>
        </w:rPr>
        <w:t>0.092,</w:t>
      </w:r>
      <w:r w:rsidRPr="005A4B4E">
        <w:rPr>
          <w:rFonts w:ascii="Arial" w:hAnsi="Arial" w:cs="Arial"/>
          <w:shd w:val="clear" w:color="auto" w:fill="FFFFFF"/>
          <w:lang w:val="en-US"/>
        </w:rPr>
        <w:t xml:space="preserve"> 0</w:t>
      </w:r>
      <w:r w:rsidRPr="005A4B4E">
        <w:rPr>
          <w:rFonts w:ascii="Arial" w:hAnsi="Arial" w:cs="Arial"/>
          <w:lang w:val="en-US"/>
        </w:rPr>
        <w:t>.027, and 0.026 for the CYP enzymes 2C19, 2D6 and 1A2 respectively. Metabolism by human liver microsomes was strongly inhibited by fluvoxamin, omeprazole and tranylcypromine (IC50 of 0.07, 0.</w:t>
      </w:r>
      <w:r w:rsidRPr="005A4B4E">
        <w:rPr>
          <w:rFonts w:ascii="Arial" w:hAnsi="Arial" w:cs="Arial"/>
          <w:shd w:val="clear" w:color="auto" w:fill="FFFFFF"/>
          <w:lang w:val="en-US"/>
        </w:rPr>
        <w:t>07 and 0.18), but</w:t>
      </w:r>
      <w:r w:rsidRPr="005A4B4E">
        <w:rPr>
          <w:rFonts w:ascii="Arial" w:hAnsi="Arial" w:cs="Arial"/>
          <w:lang w:val="en-US"/>
        </w:rPr>
        <w:t xml:space="preserve"> with, coumarin, sulphaphenazole, ketoconazole, Moclobemid, Quinidine alpha-</w:t>
      </w:r>
      <w:proofErr w:type="gramStart"/>
      <w:r w:rsidRPr="005A4B4E">
        <w:rPr>
          <w:rFonts w:ascii="Arial" w:hAnsi="Arial" w:cs="Arial"/>
          <w:lang w:val="en-US"/>
        </w:rPr>
        <w:t>naphthoflavone ,</w:t>
      </w:r>
      <w:proofErr w:type="gramEnd"/>
      <w:r w:rsidRPr="005A4B4E">
        <w:rPr>
          <w:rFonts w:ascii="Arial" w:hAnsi="Arial" w:cs="Arial"/>
          <w:lang w:val="en-US"/>
        </w:rPr>
        <w:t xml:space="preserve"> and furafylline were (0.79, 1.20 , 1.36 , 1.44 , 3.46, 4.6</w:t>
      </w:r>
      <w:r w:rsidR="007774E3">
        <w:rPr>
          <w:rFonts w:ascii="Arial" w:hAnsi="Arial" w:cs="Arial"/>
          <w:lang w:val="en-US"/>
        </w:rPr>
        <w:t xml:space="preserve">8 and 8.41) respectively. </w:t>
      </w:r>
    </w:p>
    <w:p w:rsidR="00A31884" w:rsidRPr="005A4B4E" w:rsidRDefault="00A31884" w:rsidP="00A31884">
      <w:pPr>
        <w:jc w:val="both"/>
        <w:rPr>
          <w:rFonts w:ascii="Arial" w:hAnsi="Arial" w:cs="Arial"/>
          <w:lang w:val="en-US"/>
        </w:rPr>
      </w:pPr>
    </w:p>
    <w:p w:rsidR="00A31884" w:rsidRPr="005A4B4E" w:rsidRDefault="00A31884" w:rsidP="00A31884">
      <w:pPr>
        <w:jc w:val="both"/>
        <w:rPr>
          <w:rFonts w:ascii="Arial" w:hAnsi="Arial" w:cs="Arial"/>
          <w:lang w:val="en-US"/>
        </w:rPr>
      </w:pPr>
    </w:p>
    <w:p w:rsidR="00580DD8" w:rsidRDefault="00A31884" w:rsidP="00A31884">
      <w:pPr>
        <w:rPr>
          <w:rFonts w:ascii="Arial" w:hAnsi="Arial" w:cs="Arial"/>
          <w:lang w:val="en-GB"/>
        </w:rPr>
      </w:pPr>
      <w:r w:rsidRPr="005A4B4E">
        <w:rPr>
          <w:rFonts w:ascii="Arial" w:hAnsi="Arial" w:cs="Arial"/>
          <w:b/>
          <w:lang w:val="en-GB"/>
        </w:rPr>
        <w:t>Conclusion</w:t>
      </w:r>
      <w:r w:rsidRPr="005A4B4E">
        <w:rPr>
          <w:rFonts w:ascii="Arial" w:hAnsi="Arial" w:cs="Arial"/>
          <w:lang w:val="en-GB"/>
        </w:rPr>
        <w:t>. The enzyme CYP2C19 apparently has an important role in N-demethyl-ation of 4- methylaminoantipyrine which should be further analyzed in clinical studies and which may also be interesting concerning the agranulocytosis.</w:t>
      </w:r>
    </w:p>
    <w:p w:rsidR="00A31884" w:rsidRDefault="00A31884" w:rsidP="00A31884">
      <w:pPr>
        <w:spacing w:line="360" w:lineRule="atLeast"/>
        <w:jc w:val="both"/>
        <w:rPr>
          <w:lang w:val="en-GB"/>
        </w:rPr>
      </w:pPr>
    </w:p>
    <w:p w:rsidR="00A15EBD" w:rsidRPr="00EA3AC1" w:rsidRDefault="00A15EBD" w:rsidP="00A15EBD">
      <w:pPr>
        <w:spacing w:line="480" w:lineRule="auto"/>
        <w:jc w:val="both"/>
        <w:rPr>
          <w:rFonts w:ascii="Arial" w:hAnsi="Arial" w:cs="Arial"/>
          <w:lang w:val="en-GB"/>
        </w:rPr>
      </w:pPr>
      <w:r w:rsidRPr="00EA3AC1">
        <w:rPr>
          <w:rFonts w:ascii="Arial" w:hAnsi="Arial" w:cs="Arial"/>
          <w:b/>
          <w:bCs/>
          <w:lang w:val="en-GB"/>
        </w:rPr>
        <w:t>KEY WORDS:</w:t>
      </w:r>
      <w:r w:rsidRPr="00EA3AC1">
        <w:rPr>
          <w:rFonts w:ascii="Arial" w:hAnsi="Arial" w:cs="Arial"/>
          <w:lang w:val="en-GB"/>
        </w:rPr>
        <w:t xml:space="preserve"> Metamizole, 4-methylaminoantipyrine (4-MAA), 4- aminoantipyrine (4-AA), metabolism, Human CYP2C19.</w:t>
      </w:r>
    </w:p>
    <w:p w:rsidR="00A31884" w:rsidRDefault="00A31884" w:rsidP="00A31884">
      <w:pPr>
        <w:pStyle w:val="Caption"/>
        <w:rPr>
          <w:lang w:val="en-GB"/>
        </w:rPr>
      </w:pPr>
    </w:p>
    <w:p w:rsidR="00BE54A6" w:rsidRDefault="00BE54A6" w:rsidP="00A31884">
      <w:pPr>
        <w:pStyle w:val="Caption"/>
        <w:rPr>
          <w:lang w:val="en-GB"/>
        </w:rPr>
      </w:pPr>
    </w:p>
    <w:p w:rsidR="00A4716C" w:rsidRPr="00EA3AC1" w:rsidRDefault="00A4716C" w:rsidP="00A4716C">
      <w:pPr>
        <w:spacing w:line="480" w:lineRule="auto"/>
        <w:rPr>
          <w:rFonts w:ascii="Arial" w:hAnsi="Arial" w:cs="Arial"/>
          <w:b/>
          <w:lang w:val="en-GB"/>
        </w:rPr>
      </w:pPr>
    </w:p>
    <w:p w:rsidR="00A4716C" w:rsidRPr="00A4716C" w:rsidRDefault="00A4716C" w:rsidP="00A4716C">
      <w:pPr>
        <w:spacing w:line="480" w:lineRule="auto"/>
        <w:jc w:val="center"/>
        <w:rPr>
          <w:rFonts w:ascii="Arial" w:hAnsi="Arial" w:cs="Arial"/>
          <w:b/>
          <w:sz w:val="40"/>
          <w:szCs w:val="40"/>
          <w:lang w:val="en-GB"/>
        </w:rPr>
      </w:pPr>
      <w:r w:rsidRPr="00A4716C">
        <w:rPr>
          <w:rFonts w:ascii="Arial" w:hAnsi="Arial" w:cs="Arial"/>
          <w:b/>
          <w:sz w:val="40"/>
          <w:szCs w:val="40"/>
          <w:lang w:val="en-GB"/>
        </w:rPr>
        <w:t>Introduction</w:t>
      </w:r>
    </w:p>
    <w:p w:rsidR="00A4716C" w:rsidRPr="00A4716C" w:rsidRDefault="00A4716C" w:rsidP="00A4716C">
      <w:pPr>
        <w:spacing w:line="360" w:lineRule="auto"/>
        <w:jc w:val="both"/>
        <w:rPr>
          <w:rFonts w:ascii="Arial" w:hAnsi="Arial" w:cs="Arial"/>
          <w:sz w:val="28"/>
          <w:szCs w:val="28"/>
          <w:lang w:val="en-GB"/>
        </w:rPr>
      </w:pPr>
      <w:r w:rsidRPr="00A4716C">
        <w:rPr>
          <w:rFonts w:ascii="Arial" w:hAnsi="Arial" w:cs="Arial"/>
          <w:sz w:val="28"/>
          <w:szCs w:val="28"/>
          <w:lang w:val="en-GB"/>
        </w:rPr>
        <w:t xml:space="preserve">Metamizole (sodium [N-(1, 5-dimethyl-3-oxo-2-phenylpyrazolin-4-yl)-N-methyl-amine] methanesulphonate monohydrate) is a pyrazoline derivative available in oral and parenteral forms acting as inhibitor of cyclooxygenases. It has been used as a weak nonsteroidal anti-inflammatory agent (Bonkowsky et al., 2002) as well as a potent analgesic and antipyretic </w:t>
      </w:r>
      <w:proofErr w:type="gramStart"/>
      <w:r w:rsidRPr="00A4716C">
        <w:rPr>
          <w:rFonts w:ascii="Arial" w:hAnsi="Arial" w:cs="Arial"/>
          <w:sz w:val="28"/>
          <w:szCs w:val="28"/>
          <w:lang w:val="en-GB"/>
        </w:rPr>
        <w:t>drugs  in</w:t>
      </w:r>
      <w:proofErr w:type="gramEnd"/>
      <w:r w:rsidRPr="00A4716C">
        <w:rPr>
          <w:rFonts w:ascii="Arial" w:hAnsi="Arial" w:cs="Arial"/>
          <w:sz w:val="28"/>
          <w:szCs w:val="28"/>
          <w:lang w:val="en-GB"/>
        </w:rPr>
        <w:t xml:space="preserve"> many countries for more than 60 years. Oral doses of 0.5 to 1 g (Pereira et al., 1985) have been effective in treating fever. Repeated doses (up to 4 times daily) can be administered, the maximum recommended dose is 3 to 4 g daily (Sadusk, 1965). Metamizole </w:t>
      </w:r>
      <w:r w:rsidRPr="00A4716C">
        <w:rPr>
          <w:rFonts w:ascii="Arial" w:hAnsi="Arial" w:cs="Arial"/>
          <w:sz w:val="28"/>
          <w:szCs w:val="28"/>
          <w:lang w:val="en-US"/>
        </w:rPr>
        <w:t>has been associated with fatal agranulocytosis and</w:t>
      </w:r>
      <w:r w:rsidRPr="00A4716C">
        <w:rPr>
          <w:rFonts w:ascii="Arial" w:hAnsi="Arial" w:cs="Arial"/>
          <w:sz w:val="28"/>
          <w:szCs w:val="28"/>
          <w:vertAlign w:val="superscript"/>
          <w:lang w:val="en-US"/>
        </w:rPr>
        <w:t xml:space="preserve"> </w:t>
      </w:r>
      <w:r w:rsidRPr="00A4716C">
        <w:rPr>
          <w:rFonts w:ascii="Arial" w:hAnsi="Arial" w:cs="Arial"/>
          <w:sz w:val="28"/>
          <w:szCs w:val="28"/>
          <w:lang w:val="en-US"/>
        </w:rPr>
        <w:t>was withdrawn from the US market in 1979 (Bonkowsky et al., 2002)</w:t>
      </w:r>
      <w:r w:rsidRPr="00A4716C">
        <w:rPr>
          <w:rFonts w:ascii="Arial" w:hAnsi="Arial" w:cs="Arial"/>
          <w:sz w:val="28"/>
          <w:szCs w:val="28"/>
          <w:lang w:val="en-GB"/>
        </w:rPr>
        <w:t>. The complex metabolism of metamizole has been the subject of many in-vivo studies (Levy et al., 1995). However, the specific CYP</w:t>
      </w:r>
      <w:r w:rsidRPr="00A4716C">
        <w:rPr>
          <w:rFonts w:ascii="Arial" w:hAnsi="Arial" w:cs="Arial"/>
          <w:sz w:val="28"/>
          <w:szCs w:val="28"/>
          <w:lang w:val="en-GB" w:eastAsia="ar-LY" w:bidi="ar-LY"/>
        </w:rPr>
        <w:t xml:space="preserve"> catalyzing the formation of the active metabolite 4-AA is still not known. </w:t>
      </w:r>
      <w:r w:rsidRPr="00A4716C">
        <w:rPr>
          <w:rFonts w:ascii="Arial" w:hAnsi="Arial" w:cs="Arial"/>
          <w:sz w:val="28"/>
          <w:szCs w:val="28"/>
          <w:lang w:val="en-GB"/>
        </w:rPr>
        <w:t>The biotransformation pathway of metamizole (fig.1) (Levy, 1986) is well established. It is nonenzymatically hydrolysed in the gastric juice to the active moiety 4-methylaminoantipyrine4--</w:t>
      </w:r>
      <w:proofErr w:type="gramStart"/>
      <w:r w:rsidRPr="00A4716C">
        <w:rPr>
          <w:rFonts w:ascii="Arial" w:hAnsi="Arial" w:cs="Arial"/>
          <w:sz w:val="28"/>
          <w:szCs w:val="28"/>
          <w:lang w:val="en-GB"/>
        </w:rPr>
        <w:t>omes:CYP</w:t>
      </w:r>
      <w:proofErr w:type="gramEnd"/>
      <w:r w:rsidRPr="00A4716C">
        <w:rPr>
          <w:rFonts w:ascii="Arial" w:hAnsi="Arial" w:cs="Arial"/>
          <w:sz w:val="28"/>
          <w:szCs w:val="28"/>
          <w:lang w:val="en-GB"/>
        </w:rPr>
        <w:t>, cytochrome P-450: HPLC, high perf</w:t>
      </w:r>
      <w:r w:rsidR="00C64890">
        <w:rPr>
          <w:rFonts w:ascii="Arial" w:hAnsi="Arial" w:cs="Arial"/>
          <w:sz w:val="28"/>
          <w:szCs w:val="28"/>
          <w:lang w:val="en-GB"/>
        </w:rPr>
        <w:t>ormance liquid chromatographic.</w:t>
      </w: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Default="00A4716C" w:rsidP="00A4716C">
      <w:pPr>
        <w:spacing w:line="480" w:lineRule="auto"/>
        <w:jc w:val="both"/>
        <w:rPr>
          <w:rFonts w:ascii="Arial" w:hAnsi="Arial" w:cs="Arial"/>
          <w:u w:val="single"/>
          <w:lang w:val="en-GB"/>
        </w:rPr>
      </w:pPr>
    </w:p>
    <w:p w:rsidR="00A4716C" w:rsidRPr="002C25C5" w:rsidRDefault="00A4716C" w:rsidP="002C25C5">
      <w:pPr>
        <w:spacing w:line="480" w:lineRule="auto"/>
        <w:jc w:val="both"/>
        <w:rPr>
          <w:rFonts w:ascii="Arial" w:hAnsi="Arial" w:cs="Arial"/>
          <w:u w:val="single"/>
          <w:lang w:val="en-GB"/>
        </w:rPr>
      </w:pPr>
      <w:r w:rsidRPr="00A4716C">
        <w:rPr>
          <w:rFonts w:ascii="Arial" w:hAnsi="Arial" w:cs="Arial"/>
          <w:noProof/>
          <w:u w:val="single"/>
          <w:lang w:val="en-US" w:eastAsia="en-US"/>
        </w:rPr>
        <w:drawing>
          <wp:inline distT="0" distB="0" distL="0" distR="0">
            <wp:extent cx="5760720" cy="7134576"/>
            <wp:effectExtent l="19050" t="0" r="0" b="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760720" cy="7134576"/>
                    </a:xfrm>
                    <a:prstGeom prst="rect">
                      <a:avLst/>
                    </a:prstGeom>
                    <a:noFill/>
                  </pic:spPr>
                </pic:pic>
              </a:graphicData>
            </a:graphic>
          </wp:inline>
        </w:drawing>
      </w:r>
    </w:p>
    <w:p w:rsidR="00A4716C" w:rsidRPr="00EA3AC1" w:rsidRDefault="00A4716C" w:rsidP="00A4716C">
      <w:pPr>
        <w:spacing w:line="480" w:lineRule="auto"/>
        <w:rPr>
          <w:rFonts w:ascii="Arial" w:hAnsi="Arial" w:cs="Arial"/>
          <w:b/>
          <w:lang w:val="en-US"/>
        </w:rPr>
      </w:pPr>
    </w:p>
    <w:p w:rsidR="002C25C5" w:rsidRPr="006E0FDD" w:rsidRDefault="002C25C5" w:rsidP="002C25C5">
      <w:pPr>
        <w:pStyle w:val="Caption"/>
        <w:rPr>
          <w:rFonts w:ascii="Arial" w:hAnsi="Arial" w:cs="Arial"/>
          <w:b/>
          <w:bCs/>
          <w:i w:val="0"/>
          <w:color w:val="333333"/>
          <w:lang w:val="en-GB"/>
        </w:rPr>
      </w:pPr>
      <w:r>
        <w:rPr>
          <w:rFonts w:ascii="Arial" w:hAnsi="Arial" w:cs="Arial"/>
          <w:b/>
          <w:bCs/>
          <w:i w:val="0"/>
          <w:color w:val="333333"/>
          <w:lang w:val="en-GB"/>
        </w:rPr>
        <w:t xml:space="preserve">Fig. 1 </w:t>
      </w:r>
      <w:r w:rsidRPr="006E0FDD">
        <w:rPr>
          <w:rFonts w:ascii="Arial" w:hAnsi="Arial" w:cs="Arial"/>
          <w:b/>
          <w:bCs/>
          <w:i w:val="0"/>
          <w:color w:val="333333"/>
          <w:lang w:val="en-GB"/>
        </w:rPr>
        <w:t>Structure and biotransformation of metamizole and its main metabolites in man</w:t>
      </w:r>
    </w:p>
    <w:p w:rsidR="00D0724D" w:rsidRPr="008B4A53" w:rsidRDefault="001600DD" w:rsidP="00D0724D">
      <w:pPr>
        <w:rPr>
          <w:b/>
          <w:color w:val="333333"/>
          <w:sz w:val="20"/>
          <w:szCs w:val="20"/>
          <w:lang w:val="en-GB"/>
        </w:rPr>
      </w:pPr>
      <w:r>
        <w:rPr>
          <w:b/>
          <w:color w:val="333333"/>
          <w:sz w:val="20"/>
          <w:szCs w:val="20"/>
          <w:lang w:val="en-GB"/>
        </w:rPr>
        <w:fldChar w:fldCharType="begin"/>
      </w:r>
      <w:r w:rsidR="00D0724D">
        <w:rPr>
          <w:b/>
          <w:color w:val="333333"/>
          <w:sz w:val="20"/>
          <w:szCs w:val="20"/>
          <w:lang w:val="en-GB"/>
        </w:rPr>
        <w:instrText xml:space="preserve"> ADDIN EN.CITE &lt;EndNote&gt;&lt;Cite&gt;&lt;Author&gt;Geisslinger&lt;/Author&gt;&lt;Year&gt;1996&lt;/Year&gt;&lt;RecNum&gt;5&lt;/RecNum&gt;&lt;MDL&gt;&lt;REFERENCE_TYPE&gt;0&lt;/REFERENCE_TYPE&gt;&lt;ACCESSION_NUMBER&gt;8865325&lt;/ACCESSION_NUMBER&gt;&lt;ISBN&gt;0724-8741 (Print)&lt;/ISBN&gt;&lt;VOLUME&gt;13&lt;/VOLUME&gt;&lt;NUMBER&gt;8&lt;/NUMBER&gt;&lt;YEAR&gt;1996&lt;/YEAR&gt;&lt;DATE&gt;Aug&lt;/DATE&gt;&lt;TITLE&gt;High-performance liquid chromatographic analysis of dipyrone metabolites to study their formation in human liver microsomes&lt;/TITLE&gt;&lt;PAGES&gt;1272-5&lt;/PAGES&gt;&lt;AUTHOR_ADDRESS&gt;Department of Experimental and Clinical Pharmacology &amp;amp; Toxicology, University of Erlangen, Germany.&lt;/AUTHOR_ADDRESS&gt;&lt;AUTHORS&gt;&lt;AUTHOR&gt;Geisslinger, G.&lt;/AUTHOR&gt;&lt;AUTHOR&gt;Bocker, R.&lt;/AUTHOR&gt;&lt;AUTHOR&gt;Levy, M.&lt;/AUTHOR&gt;&lt;/AUTHORS&gt;&lt;ALTERNATE_TITLE&gt;Pharm Res&lt;/ALTERNATE_TITLE&gt;&lt;SECONDARY_TITLE&gt;Pharmaceutical research&lt;/SECONDARY_TITLE&gt;&lt;KEYWORDS&gt;&lt;KEYWORD&gt;Aminopyrine/*analogs &amp;amp; derivatives/metabolism&lt;/KEYWORD&gt;&lt;KEYWORD&gt;Ampyrone/*metabolism&lt;/KEYWORD&gt;&lt;KEYWORD&gt;Chromatography, High Pressure Liquid/*methods&lt;/KEYWORD&gt;&lt;KEYWORD&gt;Dipyrone/*analogs &amp;amp; derivatives/metabolism&lt;/KEYWORD&gt;&lt;KEYWORD&gt;Humans&lt;/KEYWORD&gt;&lt;KEYWORD&gt;Microsomes, Liver/*metabolism&lt;/KEYWORD&gt;&lt;KEYWORD&gt;*Pyrazolones&lt;/KEYWORD&gt;&lt;KEYWORD&gt;Spectrophotometry, Ultraviolet&lt;/KEYWORD&gt;&lt;/KEYWORDS&gt;&lt;URL&gt;http://www.ncbi.nlm.nih.gov/entrez/query.fcgi?cmd=Retrieve&amp;amp;db=PubMed&amp;amp;dopt=Citation&amp;amp;list_uids=8865325&lt;/URL&gt;&lt;/MDL&gt;&lt;/Cite&gt;&lt;/EndNote&gt;</w:instrText>
      </w:r>
      <w:r>
        <w:rPr>
          <w:b/>
          <w:color w:val="333333"/>
          <w:sz w:val="20"/>
          <w:szCs w:val="20"/>
          <w:lang w:val="en-GB"/>
        </w:rPr>
        <w:fldChar w:fldCharType="separate"/>
      </w:r>
      <w:r w:rsidR="00D0724D">
        <w:rPr>
          <w:b/>
          <w:color w:val="333333"/>
          <w:sz w:val="20"/>
          <w:szCs w:val="20"/>
          <w:lang w:val="en-GB"/>
        </w:rPr>
        <w:t>(Geisslinger et al., 1996)</w:t>
      </w:r>
      <w:r>
        <w:rPr>
          <w:b/>
          <w:color w:val="333333"/>
          <w:sz w:val="20"/>
          <w:szCs w:val="20"/>
          <w:lang w:val="en-GB"/>
        </w:rPr>
        <w:fldChar w:fldCharType="end"/>
      </w:r>
      <w:r w:rsidR="00D0724D">
        <w:rPr>
          <w:b/>
          <w:color w:val="333333"/>
          <w:sz w:val="20"/>
          <w:szCs w:val="20"/>
          <w:lang w:val="en-GB"/>
        </w:rPr>
        <w:t>.</w:t>
      </w:r>
    </w:p>
    <w:p w:rsidR="00A4716C" w:rsidRPr="002C25C5" w:rsidRDefault="00A4716C" w:rsidP="00A4716C">
      <w:pPr>
        <w:spacing w:line="480" w:lineRule="auto"/>
        <w:jc w:val="center"/>
        <w:rPr>
          <w:rFonts w:ascii="Arial" w:hAnsi="Arial" w:cs="Arial"/>
          <w:b/>
          <w:sz w:val="40"/>
          <w:szCs w:val="40"/>
          <w:lang w:val="en-GB"/>
        </w:rPr>
      </w:pPr>
    </w:p>
    <w:p w:rsidR="002C25C5" w:rsidRDefault="002C25C5" w:rsidP="00A4716C">
      <w:pPr>
        <w:spacing w:line="480" w:lineRule="auto"/>
        <w:jc w:val="center"/>
        <w:rPr>
          <w:rFonts w:ascii="Arial" w:hAnsi="Arial" w:cs="Arial"/>
          <w:b/>
          <w:sz w:val="40"/>
          <w:szCs w:val="40"/>
          <w:lang w:val="en-US"/>
        </w:rPr>
      </w:pPr>
    </w:p>
    <w:p w:rsidR="002C25C5" w:rsidRPr="002C25C5" w:rsidRDefault="002C25C5" w:rsidP="00A4716C">
      <w:pPr>
        <w:spacing w:line="480" w:lineRule="auto"/>
        <w:jc w:val="center"/>
        <w:rPr>
          <w:rFonts w:ascii="Arial" w:hAnsi="Arial" w:cs="Arial"/>
          <w:b/>
          <w:sz w:val="40"/>
          <w:szCs w:val="40"/>
          <w:lang w:val="en-US"/>
        </w:rPr>
      </w:pPr>
    </w:p>
    <w:p w:rsidR="00A4716C" w:rsidRPr="002C25C5" w:rsidRDefault="00A4716C" w:rsidP="00A4716C">
      <w:pPr>
        <w:spacing w:line="480" w:lineRule="auto"/>
        <w:jc w:val="center"/>
        <w:rPr>
          <w:rFonts w:ascii="Arial" w:hAnsi="Arial" w:cs="Arial"/>
          <w:b/>
          <w:sz w:val="40"/>
          <w:szCs w:val="40"/>
          <w:lang w:val="en-US"/>
        </w:rPr>
      </w:pPr>
      <w:r w:rsidRPr="002C25C5">
        <w:rPr>
          <w:rFonts w:ascii="Arial" w:hAnsi="Arial" w:cs="Arial"/>
          <w:b/>
          <w:sz w:val="40"/>
          <w:szCs w:val="40"/>
          <w:lang w:val="en-US"/>
        </w:rPr>
        <w:t>Material and methods</w:t>
      </w:r>
    </w:p>
    <w:p w:rsidR="00A4716C" w:rsidRPr="00EA3AC1" w:rsidRDefault="00A4716C" w:rsidP="00A4716C">
      <w:pPr>
        <w:spacing w:line="480" w:lineRule="auto"/>
        <w:jc w:val="both"/>
        <w:rPr>
          <w:rFonts w:ascii="Arial" w:hAnsi="Arial" w:cs="Arial"/>
          <w:lang w:val="en-GB"/>
        </w:rPr>
      </w:pPr>
      <w:r w:rsidRPr="00EA3AC1">
        <w:rPr>
          <w:rFonts w:ascii="Arial" w:hAnsi="Arial" w:cs="Arial"/>
          <w:b/>
          <w:lang w:val="en-US"/>
        </w:rPr>
        <w:t>Chemicals.</w:t>
      </w:r>
      <w:r w:rsidRPr="00EA3AC1">
        <w:rPr>
          <w:rFonts w:ascii="Arial" w:hAnsi="Arial" w:cs="Arial"/>
          <w:b/>
          <w:sz w:val="32"/>
          <w:szCs w:val="32"/>
          <w:lang w:val="en-US"/>
        </w:rPr>
        <w:t xml:space="preserve"> </w:t>
      </w:r>
      <w:r w:rsidRPr="00EA3AC1">
        <w:rPr>
          <w:rFonts w:ascii="Arial" w:hAnsi="Arial" w:cs="Arial"/>
          <w:lang w:val="en-US"/>
        </w:rPr>
        <w:t xml:space="preserve">All </w:t>
      </w:r>
      <w:r w:rsidRPr="00EA3AC1">
        <w:rPr>
          <w:rFonts w:ascii="Arial" w:hAnsi="Arial" w:cs="Arial"/>
          <w:lang w:val="en-GB"/>
        </w:rPr>
        <w:t xml:space="preserve">chemicals and reagents were of analytical grade unless stated otherwise. HPLC-grade acetonitrile and methanol were obtained from J.T.Baker (Mallinckrodt Baker, </w:t>
      </w:r>
      <w:smartTag w:uri="urn:schemas-microsoft-com:office:smarttags" w:element="City">
        <w:smartTag w:uri="urn:schemas-microsoft-com:office:smarttags" w:element="place">
          <w:r w:rsidRPr="00EA3AC1">
            <w:rPr>
              <w:rFonts w:ascii="Arial" w:hAnsi="Arial" w:cs="Arial"/>
              <w:lang w:val="en-GB"/>
            </w:rPr>
            <w:t>Holland</w:t>
          </w:r>
        </w:smartTag>
      </w:smartTag>
      <w:r w:rsidRPr="00EA3AC1">
        <w:rPr>
          <w:rFonts w:ascii="Arial" w:hAnsi="Arial" w:cs="Arial"/>
          <w:lang w:val="en-GB"/>
        </w:rPr>
        <w:t>), the other chemicals and reagents were obtained from following sources:</w:t>
      </w:r>
      <w:r w:rsidRPr="00EA3AC1">
        <w:rPr>
          <w:rFonts w:ascii="Arial" w:hAnsi="Arial" w:cs="Arial"/>
          <w:vertAlign w:val="superscript"/>
          <w:lang w:val="en-GB"/>
        </w:rPr>
        <w:t xml:space="preserve"> </w:t>
      </w:r>
      <w:r w:rsidRPr="00EA3AC1">
        <w:rPr>
          <w:rFonts w:ascii="Arial" w:hAnsi="Arial" w:cs="Arial"/>
          <w:lang w:val="en-GB"/>
        </w:rPr>
        <w:t>Aminoantipyrine, ketoconazole, alpha-naphthoflavone, omeprazole and sulphaphenazole were purchased from Sigma chemical (</w:t>
      </w:r>
      <w:smartTag w:uri="urn:schemas-microsoft-com:office:smarttags" w:element="place">
        <w:smartTag w:uri="urn:schemas-microsoft-com:office:smarttags" w:element="City">
          <w:r w:rsidRPr="00EA3AC1">
            <w:rPr>
              <w:rFonts w:ascii="Arial" w:hAnsi="Arial" w:cs="Arial"/>
              <w:lang w:val="en-GB"/>
            </w:rPr>
            <w:t>Steinheim</w:t>
          </w:r>
        </w:smartTag>
        <w:r w:rsidRPr="00EA3AC1">
          <w:rPr>
            <w:rFonts w:ascii="Arial" w:hAnsi="Arial" w:cs="Arial"/>
            <w:lang w:val="en-GB"/>
          </w:rPr>
          <w:t xml:space="preserve">, </w:t>
        </w:r>
        <w:smartTag w:uri="urn:schemas-microsoft-com:office:smarttags" w:element="country-region">
          <w:r w:rsidRPr="00EA3AC1">
            <w:rPr>
              <w:rFonts w:ascii="Arial" w:hAnsi="Arial" w:cs="Arial"/>
              <w:lang w:val="en-GB"/>
            </w:rPr>
            <w:t>Germany</w:t>
          </w:r>
        </w:smartTag>
      </w:smartTag>
      <w:r w:rsidRPr="00EA3AC1">
        <w:rPr>
          <w:rFonts w:ascii="Arial" w:hAnsi="Arial" w:cs="Arial"/>
          <w:lang w:val="en-GB"/>
        </w:rPr>
        <w:t>), while coumarin and quinidine were obtained from (</w:t>
      </w:r>
      <w:smartTag w:uri="urn:schemas-microsoft-com:office:smarttags" w:element="place">
        <w:smartTag w:uri="urn:schemas-microsoft-com:office:smarttags" w:element="City">
          <w:r w:rsidRPr="00EA3AC1">
            <w:rPr>
              <w:rFonts w:ascii="Arial" w:hAnsi="Arial" w:cs="Arial"/>
              <w:lang w:val="en-GB"/>
            </w:rPr>
            <w:t>Fluka Steinheim</w:t>
          </w:r>
        </w:smartTag>
        <w:r w:rsidRPr="00EA3AC1">
          <w:rPr>
            <w:rFonts w:ascii="Arial" w:hAnsi="Arial" w:cs="Arial"/>
            <w:lang w:val="en-GB"/>
          </w:rPr>
          <w:t xml:space="preserve">, </w:t>
        </w:r>
        <w:smartTag w:uri="urn:schemas-microsoft-com:office:smarttags" w:element="country-region">
          <w:r w:rsidRPr="00EA3AC1">
            <w:rPr>
              <w:rFonts w:ascii="Arial" w:hAnsi="Arial" w:cs="Arial"/>
              <w:lang w:val="en-GB"/>
            </w:rPr>
            <w:t>Germany</w:t>
          </w:r>
        </w:smartTag>
      </w:smartTag>
      <w:r w:rsidRPr="00EA3AC1">
        <w:rPr>
          <w:rFonts w:ascii="Arial" w:hAnsi="Arial" w:cs="Arial"/>
          <w:lang w:val="en-GB"/>
        </w:rPr>
        <w:t>). NADPH was purchased from Roche (</w:t>
      </w:r>
      <w:smartTag w:uri="urn:schemas-microsoft-com:office:smarttags" w:element="place">
        <w:smartTag w:uri="urn:schemas-microsoft-com:office:smarttags" w:element="City">
          <w:r w:rsidRPr="00EA3AC1">
            <w:rPr>
              <w:rFonts w:ascii="Arial" w:hAnsi="Arial" w:cs="Arial"/>
              <w:lang w:val="en-GB"/>
            </w:rPr>
            <w:t>Mannheim</w:t>
          </w:r>
        </w:smartTag>
        <w:r w:rsidRPr="00EA3AC1">
          <w:rPr>
            <w:rFonts w:ascii="Arial" w:hAnsi="Arial" w:cs="Arial"/>
            <w:lang w:val="en-GB"/>
          </w:rPr>
          <w:t xml:space="preserve">, </w:t>
        </w:r>
        <w:smartTag w:uri="urn:schemas-microsoft-com:office:smarttags" w:element="country-region">
          <w:r w:rsidRPr="00EA3AC1">
            <w:rPr>
              <w:rFonts w:ascii="Arial" w:hAnsi="Arial" w:cs="Arial"/>
              <w:lang w:val="en-GB"/>
            </w:rPr>
            <w:t>Germany</w:t>
          </w:r>
        </w:smartTag>
      </w:smartTag>
      <w:r w:rsidRPr="00EA3AC1">
        <w:rPr>
          <w:rFonts w:ascii="Arial" w:hAnsi="Arial" w:cs="Arial"/>
          <w:lang w:val="en-GB"/>
        </w:rPr>
        <w:t>) and the internal standard (4-dimethylaminoantipyrine, 4-DMAA) was ordered from Sigma chemical (</w:t>
      </w:r>
      <w:smartTag w:uri="urn:schemas-microsoft-com:office:smarttags" w:element="place">
        <w:smartTag w:uri="urn:schemas-microsoft-com:office:smarttags" w:element="City">
          <w:r w:rsidRPr="00EA3AC1">
            <w:rPr>
              <w:rFonts w:ascii="Arial" w:hAnsi="Arial" w:cs="Arial"/>
              <w:lang w:val="en-GB"/>
            </w:rPr>
            <w:t>Steinheim</w:t>
          </w:r>
        </w:smartTag>
        <w:r w:rsidRPr="00EA3AC1">
          <w:rPr>
            <w:rFonts w:ascii="Arial" w:hAnsi="Arial" w:cs="Arial"/>
            <w:lang w:val="en-GB"/>
          </w:rPr>
          <w:t xml:space="preserve">, </w:t>
        </w:r>
        <w:smartTag w:uri="urn:schemas-microsoft-com:office:smarttags" w:element="country-region">
          <w:r w:rsidRPr="00EA3AC1">
            <w:rPr>
              <w:rFonts w:ascii="Arial" w:hAnsi="Arial" w:cs="Arial"/>
              <w:lang w:val="en-GB"/>
            </w:rPr>
            <w:t>Germany</w:t>
          </w:r>
        </w:smartTag>
      </w:smartTag>
      <w:r w:rsidRPr="00EA3AC1">
        <w:rPr>
          <w:rFonts w:ascii="Arial" w:hAnsi="Arial" w:cs="Arial"/>
          <w:lang w:val="en-GB"/>
        </w:rPr>
        <w:t>). Potassium dihydrogen phosphate was purchased from Merck (</w:t>
      </w:r>
      <w:smartTag w:uri="urn:schemas-microsoft-com:office:smarttags" w:element="place">
        <w:smartTag w:uri="urn:schemas-microsoft-com:office:smarttags" w:element="City">
          <w:r w:rsidRPr="00EA3AC1">
            <w:rPr>
              <w:rFonts w:ascii="Arial" w:hAnsi="Arial" w:cs="Arial"/>
              <w:lang w:val="en-GB"/>
            </w:rPr>
            <w:t>Darmstadt</w:t>
          </w:r>
        </w:smartTag>
        <w:r w:rsidRPr="00EA3AC1">
          <w:rPr>
            <w:rFonts w:ascii="Arial" w:hAnsi="Arial" w:cs="Arial"/>
            <w:lang w:val="en-GB"/>
          </w:rPr>
          <w:t xml:space="preserve">, </w:t>
        </w:r>
        <w:smartTag w:uri="urn:schemas-microsoft-com:office:smarttags" w:element="country-region">
          <w:r w:rsidRPr="00EA3AC1">
            <w:rPr>
              <w:rFonts w:ascii="Arial" w:hAnsi="Arial" w:cs="Arial"/>
              <w:lang w:val="en-GB"/>
            </w:rPr>
            <w:t>Germany</w:t>
          </w:r>
        </w:smartTag>
      </w:smartTag>
      <w:r w:rsidRPr="00EA3AC1">
        <w:rPr>
          <w:rFonts w:ascii="Arial" w:hAnsi="Arial" w:cs="Arial"/>
          <w:lang w:val="en-GB"/>
        </w:rPr>
        <w:t>).</w:t>
      </w:r>
    </w:p>
    <w:p w:rsidR="00A4716C" w:rsidRPr="00EA3AC1" w:rsidRDefault="00A4716C" w:rsidP="00A4716C">
      <w:pPr>
        <w:spacing w:line="480" w:lineRule="auto"/>
        <w:jc w:val="both"/>
        <w:rPr>
          <w:rFonts w:ascii="Arial" w:hAnsi="Arial" w:cs="Arial"/>
          <w:lang w:val="en-GB"/>
        </w:rPr>
      </w:pPr>
      <w:r w:rsidRPr="00EA3AC1">
        <w:rPr>
          <w:rFonts w:ascii="Arial" w:hAnsi="Arial" w:cs="Arial"/>
          <w:b/>
          <w:lang w:val="en-GB"/>
        </w:rPr>
        <w:t xml:space="preserve">Microsomes and Human P-450 isoforms. </w:t>
      </w:r>
      <w:r w:rsidRPr="00EA3AC1">
        <w:rPr>
          <w:rFonts w:ascii="Arial" w:hAnsi="Arial" w:cs="Arial"/>
          <w:lang w:val="en-GB"/>
        </w:rPr>
        <w:t xml:space="preserve">Baculovirus-derived microsomes expressing human P-450 CYP3A4/OR (Cat. No. P207, Lot 67), CYP3A5/OR (Cat. No. P235, Lot 21), CYP3A7/OR (Cat. No. P237, Lot 9), CYP1A1/OR (Cat. No. P211, Lot 22), CYP1A2/OR (Cat. No. P203, Lot 28), CYP2C9/OR (Cat. No. P242, Lot 3), CYP2C8/OR (Cat. No. P252, Lot 10), CYP2C19/OR (Cat. No. P219, Lot 19), CYP2D6/OR (Cat. No. P217, Lot 43), CYP2E1/OR (Cat. No. P206, Lot 19), CYP2A6/OR (Cat. No. P254, </w:t>
      </w:r>
      <w:smartTag w:uri="urn:schemas-microsoft-com:office:smarttags" w:element="place">
        <w:r w:rsidRPr="00EA3AC1">
          <w:rPr>
            <w:rFonts w:ascii="Arial" w:hAnsi="Arial" w:cs="Arial"/>
            <w:lang w:val="en-GB"/>
          </w:rPr>
          <w:t>Lot</w:t>
        </w:r>
      </w:smartTag>
      <w:r w:rsidRPr="00EA3AC1">
        <w:rPr>
          <w:rFonts w:ascii="Arial" w:hAnsi="Arial" w:cs="Arial"/>
          <w:lang w:val="en-GB"/>
        </w:rPr>
        <w:t xml:space="preserve"> 7) were all obtained from Gentest (</w:t>
      </w:r>
      <w:smartTag w:uri="urn:schemas-microsoft-com:office:smarttags" w:element="place">
        <w:r w:rsidRPr="00EA3AC1">
          <w:rPr>
            <w:rFonts w:ascii="Arial" w:hAnsi="Arial" w:cs="Arial"/>
            <w:lang w:val="en-GB"/>
          </w:rPr>
          <w:t>Frankfurt</w:t>
        </w:r>
      </w:smartTag>
      <w:r w:rsidRPr="00EA3AC1">
        <w:rPr>
          <w:rFonts w:ascii="Arial" w:hAnsi="Arial" w:cs="Arial"/>
          <w:lang w:val="en-GB"/>
        </w:rPr>
        <w:t xml:space="preserve">, </w:t>
      </w:r>
      <w:smartTag w:uri="urn:schemas-microsoft-com:office:smarttags" w:element="place">
        <w:smartTag w:uri="urn:schemas-microsoft-com:office:smarttags" w:element="City">
          <w:r w:rsidRPr="00EA3AC1">
            <w:rPr>
              <w:rFonts w:ascii="Arial" w:hAnsi="Arial" w:cs="Arial"/>
              <w:lang w:val="en-GB"/>
            </w:rPr>
            <w:t>Main</w:t>
          </w:r>
        </w:smartTag>
        <w:r w:rsidRPr="00EA3AC1">
          <w:rPr>
            <w:rFonts w:ascii="Arial" w:hAnsi="Arial" w:cs="Arial"/>
            <w:lang w:val="en-GB"/>
          </w:rPr>
          <w:t xml:space="preserve">, </w:t>
        </w:r>
        <w:smartTag w:uri="urn:schemas-microsoft-com:office:smarttags" w:element="country-region">
          <w:r w:rsidRPr="00EA3AC1">
            <w:rPr>
              <w:rFonts w:ascii="Arial" w:hAnsi="Arial" w:cs="Arial"/>
              <w:lang w:val="en-GB"/>
            </w:rPr>
            <w:t>Germany</w:t>
          </w:r>
        </w:smartTag>
      </w:smartTag>
      <w:r w:rsidRPr="00EA3AC1">
        <w:rPr>
          <w:rFonts w:ascii="Arial" w:hAnsi="Arial" w:cs="Arial"/>
          <w:lang w:val="en-GB"/>
        </w:rPr>
        <w:t>).</w:t>
      </w:r>
    </w:p>
    <w:p w:rsidR="00A4716C" w:rsidRPr="00EA3AC1" w:rsidRDefault="00A4716C" w:rsidP="00A4716C">
      <w:pPr>
        <w:spacing w:line="480" w:lineRule="auto"/>
        <w:jc w:val="both"/>
        <w:rPr>
          <w:rFonts w:ascii="Arial" w:hAnsi="Arial" w:cs="Arial"/>
          <w:lang w:val="en-GB"/>
        </w:rPr>
      </w:pPr>
      <w:r w:rsidRPr="00EA3AC1">
        <w:rPr>
          <w:rFonts w:ascii="Arial" w:hAnsi="Arial" w:cs="Arial"/>
          <w:b/>
          <w:lang w:val="en-GB"/>
        </w:rPr>
        <w:t>Preparation of microsomes.</w:t>
      </w:r>
      <w:r w:rsidRPr="00EA3AC1">
        <w:rPr>
          <w:rFonts w:ascii="Arial" w:hAnsi="Arial" w:cs="Arial"/>
          <w:lang w:val="en-GB"/>
        </w:rPr>
        <w:t xml:space="preserve"> Human hepatic microsomes were prepared by fractionation as described previously (Nelson et al., 2001). Approximately 8 g of liver per experiment was allowed to thaw at  room temperature in  homogenization buffer (Tris 20 mM, Na-EDTA 5 mM, sucrose 254 mM  pH 7.4 in ice bath). The suspension was centrifuged at 9,000 g for 30 min and the resulting supernatant was further centrifuged at 105,000 g for 60 min in an ultracentrifuge. The microsomal pellets were suspended in 250 mM sodium/potassium phosphate buffer (pH 7.4) containing 5 mM EDTA and 30% glycerol (v/v). They were stored in aliquots at -80 until use. Microsomal protein concentration was determined by the method of (Huskey et al., 1995) with bovine serum albumin as a reference standard. The rat liver microsomes were prepared </w:t>
      </w:r>
      <w:proofErr w:type="gramStart"/>
      <w:r w:rsidRPr="00EA3AC1">
        <w:rPr>
          <w:rFonts w:ascii="Arial" w:hAnsi="Arial" w:cs="Arial"/>
          <w:lang w:val="en-GB"/>
        </w:rPr>
        <w:t>following  the</w:t>
      </w:r>
      <w:proofErr w:type="gramEnd"/>
      <w:r w:rsidRPr="00EA3AC1">
        <w:rPr>
          <w:rFonts w:ascii="Arial" w:hAnsi="Arial" w:cs="Arial"/>
          <w:lang w:val="en-GB"/>
        </w:rPr>
        <w:t xml:space="preserve"> same procedures described for human liver microsomes and protein concentration was determined using the BCA method (Pierce chemical.Rocford, IL) (Tisi et al., 2004).</w:t>
      </w:r>
    </w:p>
    <w:p w:rsidR="00A4716C" w:rsidRPr="00EA3AC1" w:rsidRDefault="00A4716C" w:rsidP="00A4716C">
      <w:pPr>
        <w:spacing w:line="480" w:lineRule="auto"/>
        <w:rPr>
          <w:rFonts w:ascii="Arial" w:hAnsi="Arial" w:cs="Arial"/>
          <w:b/>
          <w:lang w:val="en-GB"/>
        </w:rPr>
      </w:pPr>
      <w:r w:rsidRPr="00EA3AC1">
        <w:rPr>
          <w:rFonts w:ascii="Arial" w:hAnsi="Arial" w:cs="Arial"/>
          <w:b/>
          <w:lang w:val="en-GB"/>
        </w:rPr>
        <w:t>Incubation condition.</w:t>
      </w:r>
    </w:p>
    <w:p w:rsidR="00A4716C" w:rsidRPr="00EA3AC1" w:rsidRDefault="00A4716C" w:rsidP="00A4716C">
      <w:pPr>
        <w:spacing w:line="480" w:lineRule="auto"/>
        <w:rPr>
          <w:rFonts w:ascii="Arial" w:hAnsi="Arial" w:cs="Arial"/>
          <w:b/>
          <w:lang w:val="en-GB"/>
        </w:rPr>
      </w:pPr>
      <w:r w:rsidRPr="00EA3AC1">
        <w:rPr>
          <w:rFonts w:ascii="Arial" w:hAnsi="Arial" w:cs="Arial"/>
          <w:b/>
          <w:lang w:val="en-GB"/>
        </w:rPr>
        <w:t>A. General protocol</w:t>
      </w:r>
    </w:p>
    <w:p w:rsidR="00A4716C" w:rsidRPr="00EA3AC1" w:rsidRDefault="00A4716C" w:rsidP="00A4716C">
      <w:pPr>
        <w:spacing w:line="480" w:lineRule="auto"/>
        <w:rPr>
          <w:rFonts w:ascii="Arial" w:hAnsi="Arial" w:cs="Arial"/>
          <w:lang w:val="en-GB"/>
        </w:rPr>
      </w:pPr>
      <w:r w:rsidRPr="00EA3AC1">
        <w:rPr>
          <w:rFonts w:ascii="Arial" w:hAnsi="Arial" w:cs="Arial"/>
          <w:lang w:val="en-GB"/>
        </w:rPr>
        <w:t>In Eppendorf reaction vessels 250 µl of methylaminoantipyrine solution in methanol</w:t>
      </w:r>
    </w:p>
    <w:p w:rsidR="00A4716C" w:rsidRPr="0065269C" w:rsidRDefault="00A4716C" w:rsidP="00A4716C">
      <w:pPr>
        <w:spacing w:line="480" w:lineRule="auto"/>
        <w:rPr>
          <w:rFonts w:ascii="Arial" w:hAnsi="Arial" w:cs="Arial"/>
          <w:shd w:val="clear" w:color="auto" w:fill="FFFF00"/>
          <w:lang w:val="en-GB"/>
        </w:rPr>
      </w:pPr>
      <w:r w:rsidRPr="00EA3AC1">
        <w:rPr>
          <w:rFonts w:ascii="Arial" w:hAnsi="Arial" w:cs="Arial"/>
          <w:lang w:val="en-GB"/>
        </w:rPr>
        <w:t>Representing one of five concentration levels (</w:t>
      </w:r>
      <w:r w:rsidRPr="00EA3AC1">
        <w:rPr>
          <w:rFonts w:ascii="Arial" w:hAnsi="Arial" w:cs="Arial"/>
          <w:b/>
          <w:bCs/>
          <w:lang w:val="en-GB"/>
        </w:rPr>
        <w:t>HPLC Instrumentation and chromatographic conditions</w:t>
      </w:r>
      <w:r w:rsidRPr="00EA3AC1">
        <w:rPr>
          <w:rFonts w:ascii="Arial" w:hAnsi="Arial" w:cs="Arial"/>
          <w:lang w:val="en-GB"/>
        </w:rPr>
        <w:t xml:space="preserve">. The HPLC is very suitable to study the </w:t>
      </w:r>
      <w:proofErr w:type="gramStart"/>
      <w:r w:rsidRPr="00EA3AC1">
        <w:rPr>
          <w:rFonts w:ascii="Arial" w:hAnsi="Arial" w:cs="Arial"/>
          <w:lang w:val="en-GB"/>
        </w:rPr>
        <w:t>formation  of</w:t>
      </w:r>
      <w:proofErr w:type="gramEnd"/>
      <w:r w:rsidRPr="00EA3AC1">
        <w:rPr>
          <w:rFonts w:ascii="Arial" w:hAnsi="Arial" w:cs="Arial"/>
          <w:lang w:val="en-GB"/>
        </w:rPr>
        <w:t xml:space="preserve"> metamizole metabolites in human liver microsomes (Asmardi and Jamali, 1983) and (Geisslinger et al., 1996). The HPLC system consisted</w:t>
      </w:r>
      <w:r w:rsidRPr="00EA3AC1">
        <w:rPr>
          <w:rFonts w:ascii="Arial" w:hAnsi="Arial" w:cs="Arial"/>
          <w:bCs/>
          <w:lang w:val="en-GB"/>
        </w:rPr>
        <w:t xml:space="preserve"> of</w:t>
      </w:r>
      <w:r w:rsidRPr="00EA3AC1">
        <w:rPr>
          <w:rFonts w:ascii="Arial" w:hAnsi="Arial" w:cs="Arial"/>
          <w:lang w:val="en-GB"/>
        </w:rPr>
        <w:t xml:space="preserve"> a L-600A pump (Merck, Hitachi Tokyo, Japan) and 655A-40 autosampler (Merck, Hitachi Tokyo, Japan). The system was equipped with LiChrospher 100 RP-8e select column 5 µm (Merck, Darmstadt, Germany) preceded by a pre-column (100 Diol, 5 µM). The mobile phase consisted of 80% of 50 mM sodium phosphate buffer (pH 6.0), 15% acetonitrile and 5% methanol.The flow rate was 1.0 ml/min. The absorbance was measured at 254 nm, linked to computer data system with an ultraviolet (UV) detector (655 A Merck </w:t>
      </w:r>
      <w:smartTag w:uri="urn:schemas-microsoft-com:office:smarttags" w:element="City">
        <w:smartTag w:uri="urn:schemas-microsoft-com:office:smarttags" w:element="place">
          <w:r w:rsidRPr="00EA3AC1">
            <w:rPr>
              <w:rFonts w:ascii="Arial" w:hAnsi="Arial" w:cs="Arial"/>
              <w:lang w:val="en-GB"/>
            </w:rPr>
            <w:t>Hitachi</w:t>
          </w:r>
        </w:smartTag>
      </w:smartTag>
      <w:r w:rsidRPr="00EA3AC1">
        <w:rPr>
          <w:rFonts w:ascii="Arial" w:hAnsi="Arial" w:cs="Arial"/>
          <w:lang w:val="en-GB"/>
        </w:rPr>
        <w:t xml:space="preserve"> </w:t>
      </w:r>
      <w:smartTag w:uri="urn:schemas-microsoft-com:office:smarttags" w:element="City">
        <w:smartTag w:uri="urn:schemas-microsoft-com:office:smarttags" w:element="place">
          <w:r w:rsidRPr="00EA3AC1">
            <w:rPr>
              <w:rFonts w:ascii="Arial" w:hAnsi="Arial" w:cs="Arial"/>
              <w:lang w:val="en-GB"/>
            </w:rPr>
            <w:t>Tokyo</w:t>
          </w:r>
        </w:smartTag>
      </w:smartTag>
      <w:r w:rsidRPr="00EA3AC1">
        <w:rPr>
          <w:rFonts w:ascii="Arial" w:hAnsi="Arial" w:cs="Arial"/>
          <w:lang w:val="en-GB"/>
        </w:rPr>
        <w:t xml:space="preserve">, </w:t>
      </w:r>
      <w:smartTag w:uri="urn:schemas-microsoft-com:office:smarttags" w:element="country-region">
        <w:smartTag w:uri="urn:schemas-microsoft-com:office:smarttags" w:element="place">
          <w:r w:rsidRPr="00EA3AC1">
            <w:rPr>
              <w:rFonts w:ascii="Arial" w:hAnsi="Arial" w:cs="Arial"/>
              <w:lang w:val="en-GB"/>
            </w:rPr>
            <w:t>Japan</w:t>
          </w:r>
        </w:smartTag>
      </w:smartTag>
      <w:r w:rsidRPr="00EA3AC1">
        <w:rPr>
          <w:rFonts w:ascii="Arial" w:hAnsi="Arial" w:cs="Arial"/>
          <w:lang w:val="en-GB"/>
        </w:rPr>
        <w:t>). The injection volume in these analyses was 40 µl, and the retention times of 4-methylaminoantipyrine (4-MAA), 4-aminoantipyrine (4-AA), and 4-dimethylaminoantipyrine (4-DMAA) were 7.05, 5.37 and 9.38 minutes, respectively.</w:t>
      </w:r>
    </w:p>
    <w:p w:rsidR="00A4716C" w:rsidRDefault="00A4716C" w:rsidP="00A4716C">
      <w:pPr>
        <w:spacing w:line="480" w:lineRule="auto"/>
        <w:rPr>
          <w:rFonts w:ascii="Arial" w:hAnsi="Arial" w:cs="Arial"/>
          <w:bCs/>
          <w:lang w:val="en-GB"/>
        </w:rPr>
      </w:pPr>
      <w:r w:rsidRPr="00EA3AC1">
        <w:rPr>
          <w:rFonts w:ascii="Arial" w:hAnsi="Arial" w:cs="Arial"/>
          <w:b/>
          <w:bCs/>
          <w:lang w:val="en-GB"/>
        </w:rPr>
        <w:t xml:space="preserve">HPLC-method: sensitivity, precision, selectivity (separation of </w:t>
      </w:r>
      <w:proofErr w:type="gramStart"/>
      <w:r w:rsidRPr="00EA3AC1">
        <w:rPr>
          <w:rFonts w:ascii="Arial" w:hAnsi="Arial" w:cs="Arial"/>
          <w:b/>
          <w:bCs/>
          <w:lang w:val="en-GB"/>
        </w:rPr>
        <w:t>inhibitors)</w:t>
      </w:r>
      <w:r w:rsidRPr="00EA3AC1">
        <w:rPr>
          <w:rFonts w:ascii="Arial" w:hAnsi="Arial" w:cs="Arial"/>
          <w:bCs/>
          <w:lang w:val="en-GB"/>
        </w:rPr>
        <w:t>Incubation</w:t>
      </w:r>
      <w:proofErr w:type="gramEnd"/>
      <w:r w:rsidRPr="00EA3AC1">
        <w:rPr>
          <w:rFonts w:ascii="Arial" w:hAnsi="Arial" w:cs="Arial"/>
          <w:bCs/>
          <w:lang w:val="en-GB"/>
        </w:rPr>
        <w:t xml:space="preserve"> of 4-methylaminoantipyrine with microsomes resulted in the formation of the 4-aminoantipyrine as the only metabolite of 4-methylaminantipyrine.</w:t>
      </w:r>
    </w:p>
    <w:p w:rsidR="00D0724D" w:rsidRPr="00EA3AC1" w:rsidRDefault="00D0724D" w:rsidP="00A4716C">
      <w:pPr>
        <w:spacing w:line="480" w:lineRule="auto"/>
        <w:rPr>
          <w:rFonts w:ascii="Arial" w:hAnsi="Arial" w:cs="Arial"/>
          <w:bCs/>
          <w:lang w:val="en-GB"/>
        </w:rPr>
      </w:pPr>
    </w:p>
    <w:p w:rsidR="00A31884" w:rsidRPr="00A4716C" w:rsidRDefault="00A31884" w:rsidP="00A31884">
      <w:pPr>
        <w:rPr>
          <w:lang w:val="en-GB"/>
        </w:rPr>
      </w:pPr>
    </w:p>
    <w:p w:rsidR="00A31884" w:rsidRDefault="00A31884" w:rsidP="00A31884">
      <w:pPr>
        <w:rPr>
          <w:lang w:val="en-US"/>
        </w:rPr>
      </w:pPr>
    </w:p>
    <w:p w:rsidR="00724D15" w:rsidRDefault="00724D15" w:rsidP="00A31884">
      <w:pPr>
        <w:rPr>
          <w:lang w:val="en-US"/>
        </w:rPr>
      </w:pPr>
    </w:p>
    <w:p w:rsidR="00724D15" w:rsidRDefault="00724D15" w:rsidP="00A31884">
      <w:pPr>
        <w:rPr>
          <w:lang w:val="en-US"/>
        </w:rPr>
      </w:pPr>
    </w:p>
    <w:p w:rsidR="00724D15" w:rsidRDefault="00724D15" w:rsidP="00A31884">
      <w:pPr>
        <w:rPr>
          <w:lang w:val="en-US"/>
        </w:rPr>
      </w:pPr>
    </w:p>
    <w:p w:rsidR="00724D15" w:rsidRDefault="00724D15" w:rsidP="00A31884">
      <w:pPr>
        <w:rPr>
          <w:lang w:val="en-US"/>
        </w:rPr>
      </w:pPr>
    </w:p>
    <w:p w:rsidR="00A31884" w:rsidRDefault="00A31884" w:rsidP="00A31884">
      <w:pPr>
        <w:rPr>
          <w:lang w:val="en-US"/>
        </w:rPr>
      </w:pPr>
    </w:p>
    <w:p w:rsidR="00A31884" w:rsidRDefault="00A31884" w:rsidP="00A31884">
      <w:pPr>
        <w:rPr>
          <w:lang w:val="en-US"/>
        </w:rPr>
      </w:pPr>
    </w:p>
    <w:p w:rsidR="00A31884" w:rsidRPr="003712B7" w:rsidRDefault="003712B7" w:rsidP="00D0724D">
      <w:pPr>
        <w:jc w:val="center"/>
        <w:rPr>
          <w:rFonts w:asciiTheme="minorBidi" w:hAnsiTheme="minorBidi" w:cstheme="minorBidi"/>
          <w:sz w:val="40"/>
          <w:szCs w:val="40"/>
          <w:lang w:val="en-US"/>
        </w:rPr>
      </w:pPr>
      <w:r w:rsidRPr="003712B7">
        <w:rPr>
          <w:rFonts w:asciiTheme="minorBidi" w:hAnsiTheme="minorBidi" w:cstheme="minorBidi"/>
          <w:sz w:val="40"/>
          <w:szCs w:val="40"/>
          <w:lang w:val="en-US"/>
        </w:rPr>
        <w:t>Results</w:t>
      </w:r>
    </w:p>
    <w:p w:rsidR="00D0724D" w:rsidRPr="001B46CD" w:rsidRDefault="00D0724D" w:rsidP="00724D15">
      <w:pPr>
        <w:spacing w:line="480" w:lineRule="auto"/>
        <w:jc w:val="both"/>
        <w:rPr>
          <w:rFonts w:ascii="Arial" w:hAnsi="Arial" w:cs="Arial"/>
          <w:lang w:val="en-GB"/>
        </w:rPr>
      </w:pPr>
      <w:r w:rsidRPr="001B46CD">
        <w:rPr>
          <w:rFonts w:ascii="Arial" w:hAnsi="Arial" w:cs="Arial"/>
          <w:b/>
          <w:bCs/>
          <w:lang w:val="en-GB"/>
        </w:rPr>
        <w:t>Inhibition metabolism of 4-methylaminoantipyrine</w:t>
      </w:r>
      <w:r w:rsidRPr="001B46CD">
        <w:rPr>
          <w:rFonts w:ascii="Arial" w:hAnsi="Arial" w:cs="Arial"/>
          <w:sz w:val="28"/>
          <w:szCs w:val="28"/>
          <w:lang w:val="en-GB"/>
        </w:rPr>
        <w:t>. (HLM with inhibitors)</w:t>
      </w:r>
    </w:p>
    <w:p w:rsidR="00D0724D" w:rsidRPr="001B46CD" w:rsidRDefault="00D0724D" w:rsidP="00D0724D">
      <w:pPr>
        <w:spacing w:line="480" w:lineRule="auto"/>
        <w:jc w:val="both"/>
        <w:rPr>
          <w:rFonts w:ascii="Arial" w:hAnsi="Arial" w:cs="Arial"/>
          <w:lang w:val="en-GB"/>
        </w:rPr>
      </w:pPr>
      <w:r w:rsidRPr="001B46CD">
        <w:rPr>
          <w:rFonts w:ascii="Arial" w:hAnsi="Arial" w:cs="Arial"/>
          <w:lang w:val="en-GB"/>
        </w:rPr>
        <w:t>An inhibitory effect on 4-methylaminoantipyrine N-demethylation was seen for tranylcypromine, fluvoxamine e</w:t>
      </w:r>
      <w:r w:rsidR="00E242DD">
        <w:rPr>
          <w:rFonts w:ascii="Arial" w:hAnsi="Arial" w:cs="Arial"/>
          <w:lang w:val="en-GB"/>
        </w:rPr>
        <w:t>m</w:t>
      </w:r>
      <w:r w:rsidRPr="001B46CD">
        <w:rPr>
          <w:rFonts w:ascii="Arial" w:hAnsi="Arial" w:cs="Arial"/>
          <w:lang w:val="en-GB"/>
        </w:rPr>
        <w:t>prazole</w:t>
      </w:r>
      <w:r w:rsidR="00E242DD">
        <w:rPr>
          <w:rFonts w:ascii="Arial" w:hAnsi="Arial" w:cs="Arial"/>
          <w:lang w:val="en-GB"/>
        </w:rPr>
        <w:t xml:space="preserve"> Tab.2</w:t>
      </w:r>
      <w:r w:rsidRPr="001B46CD">
        <w:rPr>
          <w:rFonts w:ascii="Arial" w:hAnsi="Arial" w:cs="Arial"/>
          <w:lang w:val="en-GB"/>
        </w:rPr>
        <w:t xml:space="preserve">) no relevant inhibition was observed in incubations with ketoconazole, furafylline, sulphaphenazole, alpha-naphthoflavone ,and coumarin nd </w:t>
      </w:r>
      <w:r w:rsidR="00EB275A">
        <w:rPr>
          <w:rFonts w:ascii="Arial" w:hAnsi="Arial" w:cs="Arial"/>
          <w:lang w:val="en-GB"/>
        </w:rPr>
        <w:t>moclobromine,</w:t>
      </w:r>
      <w:r w:rsidRPr="001B46CD">
        <w:rPr>
          <w:rFonts w:ascii="Arial" w:hAnsi="Arial" w:cs="Arial"/>
          <w:lang w:val="en-GB"/>
        </w:rPr>
        <w:t xml:space="preserve"> metabolism of 4-methylaminoantipyrine was inhibited 42.569, 40.4346d 354by100 the CYP2C19 inhibitors omeprazole, tranylcypromine and, omeprazole an= (0.</w:t>
      </w:r>
      <w:r w:rsidR="00724D15">
        <w:rPr>
          <w:rFonts w:ascii="Arial" w:hAnsi="Arial" w:cs="Arial"/>
          <w:lang w:val="en-GB"/>
        </w:rPr>
        <w:t>159.28, 0.061289, and 0.85 mM</w:t>
      </w:r>
      <w:r w:rsidRPr="001B46CD">
        <w:rPr>
          <w:rFonts w:ascii="Arial" w:hAnsi="Arial" w:cs="Arial"/>
          <w:lang w:val="en-GB"/>
        </w:rPr>
        <w:t xml:space="preserve">) rectivey with IC </w:t>
      </w:r>
      <w:r w:rsidRPr="001B46CD">
        <w:rPr>
          <w:rFonts w:ascii="Arial" w:hAnsi="Arial" w:cs="Arial"/>
          <w:vertAlign w:val="subscript"/>
          <w:lang w:val="en-GB"/>
        </w:rPr>
        <w:t xml:space="preserve">50 </w:t>
      </w:r>
      <w:r w:rsidRPr="001B46CD">
        <w:rPr>
          <w:rFonts w:ascii="Arial" w:hAnsi="Arial" w:cs="Arial"/>
          <w:lang w:val="en-GB"/>
        </w:rPr>
        <w:t>values of 0.2168, .48 0.0895.2 and 1.1711808tivey. The IC values seen with alpha-</w:t>
      </w:r>
      <w:proofErr w:type="gramStart"/>
      <w:r w:rsidRPr="001B46CD">
        <w:rPr>
          <w:rFonts w:ascii="Arial" w:hAnsi="Arial" w:cs="Arial"/>
          <w:lang w:val="en-GB"/>
        </w:rPr>
        <w:t>naphthoflavone,  quinidine</w:t>
      </w:r>
      <w:proofErr w:type="gramEnd"/>
      <w:r w:rsidRPr="001B46CD">
        <w:rPr>
          <w:rFonts w:ascii="Arial" w:hAnsi="Arial" w:cs="Arial"/>
          <w:lang w:val="en-GB"/>
        </w:rPr>
        <w:t>, sluaphaphenazole, ketoconazole, furafylline , and coumarin andmoclobemid we (4.307380, 16.927939, 562.87,.24561,.149 and 5 269.14 02881.00, 1.13, 7.01, 14380 and</w:t>
      </w:r>
      <w:r w:rsidR="00E242DD">
        <w:rPr>
          <w:rFonts w:ascii="Arial" w:hAnsi="Arial" w:cs="Arial"/>
          <w:lang w:val="en-GB"/>
        </w:rPr>
        <w:t xml:space="preserve"> </w:t>
      </w:r>
      <w:r w:rsidRPr="001B46CD">
        <w:rPr>
          <w:rFonts w:ascii="Arial" w:hAnsi="Arial" w:cs="Arial"/>
          <w:lang w:val="en-GB"/>
        </w:rPr>
        <w:t>06reti (e. which suggested that CYP2C19 was responsible, primary, for the metabolism of 4-methylaminoantipyrine.</w:t>
      </w:r>
    </w:p>
    <w:p w:rsidR="00D0724D" w:rsidRPr="001B46CD" w:rsidRDefault="00D0724D" w:rsidP="00D0724D">
      <w:pPr>
        <w:spacing w:line="480" w:lineRule="auto"/>
        <w:jc w:val="both"/>
        <w:rPr>
          <w:rFonts w:ascii="Arial" w:hAnsi="Arial" w:cs="Arial"/>
          <w:bCs/>
          <w:lang w:val="en-GB"/>
        </w:rPr>
      </w:pPr>
      <w:r w:rsidRPr="001B46CD">
        <w:rPr>
          <w:rFonts w:ascii="Arial" w:hAnsi="Arial" w:cs="Arial"/>
          <w:bCs/>
          <w:lang w:val="en-GB"/>
        </w:rPr>
        <w:t>Metabolism of metylaminoantipyrine by virus expressed human P450 isoforms.</w:t>
      </w:r>
    </w:p>
    <w:p w:rsidR="00D0724D" w:rsidRPr="00D0724D" w:rsidRDefault="00D0724D" w:rsidP="00D0724D">
      <w:pPr>
        <w:spacing w:line="480" w:lineRule="auto"/>
        <w:jc w:val="both"/>
        <w:rPr>
          <w:rFonts w:ascii="Arial" w:hAnsi="Arial" w:cs="Arial"/>
          <w:bCs/>
          <w:shd w:val="clear" w:color="auto" w:fill="FFFF00"/>
          <w:lang w:val="en-GB"/>
        </w:rPr>
      </w:pPr>
      <w:r w:rsidRPr="001B46CD">
        <w:rPr>
          <w:rFonts w:ascii="Arial" w:hAnsi="Arial" w:cs="Arial"/>
          <w:bCs/>
          <w:lang w:val="en-GB"/>
        </w:rPr>
        <w:t>4-methylaminoantipyrine was converted into 4-aminoantipyrine by all specimens tested especially at more elevated substrate concentr</w:t>
      </w:r>
      <w:r w:rsidRPr="00D0724D">
        <w:rPr>
          <w:rFonts w:ascii="Arial" w:hAnsi="Arial" w:cs="Arial"/>
          <w:bCs/>
          <w:lang w:val="en-GB"/>
        </w:rPr>
        <w:t xml:space="preserve"> </w:t>
      </w:r>
      <w:r w:rsidRPr="001B46CD">
        <w:rPr>
          <w:rFonts w:ascii="Arial" w:hAnsi="Arial" w:cs="Arial"/>
          <w:bCs/>
          <w:lang w:val="en-GB"/>
        </w:rPr>
        <w:t>ation.</w:t>
      </w:r>
    </w:p>
    <w:tbl>
      <w:tblPr>
        <w:tblpPr w:leftFromText="141" w:rightFromText="141" w:horzAnchor="margin" w:tblpXSpec="center" w:tblpY="855"/>
        <w:tblW w:w="9650" w:type="dxa"/>
        <w:tblLayout w:type="fixed"/>
        <w:tblCellMar>
          <w:left w:w="70" w:type="dxa"/>
          <w:right w:w="70" w:type="dxa"/>
        </w:tblCellMar>
        <w:tblLook w:val="0000" w:firstRow="0" w:lastRow="0" w:firstColumn="0" w:lastColumn="0" w:noHBand="0" w:noVBand="0"/>
      </w:tblPr>
      <w:tblGrid>
        <w:gridCol w:w="9650"/>
      </w:tblGrid>
      <w:tr w:rsidR="00D0724D" w:rsidTr="00D841EA">
        <w:trPr>
          <w:cantSplit/>
          <w:trHeight w:val="402"/>
        </w:trPr>
        <w:tc>
          <w:tcPr>
            <w:tcW w:w="2510" w:type="dxa"/>
            <w:vAlign w:val="bottom"/>
          </w:tcPr>
          <w:p w:rsidR="00D0724D" w:rsidRPr="001B46CD" w:rsidRDefault="00D0724D" w:rsidP="00D841EA">
            <w:pPr>
              <w:rPr>
                <w:rFonts w:ascii="Arial" w:hAnsi="Arial" w:cs="Arial"/>
                <w:bCs/>
                <w:lang w:val="en-GB"/>
              </w:rPr>
            </w:pPr>
          </w:p>
        </w:tc>
      </w:tr>
    </w:tbl>
    <w:p w:rsidR="006C3302" w:rsidRDefault="00D0724D" w:rsidP="006C3302">
      <w:pPr>
        <w:spacing w:line="480" w:lineRule="auto"/>
        <w:jc w:val="both"/>
        <w:rPr>
          <w:rFonts w:ascii="Arial" w:hAnsi="Arial" w:cs="Arial"/>
          <w:sz w:val="28"/>
          <w:szCs w:val="28"/>
        </w:rPr>
      </w:pPr>
      <w:r w:rsidRPr="001B46CD">
        <w:rPr>
          <w:rFonts w:ascii="Arial" w:hAnsi="Arial" w:cs="Arial"/>
          <w:bCs/>
          <w:lang w:val="en-GB"/>
        </w:rPr>
        <w:t>, however, considerable formation rates above 75 pmol/min were seen</w:t>
      </w:r>
      <w:r w:rsidRPr="001B46CD">
        <w:rPr>
          <w:rFonts w:ascii="Arial" w:hAnsi="Arial" w:cs="Arial"/>
          <w:b/>
          <w:bCs/>
        </w:rPr>
        <w:t>.</w:t>
      </w:r>
    </w:p>
    <w:p w:rsidR="00D0724D" w:rsidRDefault="00D0724D" w:rsidP="00D0724D">
      <w:pPr>
        <w:spacing w:line="480" w:lineRule="auto"/>
        <w:jc w:val="both"/>
        <w:rPr>
          <w:rFonts w:ascii="Arial" w:hAnsi="Arial" w:cs="Arial"/>
          <w:sz w:val="28"/>
          <w:szCs w:val="28"/>
        </w:rPr>
      </w:pPr>
    </w:p>
    <w:p w:rsidR="00A31884" w:rsidRPr="006C3302" w:rsidRDefault="006C3302" w:rsidP="006C3302">
      <w:pPr>
        <w:spacing w:line="480" w:lineRule="auto"/>
        <w:jc w:val="center"/>
        <w:rPr>
          <w:rFonts w:ascii="Arial" w:hAnsi="Arial" w:cs="Arial"/>
          <w:sz w:val="28"/>
          <w:szCs w:val="28"/>
        </w:rPr>
      </w:pPr>
      <w:r w:rsidRPr="00A31884">
        <w:rPr>
          <w:rFonts w:ascii="Arial" w:hAnsi="Arial" w:cs="Arial"/>
          <w:b/>
          <w:i/>
          <w:noProof/>
          <w:sz w:val="18"/>
          <w:szCs w:val="18"/>
          <w:lang w:val="en-US" w:eastAsia="en-US"/>
        </w:rPr>
        <w:drawing>
          <wp:inline distT="0" distB="0" distL="0" distR="0">
            <wp:extent cx="4886325" cy="2686049"/>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4989293" cy="2742651"/>
                    </a:xfrm>
                    <a:prstGeom prst="rect">
                      <a:avLst/>
                    </a:prstGeom>
                    <a:noFill/>
                  </pic:spPr>
                </pic:pic>
              </a:graphicData>
            </a:graphic>
          </wp:inline>
        </w:drawing>
      </w:r>
      <w:bookmarkStart w:id="1" w:name="_Ref159379459"/>
    </w:p>
    <w:p w:rsidR="00A31884" w:rsidRDefault="00A31884" w:rsidP="00A31884">
      <w:pPr>
        <w:pStyle w:val="Caption"/>
        <w:rPr>
          <w:rFonts w:ascii="Arial" w:hAnsi="Arial" w:cs="Arial"/>
          <w:b/>
          <w:i w:val="0"/>
          <w:sz w:val="18"/>
          <w:szCs w:val="18"/>
          <w:lang w:val="en-GB"/>
        </w:rPr>
      </w:pPr>
      <w:r w:rsidRPr="00E555E1">
        <w:rPr>
          <w:rFonts w:ascii="Arial" w:hAnsi="Arial" w:cs="Arial"/>
          <w:b/>
          <w:i w:val="0"/>
          <w:sz w:val="18"/>
          <w:szCs w:val="18"/>
          <w:lang w:val="en-GB"/>
        </w:rPr>
        <w:t xml:space="preserve">Fig. </w:t>
      </w:r>
      <w:bookmarkEnd w:id="1"/>
      <w:r>
        <w:rPr>
          <w:rFonts w:ascii="Arial" w:hAnsi="Arial" w:cs="Arial"/>
          <w:b/>
          <w:i w:val="0"/>
          <w:sz w:val="18"/>
          <w:szCs w:val="18"/>
          <w:lang w:val="en-GB"/>
        </w:rPr>
        <w:t>2</w:t>
      </w:r>
      <w:r w:rsidRPr="00E555E1">
        <w:rPr>
          <w:rFonts w:ascii="Arial" w:hAnsi="Arial" w:cs="Arial"/>
          <w:b/>
          <w:i w:val="0"/>
          <w:sz w:val="18"/>
          <w:szCs w:val="18"/>
          <w:lang w:val="en-GB"/>
        </w:rPr>
        <w:t>. Inhibition of the metabolism of 4-dimethylaminoantipyrine by characteristic inhibitors of specific CYP enzyme. Extract from human liver microsomes obtained 20 min after incubation with 4-MAA 50 µM with 50 µM from chemical inhibitors was monitored by HPLC analysis. Results are presented as average of duplicate incubations.</w:t>
      </w:r>
    </w:p>
    <w:p w:rsidR="00EB275A" w:rsidRDefault="00EB275A" w:rsidP="00A31884">
      <w:pPr>
        <w:pStyle w:val="Caption"/>
        <w:rPr>
          <w:rFonts w:ascii="Arial" w:hAnsi="Arial" w:cs="Arial"/>
          <w:b/>
          <w:i w:val="0"/>
          <w:sz w:val="18"/>
          <w:szCs w:val="18"/>
          <w:lang w:val="en-GB"/>
        </w:rPr>
      </w:pPr>
    </w:p>
    <w:p w:rsidR="00EB275A" w:rsidRDefault="00EB275A" w:rsidP="00A31884">
      <w:pPr>
        <w:pStyle w:val="Caption"/>
        <w:rPr>
          <w:rFonts w:ascii="Arial" w:hAnsi="Arial" w:cs="Arial"/>
          <w:b/>
          <w:i w:val="0"/>
          <w:sz w:val="18"/>
          <w:szCs w:val="18"/>
          <w:lang w:val="en-GB"/>
        </w:rPr>
      </w:pPr>
    </w:p>
    <w:p w:rsidR="00EB275A" w:rsidRDefault="00EB275A" w:rsidP="00A31884">
      <w:pPr>
        <w:pStyle w:val="Caption"/>
        <w:rPr>
          <w:rFonts w:ascii="Arial" w:hAnsi="Arial" w:cs="Arial"/>
          <w:b/>
          <w:i w:val="0"/>
          <w:sz w:val="18"/>
          <w:szCs w:val="18"/>
          <w:lang w:val="en-GB"/>
        </w:rPr>
      </w:pPr>
    </w:p>
    <w:p w:rsidR="00EB275A" w:rsidRDefault="00EB275A" w:rsidP="00A31884">
      <w:pPr>
        <w:pStyle w:val="Caption"/>
        <w:rPr>
          <w:rFonts w:ascii="Arial" w:hAnsi="Arial" w:cs="Arial"/>
          <w:b/>
          <w:i w:val="0"/>
          <w:sz w:val="18"/>
          <w:szCs w:val="18"/>
          <w:lang w:val="en-GB"/>
        </w:rPr>
      </w:pPr>
    </w:p>
    <w:p w:rsidR="006C3302" w:rsidRDefault="006C3302" w:rsidP="00A31884">
      <w:pPr>
        <w:pStyle w:val="Caption"/>
        <w:rPr>
          <w:rFonts w:ascii="Arial" w:hAnsi="Arial" w:cs="Arial"/>
          <w:b/>
          <w:i w:val="0"/>
          <w:sz w:val="18"/>
          <w:szCs w:val="18"/>
          <w:lang w:val="en-GB"/>
        </w:rPr>
      </w:pPr>
    </w:p>
    <w:p w:rsidR="006C3302" w:rsidRDefault="006C3302" w:rsidP="00A31884">
      <w:pPr>
        <w:pStyle w:val="Caption"/>
        <w:rPr>
          <w:rFonts w:ascii="Arial" w:hAnsi="Arial" w:cs="Arial"/>
          <w:b/>
          <w:i w:val="0"/>
          <w:sz w:val="18"/>
          <w:szCs w:val="18"/>
          <w:lang w:val="en-GB"/>
        </w:rPr>
      </w:pPr>
    </w:p>
    <w:p w:rsidR="006C3302" w:rsidRDefault="006C3302" w:rsidP="00A31884">
      <w:pPr>
        <w:pStyle w:val="Caption"/>
        <w:rPr>
          <w:rFonts w:ascii="Arial" w:hAnsi="Arial" w:cs="Arial"/>
          <w:b/>
          <w:i w:val="0"/>
          <w:sz w:val="18"/>
          <w:szCs w:val="18"/>
          <w:lang w:val="en-GB"/>
        </w:rPr>
      </w:pPr>
    </w:p>
    <w:p w:rsidR="00A31884" w:rsidRPr="0005703C" w:rsidRDefault="00A31884" w:rsidP="00A31884">
      <w:pPr>
        <w:spacing w:line="360" w:lineRule="atLeast"/>
        <w:jc w:val="both"/>
        <w:rPr>
          <w:lang w:val="en-GB"/>
        </w:rPr>
      </w:pPr>
      <w:r>
        <w:rPr>
          <w:lang w:val="en-GB"/>
        </w:rPr>
        <w:t>3</w:t>
      </w:r>
      <w:r>
        <w:rPr>
          <w:noProof/>
          <w:lang w:val="en-US" w:eastAsia="en-US"/>
        </w:rPr>
        <w:drawing>
          <wp:inline distT="0" distB="0" distL="0" distR="0">
            <wp:extent cx="5172075" cy="2676525"/>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5172075" cy="2676525"/>
                    </a:xfrm>
                    <a:prstGeom prst="rect">
                      <a:avLst/>
                    </a:prstGeom>
                    <a:noFill/>
                  </pic:spPr>
                </pic:pic>
              </a:graphicData>
            </a:graphic>
          </wp:inline>
        </w:drawing>
      </w:r>
    </w:p>
    <w:p w:rsidR="00A31884" w:rsidRPr="00E555E1" w:rsidRDefault="00A31884" w:rsidP="00A31884">
      <w:pPr>
        <w:pStyle w:val="Caption"/>
        <w:rPr>
          <w:rFonts w:ascii="Arial" w:hAnsi="Arial" w:cs="Arial"/>
          <w:b/>
          <w:i w:val="0"/>
          <w:sz w:val="18"/>
          <w:szCs w:val="18"/>
          <w:lang w:val="en-GB"/>
        </w:rPr>
      </w:pPr>
      <w:r>
        <w:rPr>
          <w:rFonts w:ascii="Arial" w:hAnsi="Arial" w:cs="Arial"/>
          <w:b/>
          <w:i w:val="0"/>
          <w:sz w:val="18"/>
          <w:szCs w:val="18"/>
          <w:lang w:val="en-GB"/>
        </w:rPr>
        <w:t>Fig. 3</w:t>
      </w:r>
      <w:r w:rsidRPr="00E555E1">
        <w:rPr>
          <w:rFonts w:ascii="Arial" w:hAnsi="Arial" w:cs="Arial"/>
          <w:b/>
          <w:i w:val="0"/>
          <w:sz w:val="18"/>
          <w:szCs w:val="18"/>
          <w:lang w:val="en-GB"/>
        </w:rPr>
        <w:t xml:space="preserve">  Cytochrome P450 isozymes in the in-vitro demethylation of methylaminoantipyrine. MAA was incubated with microsomes expressing human recombinant P450 isozymes (0.6 pmol/µl) for 20 min and the concentration of 4-methylaminoantipyrine was 25, 50, 100, 400, 800 µmol/l. The formation of 4-aminantipyrine AA was monitored by HPLC analysis with UV detection. Results are as average of duplicate incubation.</w:t>
      </w:r>
    </w:p>
    <w:p w:rsidR="00A31884" w:rsidRDefault="00A31884" w:rsidP="00A31884">
      <w:pPr>
        <w:spacing w:line="360" w:lineRule="atLeast"/>
        <w:jc w:val="both"/>
        <w:rPr>
          <w:lang w:val="en-GB"/>
        </w:rPr>
      </w:pPr>
    </w:p>
    <w:p w:rsidR="006C3302" w:rsidRDefault="006C3302" w:rsidP="000C65B8">
      <w:pPr>
        <w:pStyle w:val="Caption"/>
        <w:rPr>
          <w:rFonts w:ascii="Arial" w:hAnsi="Arial" w:cs="Arial"/>
          <w:b/>
          <w:i w:val="0"/>
          <w:sz w:val="18"/>
          <w:szCs w:val="18"/>
          <w:lang w:val="en-GB"/>
        </w:rPr>
      </w:pPr>
    </w:p>
    <w:p w:rsidR="006C3302" w:rsidRDefault="006C3302" w:rsidP="000C65B8">
      <w:pPr>
        <w:pStyle w:val="Caption"/>
        <w:rPr>
          <w:rFonts w:ascii="Arial" w:hAnsi="Arial" w:cs="Arial"/>
          <w:b/>
          <w:i w:val="0"/>
          <w:sz w:val="18"/>
          <w:szCs w:val="18"/>
          <w:lang w:val="en-GB"/>
        </w:rPr>
      </w:pPr>
    </w:p>
    <w:p w:rsidR="006C3302" w:rsidRDefault="006C3302" w:rsidP="000C65B8">
      <w:pPr>
        <w:pStyle w:val="Caption"/>
        <w:rPr>
          <w:rFonts w:ascii="Arial" w:hAnsi="Arial" w:cs="Arial"/>
          <w:b/>
          <w:i w:val="0"/>
          <w:sz w:val="18"/>
          <w:szCs w:val="18"/>
          <w:lang w:val="en-GB"/>
        </w:rPr>
      </w:pPr>
    </w:p>
    <w:p w:rsidR="006C3302" w:rsidRDefault="006C3302" w:rsidP="000C65B8">
      <w:pPr>
        <w:pStyle w:val="Caption"/>
        <w:rPr>
          <w:rFonts w:ascii="Arial" w:hAnsi="Arial" w:cs="Arial"/>
          <w:b/>
          <w:i w:val="0"/>
          <w:sz w:val="18"/>
          <w:szCs w:val="18"/>
          <w:lang w:val="en-GB"/>
        </w:rPr>
      </w:pPr>
    </w:p>
    <w:p w:rsidR="006C3302" w:rsidRDefault="006C3302" w:rsidP="000C65B8">
      <w:pPr>
        <w:pStyle w:val="Caption"/>
        <w:rPr>
          <w:rFonts w:ascii="Arial" w:hAnsi="Arial" w:cs="Arial"/>
          <w:b/>
          <w:i w:val="0"/>
          <w:sz w:val="18"/>
          <w:szCs w:val="18"/>
          <w:lang w:val="en-GB"/>
        </w:rPr>
      </w:pPr>
    </w:p>
    <w:p w:rsidR="006C3302" w:rsidRDefault="006C3302" w:rsidP="000C65B8">
      <w:pPr>
        <w:pStyle w:val="Caption"/>
        <w:rPr>
          <w:rFonts w:ascii="Arial" w:hAnsi="Arial" w:cs="Arial"/>
          <w:b/>
          <w:i w:val="0"/>
          <w:sz w:val="18"/>
          <w:szCs w:val="18"/>
          <w:lang w:val="en-GB"/>
        </w:rPr>
      </w:pPr>
    </w:p>
    <w:p w:rsidR="006C3302" w:rsidRDefault="006C3302" w:rsidP="000C65B8">
      <w:pPr>
        <w:pStyle w:val="Caption"/>
        <w:rPr>
          <w:rFonts w:ascii="Arial" w:hAnsi="Arial" w:cs="Arial"/>
          <w:b/>
          <w:i w:val="0"/>
          <w:sz w:val="18"/>
          <w:szCs w:val="18"/>
          <w:lang w:val="en-GB"/>
        </w:rPr>
      </w:pPr>
    </w:p>
    <w:p w:rsidR="006C3302" w:rsidRPr="00EB275A" w:rsidRDefault="000C65B8" w:rsidP="00EB275A">
      <w:pPr>
        <w:pStyle w:val="Caption"/>
        <w:rPr>
          <w:rFonts w:ascii="Arial" w:hAnsi="Arial" w:cs="Arial"/>
          <w:b/>
          <w:i w:val="0"/>
          <w:sz w:val="18"/>
          <w:szCs w:val="18"/>
          <w:lang w:val="en-GB"/>
        </w:rPr>
      </w:pPr>
      <w:r w:rsidRPr="009A2089">
        <w:rPr>
          <w:rFonts w:ascii="Arial" w:hAnsi="Arial" w:cs="Arial"/>
          <w:b/>
          <w:i w:val="0"/>
          <w:lang w:val="en-GB"/>
        </w:rPr>
        <w:t xml:space="preserve">Tab.1.Inhibition effects of inhibitors on 4-aminoantipyrine formation from methylamino-antipyrine. Extract from human liver microsomes </w:t>
      </w:r>
      <w:proofErr w:type="gramStart"/>
      <w:r w:rsidRPr="009A2089">
        <w:rPr>
          <w:rFonts w:ascii="Arial" w:hAnsi="Arial" w:cs="Arial"/>
          <w:b/>
          <w:i w:val="0"/>
          <w:lang w:val="en-GB"/>
        </w:rPr>
        <w:t>obtained  20</w:t>
      </w:r>
      <w:proofErr w:type="gramEnd"/>
      <w:r w:rsidRPr="009A2089">
        <w:rPr>
          <w:rFonts w:ascii="Arial" w:hAnsi="Arial" w:cs="Arial"/>
          <w:b/>
          <w:i w:val="0"/>
          <w:lang w:val="en-GB"/>
        </w:rPr>
        <w:t xml:space="preserve"> min  after incubation with 4-MAA </w:t>
      </w:r>
      <w:r w:rsidR="00CD4963" w:rsidRPr="009A2089">
        <w:rPr>
          <w:rFonts w:ascii="Arial" w:hAnsi="Arial" w:cs="Arial"/>
          <w:b/>
          <w:i w:val="0"/>
          <w:lang w:val="en-GB"/>
        </w:rPr>
        <w:t>50 µmol/l with 50 µM from chemical inhibitors was monitored by HPLC analysis. Results are presented as average of duplicate incubations.</w:t>
      </w:r>
    </w:p>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tbl>
      <w:tblPr>
        <w:tblpPr w:leftFromText="141" w:rightFromText="141" w:vertAnchor="page" w:horzAnchor="margin" w:tblpY="3781"/>
        <w:tblW w:w="8011" w:type="dxa"/>
        <w:tblCellMar>
          <w:left w:w="70" w:type="dxa"/>
          <w:right w:w="70" w:type="dxa"/>
        </w:tblCellMar>
        <w:tblLook w:val="0000" w:firstRow="0" w:lastRow="0" w:firstColumn="0" w:lastColumn="0" w:noHBand="0" w:noVBand="0"/>
      </w:tblPr>
      <w:tblGrid>
        <w:gridCol w:w="1030"/>
        <w:gridCol w:w="2442"/>
        <w:gridCol w:w="1134"/>
        <w:gridCol w:w="1701"/>
        <w:gridCol w:w="1704"/>
      </w:tblGrid>
      <w:tr w:rsidR="00EB275A" w:rsidRPr="0005703C" w:rsidTr="00EB275A">
        <w:trPr>
          <w:trHeight w:val="372"/>
        </w:trPr>
        <w:tc>
          <w:tcPr>
            <w:tcW w:w="10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Enzyme</w:t>
            </w:r>
          </w:p>
        </w:tc>
        <w:tc>
          <w:tcPr>
            <w:tcW w:w="2442" w:type="dxa"/>
            <w:tcBorders>
              <w:top w:val="single" w:sz="4" w:space="0" w:color="auto"/>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Vmax pmol/pmolCYP/min</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Km µ mol/l</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 xml:space="preserve">Cl-int µl/min/pmol </w:t>
            </w:r>
          </w:p>
        </w:tc>
        <w:tc>
          <w:tcPr>
            <w:tcW w:w="1704" w:type="dxa"/>
            <w:tcBorders>
              <w:top w:val="single" w:sz="4" w:space="0" w:color="auto"/>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Cl- extrapolate l/min</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FFFFFF"/>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CYP2C19</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11</w:t>
            </w:r>
          </w:p>
        </w:tc>
        <w:tc>
          <w:tcPr>
            <w:tcW w:w="1134" w:type="dxa"/>
            <w:tcBorders>
              <w:top w:val="nil"/>
              <w:left w:val="nil"/>
              <w:bottom w:val="single" w:sz="4" w:space="0" w:color="auto"/>
              <w:right w:val="single" w:sz="4" w:space="0" w:color="auto"/>
            </w:tcBorders>
            <w:shd w:val="clear" w:color="auto" w:fill="FFFFFF"/>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293</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0.038</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2.253</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CYP2D6</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3.7</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138</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0.027</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0.269</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CYP1A2</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8.1</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317</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0.026</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1.199</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CYP1A1</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2.6</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150</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0.017</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0.465</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CYP2C8</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4</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245</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0.016</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0.413</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CYP2A6</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3.8</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260</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0.015</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0.588</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CYP2E1</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2.3</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169</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0.014</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0.510</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CYP3A7</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2.2</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177</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0.012</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1.790</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CYP1B1</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1.4</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115</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0.012</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0.614</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CYP2C9</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2.2</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216</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0.010</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0.031</w:t>
            </w:r>
          </w:p>
        </w:tc>
      </w:tr>
      <w:tr w:rsidR="00EB275A" w:rsidRPr="0005703C" w:rsidTr="00EB275A">
        <w:trPr>
          <w:trHeight w:val="372"/>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CYP3A5</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1.5</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263</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0.006</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0.012</w:t>
            </w:r>
          </w:p>
        </w:tc>
      </w:tr>
      <w:tr w:rsidR="00EB275A" w:rsidRPr="0005703C" w:rsidTr="00EB275A">
        <w:trPr>
          <w:trHeight w:val="70"/>
        </w:trPr>
        <w:tc>
          <w:tcPr>
            <w:tcW w:w="1030" w:type="dxa"/>
            <w:tcBorders>
              <w:top w:val="nil"/>
              <w:left w:val="single" w:sz="4" w:space="0" w:color="auto"/>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CYP3A4</w:t>
            </w:r>
          </w:p>
        </w:tc>
        <w:tc>
          <w:tcPr>
            <w:tcW w:w="2442"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1.6</w:t>
            </w:r>
          </w:p>
        </w:tc>
        <w:tc>
          <w:tcPr>
            <w:tcW w:w="113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315</w:t>
            </w:r>
          </w:p>
        </w:tc>
        <w:tc>
          <w:tcPr>
            <w:tcW w:w="1701"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0.005</w:t>
            </w:r>
          </w:p>
        </w:tc>
        <w:tc>
          <w:tcPr>
            <w:tcW w:w="1704" w:type="dxa"/>
            <w:tcBorders>
              <w:top w:val="nil"/>
              <w:left w:val="nil"/>
              <w:bottom w:val="single" w:sz="4" w:space="0" w:color="auto"/>
              <w:right w:val="single" w:sz="4" w:space="0" w:color="auto"/>
            </w:tcBorders>
            <w:shd w:val="clear" w:color="auto" w:fill="auto"/>
            <w:noWrap/>
            <w:vAlign w:val="bottom"/>
          </w:tcPr>
          <w:p w:rsidR="00EB275A" w:rsidRPr="00DE2669" w:rsidRDefault="00EB275A" w:rsidP="00EB275A">
            <w:pPr>
              <w:suppressAutoHyphens w:val="0"/>
              <w:rPr>
                <w:rFonts w:ascii="Arial" w:hAnsi="Arial" w:cs="Arial"/>
                <w:sz w:val="20"/>
                <w:szCs w:val="20"/>
                <w:lang w:eastAsia="de-DE"/>
              </w:rPr>
            </w:pPr>
            <w:r w:rsidRPr="00DE2669">
              <w:rPr>
                <w:rFonts w:ascii="Arial" w:hAnsi="Arial" w:cs="Arial"/>
                <w:sz w:val="20"/>
                <w:szCs w:val="20"/>
                <w:lang w:eastAsia="de-DE"/>
              </w:rPr>
              <w:t>0.009</w:t>
            </w:r>
          </w:p>
        </w:tc>
      </w:tr>
    </w:tbl>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p w:rsidR="006C3302" w:rsidRDefault="006C3302" w:rsidP="000C65B8">
      <w:pPr>
        <w:pStyle w:val="Caption"/>
        <w:rPr>
          <w:rFonts w:ascii="Arial" w:hAnsi="Arial" w:cs="Arial"/>
          <w:b/>
          <w:i w:val="0"/>
          <w:lang w:val="en-GB"/>
        </w:rPr>
      </w:pPr>
    </w:p>
    <w:p w:rsidR="009854E6" w:rsidRDefault="009854E6" w:rsidP="00A31884">
      <w:pPr>
        <w:rPr>
          <w:lang w:val="en-US"/>
        </w:rPr>
      </w:pPr>
    </w:p>
    <w:p w:rsidR="009854E6" w:rsidRDefault="009854E6" w:rsidP="00A31884">
      <w:pPr>
        <w:rPr>
          <w:lang w:val="en-US"/>
        </w:rPr>
      </w:pPr>
    </w:p>
    <w:p w:rsidR="009854E6" w:rsidRDefault="009854E6"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B275A" w:rsidRDefault="00EB275A"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242DD" w:rsidRDefault="00E242DD" w:rsidP="00A31884">
      <w:pPr>
        <w:rPr>
          <w:lang w:val="en-US"/>
        </w:rPr>
      </w:pPr>
    </w:p>
    <w:p w:rsidR="00EB275A" w:rsidRDefault="00EB275A" w:rsidP="00A31884">
      <w:pPr>
        <w:rPr>
          <w:lang w:val="en-US"/>
        </w:rPr>
      </w:pPr>
    </w:p>
    <w:p w:rsidR="00A31884" w:rsidRDefault="00A31884" w:rsidP="00A31884">
      <w:pPr>
        <w:rPr>
          <w:lang w:val="en-US"/>
        </w:rPr>
      </w:pPr>
    </w:p>
    <w:p w:rsidR="00CD4963" w:rsidRDefault="00A31884" w:rsidP="00CD4963">
      <w:pPr>
        <w:pStyle w:val="Caption"/>
        <w:jc w:val="both"/>
        <w:rPr>
          <w:rFonts w:ascii="Arial" w:hAnsi="Arial" w:cs="Arial"/>
          <w:b/>
          <w:i w:val="0"/>
          <w:lang w:val="en-GB" w:eastAsia="de-DE"/>
        </w:rPr>
      </w:pPr>
      <w:r>
        <w:rPr>
          <w:rFonts w:ascii="Arial" w:hAnsi="Arial" w:cs="Arial"/>
          <w:b/>
          <w:i w:val="0"/>
          <w:lang w:val="en-GB" w:eastAsia="de-DE"/>
        </w:rPr>
        <w:t>Tab. 2</w:t>
      </w:r>
    </w:p>
    <w:p w:rsidR="00A31884" w:rsidRPr="009A2089" w:rsidRDefault="00A31884" w:rsidP="00A31884">
      <w:pPr>
        <w:pStyle w:val="Caption"/>
        <w:jc w:val="both"/>
        <w:rPr>
          <w:rFonts w:ascii="Arial" w:hAnsi="Arial" w:cs="Arial"/>
          <w:b/>
          <w:lang w:val="en-GB" w:eastAsia="de-DE"/>
        </w:rPr>
      </w:pPr>
      <w:r>
        <w:rPr>
          <w:rFonts w:ascii="Arial" w:hAnsi="Arial" w:cs="Arial"/>
          <w:b/>
          <w:i w:val="0"/>
          <w:lang w:val="en-GB" w:eastAsia="de-DE"/>
        </w:rPr>
        <w:t xml:space="preserve"> </w:t>
      </w:r>
      <w:r w:rsidRPr="009A2089">
        <w:rPr>
          <w:rFonts w:ascii="Arial" w:hAnsi="Arial" w:cs="Arial"/>
          <w:b/>
          <w:i w:val="0"/>
          <w:lang w:val="en-GB" w:eastAsia="de-DE"/>
        </w:rPr>
        <w:t xml:space="preserve">Enzyme kinetic parameters for metamizole demethylation by cytochrome P450. The metamizole concentration range varied from 25 to 800 µM. The concentration of baculovirus-expressed enzymes was 0.6 pmol/µl. All data </w:t>
      </w:r>
      <w:r w:rsidRPr="009A2089">
        <w:rPr>
          <w:rFonts w:ascii="Arial" w:hAnsi="Arial" w:cs="Arial"/>
          <w:b/>
          <w:lang w:val="en-GB" w:eastAsia="de-DE"/>
        </w:rPr>
        <w:t>represent the mean of minimally two experiments.</w:t>
      </w:r>
    </w:p>
    <w:p w:rsidR="00A31884" w:rsidRPr="00A31884" w:rsidRDefault="00A31884" w:rsidP="003712B7">
      <w:pPr>
        <w:tabs>
          <w:tab w:val="left" w:pos="5812"/>
          <w:tab w:val="left" w:pos="6379"/>
        </w:tabs>
        <w:rPr>
          <w:lang w:val="en-GB"/>
        </w:rPr>
      </w:pPr>
    </w:p>
    <w:tbl>
      <w:tblPr>
        <w:tblStyle w:val="TableGrid"/>
        <w:tblpPr w:leftFromText="180" w:rightFromText="180" w:vertAnchor="text" w:horzAnchor="margin" w:tblpY="185"/>
        <w:tblW w:w="6400" w:type="dxa"/>
        <w:tblLook w:val="04A0" w:firstRow="1" w:lastRow="0" w:firstColumn="1" w:lastColumn="0" w:noHBand="0" w:noVBand="1"/>
      </w:tblPr>
      <w:tblGrid>
        <w:gridCol w:w="2322"/>
        <w:gridCol w:w="1505"/>
        <w:gridCol w:w="1384"/>
        <w:gridCol w:w="1189"/>
      </w:tblGrid>
      <w:tr w:rsidR="003712B7" w:rsidRPr="003712B7" w:rsidTr="003712B7">
        <w:tc>
          <w:tcPr>
            <w:tcW w:w="2322" w:type="dxa"/>
          </w:tcPr>
          <w:p w:rsidR="003712B7" w:rsidRPr="003712B7" w:rsidRDefault="003712B7" w:rsidP="003712B7">
            <w:pPr>
              <w:spacing w:line="276" w:lineRule="auto"/>
              <w:jc w:val="both"/>
              <w:rPr>
                <w:rFonts w:asciiTheme="minorBidi" w:hAnsiTheme="minorBidi" w:cstheme="minorBidi"/>
                <w:b/>
                <w:bCs/>
                <w:lang w:val="en-US"/>
              </w:rPr>
            </w:pPr>
            <w:r w:rsidRPr="003712B7">
              <w:rPr>
                <w:rFonts w:asciiTheme="minorBidi" w:hAnsiTheme="minorBidi" w:cstheme="minorBidi"/>
                <w:b/>
                <w:bCs/>
                <w:lang w:val="en-US"/>
              </w:rPr>
              <w:t>inhibitoris</w:t>
            </w:r>
          </w:p>
        </w:tc>
        <w:tc>
          <w:tcPr>
            <w:tcW w:w="1505" w:type="dxa"/>
          </w:tcPr>
          <w:p w:rsidR="003712B7" w:rsidRPr="003712B7" w:rsidRDefault="003712B7" w:rsidP="003712B7">
            <w:pPr>
              <w:spacing w:line="276" w:lineRule="auto"/>
              <w:jc w:val="both"/>
              <w:rPr>
                <w:rFonts w:asciiTheme="minorBidi" w:hAnsiTheme="minorBidi" w:cstheme="minorBidi"/>
                <w:b/>
                <w:bCs/>
                <w:lang w:val="en-US"/>
              </w:rPr>
            </w:pPr>
            <w:r w:rsidRPr="003712B7">
              <w:rPr>
                <w:rFonts w:asciiTheme="minorBidi" w:hAnsiTheme="minorBidi" w:cstheme="minorBidi"/>
                <w:b/>
                <w:bCs/>
                <w:lang w:val="en-US"/>
              </w:rPr>
              <w:t>% inhibition</w:t>
            </w:r>
          </w:p>
        </w:tc>
        <w:tc>
          <w:tcPr>
            <w:tcW w:w="1384" w:type="dxa"/>
          </w:tcPr>
          <w:p w:rsidR="003712B7" w:rsidRPr="003712B7" w:rsidRDefault="00E242DD" w:rsidP="003712B7">
            <w:pPr>
              <w:spacing w:line="276" w:lineRule="auto"/>
              <w:jc w:val="both"/>
              <w:rPr>
                <w:rFonts w:asciiTheme="minorBidi" w:hAnsiTheme="minorBidi" w:cstheme="minorBidi"/>
                <w:b/>
                <w:bCs/>
                <w:lang w:val="en-US"/>
              </w:rPr>
            </w:pPr>
            <w:r>
              <w:rPr>
                <w:rFonts w:asciiTheme="minorBidi" w:hAnsiTheme="minorBidi" w:cstheme="minorBidi"/>
                <w:b/>
                <w:bCs/>
                <w:lang w:val="en-US"/>
              </w:rPr>
              <w:t>K</w:t>
            </w:r>
            <w:r w:rsidR="003712B7" w:rsidRPr="003712B7">
              <w:rPr>
                <w:rFonts w:asciiTheme="minorBidi" w:hAnsiTheme="minorBidi" w:cstheme="minorBidi"/>
                <w:b/>
                <w:bCs/>
                <w:lang w:val="en-US"/>
              </w:rPr>
              <w:t>i</w:t>
            </w:r>
          </w:p>
        </w:tc>
        <w:tc>
          <w:tcPr>
            <w:tcW w:w="1189" w:type="dxa"/>
          </w:tcPr>
          <w:p w:rsidR="003712B7" w:rsidRPr="003712B7" w:rsidRDefault="003712B7" w:rsidP="003712B7">
            <w:pPr>
              <w:spacing w:line="276" w:lineRule="auto"/>
              <w:jc w:val="both"/>
              <w:rPr>
                <w:rFonts w:asciiTheme="minorBidi" w:hAnsiTheme="minorBidi" w:cstheme="minorBidi"/>
                <w:b/>
                <w:bCs/>
                <w:lang w:val="en-US"/>
              </w:rPr>
            </w:pPr>
            <w:r w:rsidRPr="003712B7">
              <w:rPr>
                <w:rFonts w:asciiTheme="minorBidi" w:hAnsiTheme="minorBidi" w:cstheme="minorBidi"/>
                <w:b/>
                <w:bCs/>
                <w:lang w:val="en-US"/>
              </w:rPr>
              <w:t>IC50mM</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Omeprayole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51.09</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0.06</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0.07</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Fluvoxamine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57.12</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0.o6</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0.07</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Trancylcpromine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50.32</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0.15</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0.18</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Coumarin</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31.86</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0.66</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0.79</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sulphphenayole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25.06</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1.oo</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1.20</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Ketocobayole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27.95</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1.13</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1.36</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Moclobemide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43.24</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1.20</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1.44</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Quinidine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11.35</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2.88</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3.46</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Alpha-naphthoflavone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18.65</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3.90</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4.68</w:t>
            </w:r>
          </w:p>
        </w:tc>
      </w:tr>
      <w:tr w:rsidR="003712B7" w:rsidRPr="003712B7" w:rsidTr="003712B7">
        <w:tc>
          <w:tcPr>
            <w:tcW w:w="2322"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Furafyline</w:t>
            </w:r>
          </w:p>
        </w:tc>
        <w:tc>
          <w:tcPr>
            <w:tcW w:w="1505"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16.09</w:t>
            </w:r>
          </w:p>
        </w:tc>
        <w:tc>
          <w:tcPr>
            <w:tcW w:w="1384"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7.01</w:t>
            </w:r>
          </w:p>
        </w:tc>
        <w:tc>
          <w:tcPr>
            <w:tcW w:w="1189" w:type="dxa"/>
          </w:tcPr>
          <w:p w:rsidR="003712B7" w:rsidRPr="003712B7" w:rsidRDefault="003712B7" w:rsidP="003712B7">
            <w:pPr>
              <w:spacing w:line="276" w:lineRule="auto"/>
              <w:rPr>
                <w:rFonts w:asciiTheme="minorBidi" w:hAnsiTheme="minorBidi" w:cstheme="minorBidi"/>
                <w:b/>
                <w:bCs/>
                <w:lang w:val="en-US"/>
              </w:rPr>
            </w:pPr>
            <w:r w:rsidRPr="003712B7">
              <w:rPr>
                <w:rFonts w:asciiTheme="minorBidi" w:hAnsiTheme="minorBidi" w:cstheme="minorBidi"/>
                <w:b/>
                <w:bCs/>
                <w:lang w:val="en-US"/>
              </w:rPr>
              <w:t>8.41</w:t>
            </w:r>
          </w:p>
        </w:tc>
      </w:tr>
    </w:tbl>
    <w:p w:rsidR="00A31884" w:rsidRDefault="00A31884" w:rsidP="00A31884">
      <w:pPr>
        <w:rPr>
          <w:lang w:val="en-US"/>
        </w:rPr>
      </w:pPr>
    </w:p>
    <w:p w:rsidR="00A31884" w:rsidRDefault="00A31884" w:rsidP="00A31884">
      <w:pPr>
        <w:rPr>
          <w:lang w:val="en-US"/>
        </w:rPr>
      </w:pPr>
    </w:p>
    <w:p w:rsidR="00D0724D" w:rsidRDefault="00D0724D" w:rsidP="00A31884">
      <w:pPr>
        <w:rPr>
          <w:lang w:val="en-US"/>
        </w:rPr>
      </w:pPr>
    </w:p>
    <w:p w:rsidR="000C65B8" w:rsidRDefault="000C65B8" w:rsidP="00A31884">
      <w:pPr>
        <w:rPr>
          <w:lang w:val="en-US"/>
        </w:rPr>
      </w:pPr>
    </w:p>
    <w:p w:rsidR="000C65B8" w:rsidRPr="00CD4963" w:rsidRDefault="000C65B8" w:rsidP="00CD4963">
      <w:pPr>
        <w:spacing w:line="480" w:lineRule="auto"/>
        <w:jc w:val="center"/>
        <w:rPr>
          <w:rFonts w:ascii="Arial" w:hAnsi="Arial" w:cs="Arial"/>
          <w:sz w:val="36"/>
          <w:szCs w:val="36"/>
        </w:rPr>
      </w:pPr>
    </w:p>
    <w:p w:rsidR="003712B7" w:rsidRDefault="003712B7" w:rsidP="00CD4963">
      <w:pPr>
        <w:spacing w:line="480" w:lineRule="auto"/>
        <w:jc w:val="center"/>
        <w:rPr>
          <w:rFonts w:ascii="Arial" w:hAnsi="Arial" w:cs="Arial"/>
          <w:b/>
          <w:sz w:val="36"/>
          <w:szCs w:val="36"/>
          <w:lang w:val="en-GB"/>
        </w:rPr>
      </w:pPr>
    </w:p>
    <w:p w:rsidR="003712B7" w:rsidRDefault="003712B7" w:rsidP="00CD4963">
      <w:pPr>
        <w:spacing w:line="480" w:lineRule="auto"/>
        <w:jc w:val="center"/>
        <w:rPr>
          <w:rFonts w:ascii="Arial" w:hAnsi="Arial" w:cs="Arial"/>
          <w:b/>
          <w:sz w:val="36"/>
          <w:szCs w:val="36"/>
          <w:lang w:val="en-GB"/>
        </w:rPr>
      </w:pPr>
    </w:p>
    <w:p w:rsidR="003712B7" w:rsidRDefault="003712B7" w:rsidP="00CD4963">
      <w:pPr>
        <w:spacing w:line="480" w:lineRule="auto"/>
        <w:jc w:val="center"/>
        <w:rPr>
          <w:rFonts w:ascii="Arial" w:hAnsi="Arial" w:cs="Arial"/>
          <w:b/>
          <w:sz w:val="36"/>
          <w:szCs w:val="36"/>
          <w:lang w:val="en-GB"/>
        </w:rPr>
      </w:pPr>
    </w:p>
    <w:p w:rsidR="003712B7" w:rsidRDefault="003712B7" w:rsidP="00CD4963">
      <w:pPr>
        <w:spacing w:line="480" w:lineRule="auto"/>
        <w:jc w:val="center"/>
        <w:rPr>
          <w:rFonts w:ascii="Arial" w:hAnsi="Arial" w:cs="Arial"/>
          <w:b/>
          <w:sz w:val="36"/>
          <w:szCs w:val="36"/>
          <w:lang w:val="en-GB"/>
        </w:rPr>
      </w:pPr>
    </w:p>
    <w:p w:rsidR="003712B7" w:rsidRDefault="003712B7" w:rsidP="00CD4963">
      <w:pPr>
        <w:spacing w:line="480" w:lineRule="auto"/>
        <w:jc w:val="center"/>
        <w:rPr>
          <w:rFonts w:ascii="Arial" w:hAnsi="Arial" w:cs="Arial"/>
          <w:b/>
          <w:sz w:val="36"/>
          <w:szCs w:val="36"/>
          <w:lang w:val="en-GB"/>
        </w:rPr>
      </w:pPr>
    </w:p>
    <w:p w:rsidR="00EB275A" w:rsidRDefault="00EB275A" w:rsidP="00CD4963">
      <w:pPr>
        <w:spacing w:line="480" w:lineRule="auto"/>
        <w:jc w:val="center"/>
        <w:rPr>
          <w:rFonts w:ascii="Arial" w:hAnsi="Arial" w:cs="Arial"/>
          <w:b/>
          <w:sz w:val="36"/>
          <w:szCs w:val="36"/>
          <w:lang w:val="en-GB"/>
        </w:rPr>
      </w:pPr>
    </w:p>
    <w:p w:rsidR="000C65B8" w:rsidRPr="00CD4963" w:rsidRDefault="000C65B8" w:rsidP="00CD4963">
      <w:pPr>
        <w:spacing w:line="480" w:lineRule="auto"/>
        <w:jc w:val="center"/>
        <w:rPr>
          <w:rFonts w:ascii="Arial" w:hAnsi="Arial" w:cs="Arial"/>
          <w:b/>
          <w:sz w:val="36"/>
          <w:szCs w:val="36"/>
          <w:lang w:val="en-GB"/>
        </w:rPr>
      </w:pPr>
      <w:r w:rsidRPr="00CD4963">
        <w:rPr>
          <w:rFonts w:ascii="Arial" w:hAnsi="Arial" w:cs="Arial"/>
          <w:b/>
          <w:sz w:val="36"/>
          <w:szCs w:val="36"/>
          <w:lang w:val="en-GB"/>
        </w:rPr>
        <w:t>Discussion</w:t>
      </w:r>
    </w:p>
    <w:p w:rsidR="000C65B8" w:rsidRPr="001B46CD" w:rsidRDefault="000C65B8" w:rsidP="000C65B8">
      <w:pPr>
        <w:spacing w:line="480" w:lineRule="auto"/>
        <w:jc w:val="both"/>
        <w:rPr>
          <w:rFonts w:ascii="Arial" w:hAnsi="Arial" w:cs="Arial"/>
          <w:lang w:val="en-GB"/>
        </w:rPr>
      </w:pPr>
      <w:r w:rsidRPr="001B46CD">
        <w:rPr>
          <w:rFonts w:ascii="Arial" w:hAnsi="Arial" w:cs="Arial"/>
          <w:lang w:val="en-GB"/>
        </w:rPr>
        <w:t xml:space="preserve"> (shimada  </w:t>
      </w:r>
      <w:proofErr w:type="gramStart"/>
      <w:r w:rsidRPr="001B46CD">
        <w:rPr>
          <w:rFonts w:ascii="Arial" w:hAnsi="Arial" w:cs="Arial"/>
          <w:lang w:val="en-GB"/>
        </w:rPr>
        <w:t xml:space="preserve">  )</w:t>
      </w:r>
      <w:proofErr w:type="gramEnd"/>
      <w:r w:rsidRPr="001B46CD">
        <w:rPr>
          <w:rFonts w:ascii="Arial" w:hAnsi="Arial" w:cs="Arial"/>
          <w:lang w:val="en-GB"/>
        </w:rPr>
        <w:t xml:space="preserve"> the major from being CYP2C9 followed by CYP2C19 and CYP2C8 (Stormer et al., 2000)CGoldstein  1994).Our results from the inhibition study indicated the omeprazole, fluvoxamine and tranylcypromine are highly potent selective inhibitors of CYP2C19.  Also in other studies as ratio (Salsali et al., 2004) and (Hemeryck and Belpaire, 2002) have been high affinity site of 4-metylaminoantipyrine demethylation and with coumarin (Ki=46.18 µM) at the low affinity site of 4-metylaminoantipyrine demethylation respectively. Quinidine had relatively small effect on the metabolite formation rate at the low affinity and very weak affinity was a</w:t>
      </w:r>
      <w:r w:rsidR="00E242DD">
        <w:rPr>
          <w:rFonts w:ascii="Arial" w:hAnsi="Arial" w:cs="Arial"/>
          <w:lang w:val="en-GB"/>
        </w:rPr>
        <w:t>lpha-naphthoflavone (Ki =3.90Table. 2</w:t>
      </w:r>
      <w:r w:rsidRPr="001B46CD">
        <w:rPr>
          <w:rFonts w:ascii="Arial" w:hAnsi="Arial" w:cs="Arial"/>
          <w:lang w:val="en-GB"/>
        </w:rPr>
        <w:t>). The overall results from human liver microsomes incubation experiments with inhibitors and without inhibitors.  The Vmax and Km parameters studies indicated the CYP2C19 was responsible primarily for the metabolism of 4-methylaminantipyrine. This was evidenced by the ability of CYP2C19 to catalyze the reactions comprising the metabolic pathway of 4-methylaminatipyrine. The strong Inhibition observed with human liver microsomes when tranylcypromine, omeprazole and fluvoxamine were used as inhibitors (fig. 3). To determine the CYP reaction phenotype of 4-methylaminoantipyrine microsomes expressing individual recombinant human CYP (CYP1A2, CYP1A1, CYP2C19, CYP2A6, CYP2D6, CYP3A4, CYP3A5, CYP3A7, CYP2C8, CYP2C9 and CYP2E1). Were incubated with different five concentrations from 4-methylaminoantipyrine.</w:t>
      </w:r>
    </w:p>
    <w:p w:rsidR="000C65B8" w:rsidRPr="001B46CD" w:rsidRDefault="000C65B8" w:rsidP="000C65B8">
      <w:pPr>
        <w:spacing w:line="480" w:lineRule="auto"/>
        <w:jc w:val="both"/>
        <w:rPr>
          <w:rFonts w:ascii="Arial" w:hAnsi="Arial" w:cs="Arial"/>
          <w:lang w:val="en-GB"/>
        </w:rPr>
      </w:pPr>
      <w:r w:rsidRPr="001B46CD">
        <w:rPr>
          <w:rFonts w:ascii="Arial" w:hAnsi="Arial" w:cs="Arial"/>
          <w:lang w:val="en-GB"/>
        </w:rPr>
        <w:t xml:space="preserve">Under these condition </w:t>
      </w:r>
      <w:proofErr w:type="gramStart"/>
      <w:r w:rsidRPr="001B46CD">
        <w:rPr>
          <w:rFonts w:ascii="Arial" w:hAnsi="Arial" w:cs="Arial"/>
          <w:lang w:val="en-GB"/>
        </w:rPr>
        <w:t>the  highest</w:t>
      </w:r>
      <w:proofErr w:type="gramEnd"/>
      <w:r w:rsidRPr="001B46CD">
        <w:rPr>
          <w:rFonts w:ascii="Arial" w:hAnsi="Arial" w:cs="Arial"/>
          <w:lang w:val="en-GB"/>
        </w:rPr>
        <w:t xml:space="preserve">  formation rate of 4-aminoantipyrine was observed with CYP2C19 (.  High affinity site with a Km </w:t>
      </w:r>
      <w:proofErr w:type="gramStart"/>
      <w:r w:rsidRPr="001B46CD">
        <w:rPr>
          <w:rFonts w:ascii="Arial" w:hAnsi="Arial" w:cs="Arial"/>
          <w:lang w:val="en-GB"/>
        </w:rPr>
        <w:t>of  (</w:t>
      </w:r>
      <w:proofErr w:type="gramEnd"/>
      <w:r w:rsidRPr="001B46CD">
        <w:rPr>
          <w:rFonts w:ascii="Arial" w:hAnsi="Arial" w:cs="Arial"/>
          <w:lang w:val="en-GB"/>
        </w:rPr>
        <w:t>79.69 µml/l). CYP2C19 had the highest catalytic efficiency (intrinsic clearance, V</w:t>
      </w:r>
      <w:r w:rsidRPr="001B46CD">
        <w:rPr>
          <w:rFonts w:ascii="Arial" w:hAnsi="Arial" w:cs="Arial"/>
          <w:vertAlign w:val="subscript"/>
          <w:lang w:val="en-GB"/>
        </w:rPr>
        <w:t>max</w:t>
      </w:r>
      <w:r w:rsidRPr="001B46CD">
        <w:rPr>
          <w:rFonts w:ascii="Arial" w:hAnsi="Arial" w:cs="Arial"/>
          <w:lang w:val="en-GB"/>
        </w:rPr>
        <w:t>/ K</w:t>
      </w:r>
      <w:r w:rsidRPr="001B46CD">
        <w:rPr>
          <w:rFonts w:ascii="Arial" w:hAnsi="Arial" w:cs="Arial"/>
          <w:vertAlign w:val="subscript"/>
          <w:lang w:val="en-GB"/>
        </w:rPr>
        <w:t>m</w:t>
      </w:r>
      <w:r w:rsidRPr="001B46CD">
        <w:rPr>
          <w:rFonts w:ascii="Arial" w:hAnsi="Arial" w:cs="Arial"/>
          <w:lang w:val="en-GB"/>
        </w:rPr>
        <w:t xml:space="preserve">) </w:t>
      </w:r>
      <w:r w:rsidRPr="001B46CD">
        <w:rPr>
          <w:rFonts w:ascii="Arial" w:hAnsi="Arial" w:cs="Arial"/>
          <w:b/>
          <w:lang w:val="en-GB"/>
        </w:rPr>
        <w:t>(</w:t>
      </w:r>
      <w:r w:rsidRPr="001B46CD">
        <w:rPr>
          <w:rFonts w:ascii="Arial" w:hAnsi="Arial" w:cs="Arial"/>
          <w:lang w:val="en-GB"/>
        </w:rPr>
        <w:t>± S.D) of measurements</w:t>
      </w:r>
    </w:p>
    <w:p w:rsidR="000C65B8" w:rsidRDefault="00BF4034" w:rsidP="000C65B8">
      <w:pPr>
        <w:jc w:val="both"/>
        <w:rPr>
          <w:noProof/>
          <w:lang w:val="en-US" w:eastAsia="en-US"/>
        </w:rPr>
      </w:pPr>
      <w:r>
        <w:rPr>
          <w:rFonts w:ascii="Arial" w:hAnsi="Arial" w:cs="Arial"/>
          <w:lang w:val="en-GB"/>
        </w:rPr>
        <w:t>(Tab. 1</w:t>
      </w:r>
      <w:r w:rsidR="000C65B8" w:rsidRPr="001B46CD">
        <w:rPr>
          <w:rFonts w:ascii="Arial" w:hAnsi="Arial" w:cs="Arial"/>
          <w:lang w:val="en-GB"/>
        </w:rPr>
        <w:t xml:space="preserve">). CYP1A2 is the low affinity site and after repeated incubation with CYP1A1, </w:t>
      </w:r>
    </w:p>
    <w:p w:rsidR="000C65B8" w:rsidRPr="001B46CD" w:rsidRDefault="000C65B8" w:rsidP="000C65B8">
      <w:pPr>
        <w:spacing w:line="480" w:lineRule="auto"/>
        <w:jc w:val="both"/>
        <w:rPr>
          <w:rFonts w:ascii="Arial" w:hAnsi="Arial" w:cs="Arial"/>
          <w:lang w:val="en-GB"/>
        </w:rPr>
      </w:pPr>
    </w:p>
    <w:p w:rsidR="000C65B8" w:rsidRPr="00C72C76" w:rsidRDefault="000C65B8" w:rsidP="00C72C76">
      <w:pPr>
        <w:spacing w:line="480" w:lineRule="auto"/>
        <w:jc w:val="both"/>
        <w:rPr>
          <w:rFonts w:ascii="Arial" w:hAnsi="Arial" w:cs="Arial"/>
          <w:sz w:val="22"/>
          <w:szCs w:val="22"/>
          <w:lang w:val="en-GB"/>
        </w:rPr>
      </w:pPr>
      <w:r w:rsidRPr="001B46CD">
        <w:rPr>
          <w:rFonts w:ascii="Arial" w:hAnsi="Arial" w:cs="Arial"/>
          <w:lang w:val="en-GB"/>
        </w:rPr>
        <w:t xml:space="preserve">CYP1A2 and CYP2C19 the CYP2C19 is high affinity site a similar effect was observedin the all incubation in the present studies. In </w:t>
      </w:r>
      <w:proofErr w:type="gramStart"/>
      <w:r w:rsidRPr="001B46CD">
        <w:rPr>
          <w:rFonts w:ascii="Arial" w:hAnsi="Arial" w:cs="Arial"/>
          <w:lang w:val="en-GB"/>
        </w:rPr>
        <w:t>conclusion ,</w:t>
      </w:r>
      <w:proofErr w:type="gramEnd"/>
      <w:r w:rsidRPr="001B46CD">
        <w:rPr>
          <w:rFonts w:ascii="Arial" w:hAnsi="Arial" w:cs="Arial"/>
          <w:lang w:val="en-GB"/>
        </w:rPr>
        <w:t xml:space="preserve"> the data presented here supported the results obtained from clinical studies that  CYP2C19 is clinically important enzyme responsible of the metabolism of a number of therapeutic agents (Blaisdell et al., 2002) </w:t>
      </w:r>
      <w:r w:rsidRPr="001B46CD">
        <w:rPr>
          <w:rFonts w:ascii="Arial" w:hAnsi="Arial" w:cs="Arial"/>
          <w:sz w:val="22"/>
          <w:szCs w:val="22"/>
          <w:lang w:val="en-GB"/>
        </w:rPr>
        <w:t xml:space="preserve">and the effect of CYP2C19 in metabolism of methylaminoantipyrine. </w:t>
      </w:r>
      <w:r w:rsidRPr="001B46CD">
        <w:rPr>
          <w:rFonts w:ascii="Arial" w:hAnsi="Arial" w:cs="Arial"/>
          <w:lang w:val="en-GB"/>
        </w:rPr>
        <w:t xml:space="preserve">A similar effect was observed for CYP2C19 with </w:t>
      </w:r>
      <w:r w:rsidRPr="001B46CD">
        <w:rPr>
          <w:rFonts w:ascii="Arial" w:hAnsi="Arial" w:cs="Arial"/>
          <w:sz w:val="22"/>
          <w:szCs w:val="22"/>
          <w:lang w:val="en-GB"/>
        </w:rPr>
        <w:t>S-mephenytoin, ratio (Blaisdell et al., 2002).</w:t>
      </w:r>
    </w:p>
    <w:p w:rsidR="000C65B8" w:rsidRDefault="000C65B8" w:rsidP="00A31884">
      <w:pPr>
        <w:rPr>
          <w:lang w:val="en-US"/>
        </w:rPr>
      </w:pPr>
    </w:p>
    <w:p w:rsidR="000C65B8" w:rsidRDefault="000C65B8" w:rsidP="00A31884">
      <w:pPr>
        <w:rPr>
          <w:lang w:val="en-US"/>
        </w:rPr>
      </w:pPr>
    </w:p>
    <w:p w:rsidR="00D0724D" w:rsidRDefault="00D0724D" w:rsidP="00A31884">
      <w:pPr>
        <w:rPr>
          <w:lang w:val="en-US"/>
        </w:rPr>
      </w:pPr>
    </w:p>
    <w:p w:rsidR="00D0724D" w:rsidRPr="00EA3AC1" w:rsidRDefault="00D0724D" w:rsidP="00D0724D">
      <w:pPr>
        <w:spacing w:line="480" w:lineRule="auto"/>
        <w:jc w:val="center"/>
        <w:rPr>
          <w:rFonts w:ascii="Arial" w:hAnsi="Arial" w:cs="Arial"/>
          <w:b/>
          <w:lang w:val="en-GB"/>
        </w:rPr>
      </w:pPr>
      <w:r w:rsidRPr="00EA3AC1">
        <w:rPr>
          <w:rFonts w:ascii="Arial" w:hAnsi="Arial" w:cs="Arial"/>
          <w:b/>
          <w:lang w:val="en-GB"/>
        </w:rPr>
        <w:t>References</w:t>
      </w:r>
    </w:p>
    <w:p w:rsidR="00D0724D" w:rsidRPr="00EA3AC1" w:rsidRDefault="00D0724D" w:rsidP="00D0724D">
      <w:pPr>
        <w:ind w:left="720" w:hanging="720"/>
      </w:pPr>
    </w:p>
    <w:p w:rsidR="00D0724D" w:rsidRPr="00EA3AC1" w:rsidRDefault="00D0724D" w:rsidP="00D0724D">
      <w:pPr>
        <w:ind w:left="720" w:hanging="720"/>
      </w:pPr>
      <w:r w:rsidRPr="00EA3AC1">
        <w:t xml:space="preserve">Asmardi G and Jamali F (1983) High-performance liquid chromatography of dipyrone and its active metabolite in biological fluids. </w:t>
      </w:r>
      <w:r w:rsidRPr="00EA3AC1">
        <w:rPr>
          <w:i/>
        </w:rPr>
        <w:t>J Chromatogr</w:t>
      </w:r>
      <w:r w:rsidRPr="00EA3AC1">
        <w:t xml:space="preserve"> </w:t>
      </w:r>
      <w:r w:rsidRPr="00EA3AC1">
        <w:rPr>
          <w:b/>
        </w:rPr>
        <w:t>277:</w:t>
      </w:r>
      <w:r w:rsidRPr="00EA3AC1">
        <w:t>183-189.</w:t>
      </w:r>
    </w:p>
    <w:p w:rsidR="00D0724D" w:rsidRPr="00EA3AC1" w:rsidRDefault="00D0724D" w:rsidP="00D0724D">
      <w:pPr>
        <w:ind w:left="720" w:hanging="720"/>
      </w:pPr>
      <w:r w:rsidRPr="00EA3AC1">
        <w:t xml:space="preserve">Blaisdell J, Mohrenweiser H, Jackson J, Ferguson S, Coulter S, Chanas B, Xi T, Ghanayem B and Goldstein JA (2002) Identification and functional characterization of new potentially defective alleles of human CYP2C19. </w:t>
      </w:r>
      <w:r w:rsidRPr="00EA3AC1">
        <w:rPr>
          <w:i/>
        </w:rPr>
        <w:t>Pharmacogenetics</w:t>
      </w:r>
      <w:r w:rsidRPr="00EA3AC1">
        <w:t xml:space="preserve"> </w:t>
      </w:r>
      <w:r w:rsidRPr="00EA3AC1">
        <w:rPr>
          <w:b/>
        </w:rPr>
        <w:t>12:</w:t>
      </w:r>
      <w:r w:rsidRPr="00EA3AC1">
        <w:t>703-711.</w:t>
      </w:r>
    </w:p>
    <w:p w:rsidR="00D0724D" w:rsidRPr="00EA3AC1" w:rsidRDefault="00D0724D" w:rsidP="00D0724D">
      <w:pPr>
        <w:ind w:left="720" w:hanging="720"/>
      </w:pPr>
      <w:r w:rsidRPr="00EA3AC1">
        <w:t xml:space="preserve">Bonkowsky JL, Frazer JK, Buchi KF and Byington CL (2002) Metamizole use by Latino immigrants: a common and potentially harmful home remedy. </w:t>
      </w:r>
      <w:r w:rsidRPr="00EA3AC1">
        <w:rPr>
          <w:i/>
        </w:rPr>
        <w:t>Pediatrics</w:t>
      </w:r>
      <w:r w:rsidRPr="00EA3AC1">
        <w:t xml:space="preserve"> </w:t>
      </w:r>
      <w:r w:rsidRPr="00EA3AC1">
        <w:rPr>
          <w:b/>
        </w:rPr>
        <w:t>109:</w:t>
      </w:r>
      <w:r w:rsidRPr="00EA3AC1">
        <w:t>e98.</w:t>
      </w:r>
    </w:p>
    <w:p w:rsidR="00D0724D" w:rsidRPr="00EA3AC1" w:rsidRDefault="00D0724D" w:rsidP="00D0724D">
      <w:pPr>
        <w:ind w:left="720" w:hanging="720"/>
      </w:pPr>
      <w:r w:rsidRPr="00EA3AC1">
        <w:t xml:space="preserve">Brune K and Otterness I (1988) In vivo and in vitro assessment of non-steroidal anti-inflammatory drugs. </w:t>
      </w:r>
      <w:r w:rsidRPr="00EA3AC1">
        <w:rPr>
          <w:i/>
        </w:rPr>
        <w:t>Baillieres Clin Rheumatol</w:t>
      </w:r>
      <w:r w:rsidRPr="00EA3AC1">
        <w:t xml:space="preserve"> </w:t>
      </w:r>
      <w:r w:rsidRPr="00EA3AC1">
        <w:rPr>
          <w:b/>
        </w:rPr>
        <w:t>2:</w:t>
      </w:r>
      <w:r w:rsidRPr="00EA3AC1">
        <w:t>295-307.</w:t>
      </w:r>
    </w:p>
    <w:p w:rsidR="00D0724D" w:rsidRPr="00EA3AC1" w:rsidRDefault="00D0724D" w:rsidP="00D0724D">
      <w:pPr>
        <w:ind w:left="720" w:hanging="720"/>
      </w:pPr>
      <w:r w:rsidRPr="00EA3AC1">
        <w:t xml:space="preserve">Cheng Y and Prusoff WH (1973) Relationship between the inhibition constant (K1) and the concentration of inhibitor which causes 50 per cent inhibition (I50) of an enzymatic reaction. </w:t>
      </w:r>
      <w:r w:rsidRPr="00EA3AC1">
        <w:rPr>
          <w:i/>
        </w:rPr>
        <w:t>Biochem Pharmacol</w:t>
      </w:r>
      <w:r w:rsidRPr="00EA3AC1">
        <w:t xml:space="preserve"> </w:t>
      </w:r>
      <w:r w:rsidRPr="00EA3AC1">
        <w:rPr>
          <w:b/>
        </w:rPr>
        <w:t>22:</w:t>
      </w:r>
      <w:r w:rsidRPr="00EA3AC1">
        <w:t>3099-3108.</w:t>
      </w:r>
    </w:p>
    <w:p w:rsidR="00D0724D" w:rsidRPr="00EA3AC1" w:rsidRDefault="00D0724D" w:rsidP="00D0724D">
      <w:pPr>
        <w:ind w:left="720" w:hanging="720"/>
      </w:pPr>
      <w:r w:rsidRPr="00EA3AC1">
        <w:t xml:space="preserve">Flusser D, Zylber-Katz E, Granit L and Levy M (1988) Influence of food on the pharmacokinetics of dipyrone. </w:t>
      </w:r>
      <w:r w:rsidRPr="00EA3AC1">
        <w:rPr>
          <w:i/>
        </w:rPr>
        <w:t>Eur J Clin Pharmacol</w:t>
      </w:r>
      <w:r w:rsidRPr="00EA3AC1">
        <w:t xml:space="preserve"> </w:t>
      </w:r>
      <w:r w:rsidRPr="00EA3AC1">
        <w:rPr>
          <w:b/>
        </w:rPr>
        <w:t>34:</w:t>
      </w:r>
      <w:r w:rsidRPr="00EA3AC1">
        <w:t>105-107.</w:t>
      </w:r>
    </w:p>
    <w:p w:rsidR="00D0724D" w:rsidRPr="00EA3AC1" w:rsidRDefault="00D0724D" w:rsidP="00D0724D">
      <w:pPr>
        <w:ind w:left="720" w:hanging="720"/>
      </w:pPr>
      <w:r w:rsidRPr="00EA3AC1">
        <w:t xml:space="preserve">Geisslinger G, Bocker R and Levy M (1996) High-performance liquid chromatographic analysis of dipyrone metabolites to study their formation in human liver microsomes. </w:t>
      </w:r>
      <w:r w:rsidRPr="00EA3AC1">
        <w:rPr>
          <w:i/>
        </w:rPr>
        <w:t>Pharm Res</w:t>
      </w:r>
      <w:r w:rsidRPr="00EA3AC1">
        <w:t xml:space="preserve"> </w:t>
      </w:r>
      <w:r w:rsidRPr="00EA3AC1">
        <w:rPr>
          <w:b/>
        </w:rPr>
        <w:t>13:</w:t>
      </w:r>
      <w:r w:rsidRPr="00EA3AC1">
        <w:t>1272-1275.</w:t>
      </w:r>
    </w:p>
    <w:p w:rsidR="00D0724D" w:rsidRPr="00EA3AC1" w:rsidRDefault="00D0724D" w:rsidP="00D0724D">
      <w:pPr>
        <w:ind w:left="720" w:hanging="720"/>
      </w:pPr>
      <w:r w:rsidRPr="00EA3AC1">
        <w:t xml:space="preserve">Hemeryck A and Belpaire FM (2002) Selective serotonin reuptake inhibitors and cytochrome P-450 mediated drug-drug interactions: an update. </w:t>
      </w:r>
      <w:r w:rsidRPr="00EA3AC1">
        <w:rPr>
          <w:i/>
        </w:rPr>
        <w:t>Curr Drug Metab</w:t>
      </w:r>
      <w:r w:rsidRPr="00EA3AC1">
        <w:t xml:space="preserve"> </w:t>
      </w:r>
      <w:r w:rsidRPr="00EA3AC1">
        <w:rPr>
          <w:b/>
        </w:rPr>
        <w:t>3:</w:t>
      </w:r>
      <w:r w:rsidRPr="00EA3AC1">
        <w:t>13-37.</w:t>
      </w:r>
    </w:p>
    <w:p w:rsidR="00D0724D" w:rsidRPr="00EA3AC1" w:rsidRDefault="00D0724D" w:rsidP="00D0724D">
      <w:pPr>
        <w:ind w:left="720" w:hanging="720"/>
      </w:pPr>
      <w:r w:rsidRPr="00EA3AC1">
        <w:t xml:space="preserve">Huskey SW, Dean DC, Miller RR, Rasmusson GH and Chiu SH (1995) Identification of human cytochrome P450 isozymes responsible for the in vitro oxidative metabolism of finasteride. </w:t>
      </w:r>
      <w:r w:rsidRPr="00EA3AC1">
        <w:rPr>
          <w:i/>
        </w:rPr>
        <w:t>Drug Metab Dispos</w:t>
      </w:r>
      <w:r w:rsidRPr="00EA3AC1">
        <w:t xml:space="preserve"> </w:t>
      </w:r>
      <w:r w:rsidRPr="00EA3AC1">
        <w:rPr>
          <w:b/>
        </w:rPr>
        <w:t>23:</w:t>
      </w:r>
      <w:r w:rsidRPr="00EA3AC1">
        <w:t>1126-1135.</w:t>
      </w:r>
    </w:p>
    <w:p w:rsidR="00D0724D" w:rsidRPr="00EA3AC1" w:rsidRDefault="00D0724D" w:rsidP="00D0724D">
      <w:pPr>
        <w:ind w:left="720" w:hanging="720"/>
      </w:pPr>
      <w:r w:rsidRPr="00EA3AC1">
        <w:t xml:space="preserve">Levy M (1986) Pharmacokinetics of metamizol metabolites. </w:t>
      </w:r>
      <w:r w:rsidRPr="00EA3AC1">
        <w:rPr>
          <w:i/>
        </w:rPr>
        <w:t>Agents Actions Suppl</w:t>
      </w:r>
      <w:r w:rsidRPr="00EA3AC1">
        <w:t xml:space="preserve"> </w:t>
      </w:r>
      <w:r w:rsidRPr="00EA3AC1">
        <w:rPr>
          <w:b/>
        </w:rPr>
        <w:t>19:</w:t>
      </w:r>
      <w:r w:rsidRPr="00EA3AC1">
        <w:t>199-204.</w:t>
      </w:r>
    </w:p>
    <w:p w:rsidR="00D0724D" w:rsidRPr="00EA3AC1" w:rsidRDefault="00D0724D" w:rsidP="00D0724D">
      <w:pPr>
        <w:ind w:left="720" w:hanging="720"/>
      </w:pPr>
      <w:r w:rsidRPr="00EA3AC1">
        <w:t xml:space="preserve">Levy M, Zylber-Katz E and Rosenkranz B (1995) Clinical pharmacokinetics of dipyrone and its metabolites. </w:t>
      </w:r>
      <w:r w:rsidRPr="00EA3AC1">
        <w:rPr>
          <w:i/>
        </w:rPr>
        <w:t>Clin Pharmacokinet</w:t>
      </w:r>
      <w:r w:rsidRPr="00EA3AC1">
        <w:t xml:space="preserve"> </w:t>
      </w:r>
      <w:r w:rsidRPr="00EA3AC1">
        <w:rPr>
          <w:b/>
        </w:rPr>
        <w:t>28:</w:t>
      </w:r>
      <w:r w:rsidRPr="00EA3AC1">
        <w:t>216-234.</w:t>
      </w:r>
    </w:p>
    <w:p w:rsidR="00D0724D" w:rsidRPr="00EA3AC1" w:rsidRDefault="00D0724D" w:rsidP="00D0724D">
      <w:pPr>
        <w:ind w:left="720" w:hanging="720"/>
      </w:pPr>
      <w:r w:rsidRPr="00EA3AC1">
        <w:t xml:space="preserve">Naritomi Y, Terashita S, Kagayama A and Sugiyama Y (2003) Utility of hepatocytes in predicting drug metabolism: comparison of hepatic intrinsic clearance in rats and humans in vivo and in vitro. </w:t>
      </w:r>
      <w:r w:rsidRPr="00EA3AC1">
        <w:rPr>
          <w:i/>
        </w:rPr>
        <w:t>Drug Metab Dispos</w:t>
      </w:r>
      <w:r w:rsidRPr="00EA3AC1">
        <w:t xml:space="preserve"> </w:t>
      </w:r>
      <w:r w:rsidRPr="00EA3AC1">
        <w:rPr>
          <w:b/>
        </w:rPr>
        <w:t>31:</w:t>
      </w:r>
      <w:r w:rsidRPr="00EA3AC1">
        <w:t>580-588.</w:t>
      </w:r>
    </w:p>
    <w:p w:rsidR="00D0724D" w:rsidRPr="00EA3AC1" w:rsidRDefault="00D0724D" w:rsidP="00D0724D">
      <w:pPr>
        <w:ind w:left="720" w:hanging="720"/>
      </w:pPr>
      <w:r w:rsidRPr="00EA3AC1">
        <w:t xml:space="preserve">Nelson AC, Huang W and Moody DE (2001) Variables in human liver microsome preparation: impact on the kinetics of l-alpha-acetylmethadol (LAAM) n-demethylation and dextromethorphan O-demethylation. </w:t>
      </w:r>
      <w:r w:rsidRPr="00EA3AC1">
        <w:rPr>
          <w:i/>
        </w:rPr>
        <w:t>Drug Metab Dispos</w:t>
      </w:r>
      <w:r w:rsidRPr="00EA3AC1">
        <w:t xml:space="preserve"> </w:t>
      </w:r>
      <w:r w:rsidRPr="00EA3AC1">
        <w:rPr>
          <w:b/>
        </w:rPr>
        <w:t>29:</w:t>
      </w:r>
      <w:r w:rsidRPr="00EA3AC1">
        <w:t>319-325.</w:t>
      </w:r>
    </w:p>
    <w:p w:rsidR="00D0724D" w:rsidRPr="00EA3AC1" w:rsidRDefault="00D0724D" w:rsidP="00D0724D">
      <w:pPr>
        <w:ind w:left="720" w:hanging="720"/>
      </w:pPr>
      <w:r w:rsidRPr="00EA3AC1">
        <w:t xml:space="preserve">Pereira PC, Barraviera B, Marcondes J, Leite CV, Meira DA, Inoue T and Morceli J (1985) [Progressive subacute paracoccidioidomycosis. Treatment of a patient with amphotericin B and parenteral feeding]. </w:t>
      </w:r>
      <w:r w:rsidRPr="00EA3AC1">
        <w:rPr>
          <w:i/>
        </w:rPr>
        <w:t>Rev Inst Med Trop Sao Paulo</w:t>
      </w:r>
      <w:r w:rsidRPr="00EA3AC1">
        <w:t xml:space="preserve"> </w:t>
      </w:r>
      <w:r w:rsidRPr="00EA3AC1">
        <w:rPr>
          <w:b/>
        </w:rPr>
        <w:t>27:</w:t>
      </w:r>
      <w:r w:rsidRPr="00EA3AC1">
        <w:t>268-273.</w:t>
      </w:r>
    </w:p>
    <w:p w:rsidR="00D0724D" w:rsidRPr="00EA3AC1" w:rsidRDefault="00D0724D" w:rsidP="00D0724D">
      <w:pPr>
        <w:ind w:left="720" w:hanging="720"/>
      </w:pPr>
      <w:r w:rsidRPr="00EA3AC1">
        <w:t xml:space="preserve">Sadusk JF, Jr. (1965) Planning in the Food and Drug Administration for Regulation of Prescription Drug Advertising. </w:t>
      </w:r>
      <w:r w:rsidRPr="00EA3AC1">
        <w:rPr>
          <w:i/>
        </w:rPr>
        <w:t>Curr Ther Res Clin Exp</w:t>
      </w:r>
      <w:r w:rsidRPr="00EA3AC1">
        <w:t xml:space="preserve"> </w:t>
      </w:r>
      <w:r w:rsidRPr="00EA3AC1">
        <w:rPr>
          <w:b/>
        </w:rPr>
        <w:t>18:</w:t>
      </w:r>
      <w:r w:rsidRPr="00EA3AC1">
        <w:t>332-336.</w:t>
      </w:r>
    </w:p>
    <w:p w:rsidR="00D0724D" w:rsidRPr="00EA3AC1" w:rsidRDefault="00D0724D" w:rsidP="00D0724D">
      <w:pPr>
        <w:ind w:left="720" w:hanging="720"/>
      </w:pPr>
      <w:r w:rsidRPr="00EA3AC1">
        <w:t xml:space="preserve">Salsali M, Holt A and Baker GB (2004) Inhibitory effects of the monoamine oxidase inhibitor tranylcypromine on the cytochrome P450 enzymes CYP2C19, CYP2C9, and CYP2D6. </w:t>
      </w:r>
      <w:r w:rsidRPr="00EA3AC1">
        <w:rPr>
          <w:i/>
        </w:rPr>
        <w:t>Cell Mol Neurobiol</w:t>
      </w:r>
      <w:r w:rsidRPr="00EA3AC1">
        <w:t xml:space="preserve"> </w:t>
      </w:r>
      <w:r w:rsidRPr="00EA3AC1">
        <w:rPr>
          <w:b/>
        </w:rPr>
        <w:t>24:</w:t>
      </w:r>
      <w:r w:rsidRPr="00EA3AC1">
        <w:t>63-76.</w:t>
      </w:r>
    </w:p>
    <w:p w:rsidR="00D0724D" w:rsidRPr="00EA3AC1" w:rsidRDefault="00D0724D" w:rsidP="00D0724D">
      <w:pPr>
        <w:ind w:left="720" w:hanging="720"/>
      </w:pPr>
      <w:r w:rsidRPr="00EA3AC1">
        <w:t xml:space="preserve">Tisi DK, Emard JJ and Koski KG (2004) Total protein concentration in human amniotic fluid is negatively associated with infant birth weight. </w:t>
      </w:r>
      <w:r w:rsidRPr="00EA3AC1">
        <w:rPr>
          <w:i/>
        </w:rPr>
        <w:t>J Nutr</w:t>
      </w:r>
      <w:r w:rsidRPr="00EA3AC1">
        <w:t xml:space="preserve"> </w:t>
      </w:r>
      <w:r w:rsidRPr="00EA3AC1">
        <w:rPr>
          <w:b/>
        </w:rPr>
        <w:t>134:</w:t>
      </w:r>
      <w:r w:rsidRPr="00EA3AC1">
        <w:t>1754-1758.</w:t>
      </w:r>
    </w:p>
    <w:p w:rsidR="00D0724D" w:rsidRPr="00EA3AC1" w:rsidRDefault="00D0724D" w:rsidP="00D0724D">
      <w:pPr>
        <w:ind w:left="720" w:hanging="720"/>
      </w:pPr>
      <w:r w:rsidRPr="00EA3AC1">
        <w:t xml:space="preserve">Vlahov V, Badian M, Verho M and Bacracheva N (1990) Pharmacokinetics of metamizol metabolites in healthy subjects after a single oral dose of metamizol sodium. </w:t>
      </w:r>
      <w:r w:rsidRPr="00EA3AC1">
        <w:rPr>
          <w:i/>
        </w:rPr>
        <w:t>Eur J Clin Pharmacol</w:t>
      </w:r>
      <w:r w:rsidRPr="00EA3AC1">
        <w:t xml:space="preserve"> </w:t>
      </w:r>
      <w:r w:rsidRPr="00EA3AC1">
        <w:rPr>
          <w:b/>
        </w:rPr>
        <w:t>38:</w:t>
      </w:r>
      <w:r w:rsidRPr="00EA3AC1">
        <w:t>61-65.</w:t>
      </w:r>
    </w:p>
    <w:p w:rsidR="00D0724D" w:rsidRPr="00EA3AC1" w:rsidRDefault="00D0724D" w:rsidP="00D0724D">
      <w:pPr>
        <w:ind w:left="720" w:hanging="720"/>
      </w:pPr>
      <w:r w:rsidRPr="00EA3AC1">
        <w:t xml:space="preserve">Volz M and Kellner HM (1980) Kinetics and metabolism of pyrazolones (propyphenazone, aminopyrine and dipyrone). </w:t>
      </w:r>
      <w:r w:rsidRPr="00EA3AC1">
        <w:rPr>
          <w:i/>
        </w:rPr>
        <w:t>Br J Clin Pharmacol</w:t>
      </w:r>
      <w:r w:rsidRPr="00EA3AC1">
        <w:t xml:space="preserve"> </w:t>
      </w:r>
      <w:r w:rsidRPr="00EA3AC1">
        <w:rPr>
          <w:b/>
        </w:rPr>
        <w:t>10 Suppl 2:</w:t>
      </w:r>
      <w:r w:rsidRPr="00EA3AC1">
        <w:t>299S-308S.</w:t>
      </w:r>
    </w:p>
    <w:p w:rsidR="00D0724D" w:rsidRPr="00EA3AC1" w:rsidRDefault="00D0724D" w:rsidP="00D0724D">
      <w:pPr>
        <w:ind w:left="720" w:hanging="720"/>
        <w:rPr>
          <w:rFonts w:ascii="Arial" w:hAnsi="Arial" w:cs="Arial"/>
        </w:rPr>
      </w:pPr>
      <w:r w:rsidRPr="00EA3AC1">
        <w:t xml:space="preserve">Wang B, Sanchez RI, Franklin RB, Evans DC and Huskey SE (2004) The involvement of CYP3A4 and CYP2C9 in the metabolism of 17 alpha-ethinylestradiol. </w:t>
      </w:r>
      <w:r w:rsidRPr="00EA3AC1">
        <w:rPr>
          <w:i/>
        </w:rPr>
        <w:t>Drug Metab Dispos</w:t>
      </w:r>
      <w:r w:rsidRPr="00EA3AC1">
        <w:t xml:space="preserve"> </w:t>
      </w:r>
      <w:r w:rsidRPr="00EA3AC1">
        <w:rPr>
          <w:b/>
        </w:rPr>
        <w:t>32:</w:t>
      </w:r>
      <w:r w:rsidRPr="00EA3AC1">
        <w:t>1209-1212.</w:t>
      </w:r>
    </w:p>
    <w:p w:rsidR="00D0724D" w:rsidRPr="00A31884" w:rsidRDefault="00D0724D" w:rsidP="00A31884">
      <w:pPr>
        <w:rPr>
          <w:lang w:val="en-US"/>
        </w:rPr>
      </w:pPr>
    </w:p>
    <w:sectPr w:rsidR="00D0724D" w:rsidRPr="00A31884" w:rsidSect="00EB275A">
      <w:pgSz w:w="11906" w:h="16838"/>
      <w:pgMar w:top="56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84"/>
    <w:rsid w:val="000C65B8"/>
    <w:rsid w:val="001600DD"/>
    <w:rsid w:val="001B2527"/>
    <w:rsid w:val="002C25C5"/>
    <w:rsid w:val="003712B7"/>
    <w:rsid w:val="00580DD8"/>
    <w:rsid w:val="006C3302"/>
    <w:rsid w:val="00724D15"/>
    <w:rsid w:val="007774E3"/>
    <w:rsid w:val="007A660C"/>
    <w:rsid w:val="00903634"/>
    <w:rsid w:val="009854E6"/>
    <w:rsid w:val="00A15EBD"/>
    <w:rsid w:val="00A31884"/>
    <w:rsid w:val="00A4716C"/>
    <w:rsid w:val="00BE54A6"/>
    <w:rsid w:val="00BF4034"/>
    <w:rsid w:val="00C247EE"/>
    <w:rsid w:val="00C64890"/>
    <w:rsid w:val="00C72C76"/>
    <w:rsid w:val="00CD4035"/>
    <w:rsid w:val="00CD4963"/>
    <w:rsid w:val="00CD79A1"/>
    <w:rsid w:val="00D0724D"/>
    <w:rsid w:val="00E242DD"/>
    <w:rsid w:val="00EB275A"/>
    <w:rsid w:val="00F43332"/>
    <w:rsid w:val="00F56390"/>
    <w:rsid w:val="00FE59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F304CCD"/>
  <w15:docId w15:val="{C32E16BD-111B-4B8C-8620-FE03DDD0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884"/>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A31884"/>
    <w:pPr>
      <w:keepNext/>
      <w:numPr>
        <w:numId w:val="1"/>
      </w:numPr>
      <w:outlineLvl w:val="0"/>
    </w:pPr>
    <w:rPr>
      <w:rFonts w:ascii="Arial"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1884"/>
    <w:rPr>
      <w:rFonts w:ascii="Arial" w:eastAsia="Times New Roman" w:hAnsi="Arial" w:cs="Arial"/>
      <w:b/>
      <w:bCs/>
      <w:sz w:val="24"/>
      <w:szCs w:val="24"/>
      <w:lang w:val="en-GB" w:eastAsia="ar-SA"/>
    </w:rPr>
  </w:style>
  <w:style w:type="paragraph" w:styleId="Caption">
    <w:name w:val="caption"/>
    <w:basedOn w:val="Normal"/>
    <w:qFormat/>
    <w:rsid w:val="00A31884"/>
    <w:pPr>
      <w:suppressLineNumbers/>
      <w:spacing w:before="120" w:after="120"/>
    </w:pPr>
    <w:rPr>
      <w:rFonts w:cs="Tahoma"/>
      <w:i/>
      <w:iCs/>
      <w:sz w:val="20"/>
      <w:szCs w:val="20"/>
    </w:rPr>
  </w:style>
  <w:style w:type="paragraph" w:styleId="BalloonText">
    <w:name w:val="Balloon Text"/>
    <w:basedOn w:val="Normal"/>
    <w:link w:val="BalloonTextChar"/>
    <w:uiPriority w:val="99"/>
    <w:semiHidden/>
    <w:unhideWhenUsed/>
    <w:rsid w:val="00A4716C"/>
    <w:rPr>
      <w:rFonts w:ascii="Tahoma" w:hAnsi="Tahoma" w:cs="Tahoma"/>
      <w:sz w:val="16"/>
      <w:szCs w:val="16"/>
    </w:rPr>
  </w:style>
  <w:style w:type="character" w:customStyle="1" w:styleId="BalloonTextChar">
    <w:name w:val="Balloon Text Char"/>
    <w:basedOn w:val="DefaultParagraphFont"/>
    <w:link w:val="BalloonText"/>
    <w:uiPriority w:val="99"/>
    <w:semiHidden/>
    <w:rsid w:val="00A4716C"/>
    <w:rPr>
      <w:rFonts w:ascii="Tahoma" w:eastAsia="Times New Roman" w:hAnsi="Tahoma" w:cs="Tahoma"/>
      <w:sz w:val="16"/>
      <w:szCs w:val="16"/>
      <w:lang w:eastAsia="ar-SA"/>
    </w:rPr>
  </w:style>
  <w:style w:type="paragraph" w:styleId="DocumentMap">
    <w:name w:val="Document Map"/>
    <w:basedOn w:val="Normal"/>
    <w:link w:val="DocumentMapChar"/>
    <w:uiPriority w:val="99"/>
    <w:semiHidden/>
    <w:unhideWhenUsed/>
    <w:rsid w:val="002C25C5"/>
    <w:rPr>
      <w:rFonts w:ascii="Tahoma" w:hAnsi="Tahoma" w:cs="Tahoma"/>
      <w:sz w:val="16"/>
      <w:szCs w:val="16"/>
    </w:rPr>
  </w:style>
  <w:style w:type="character" w:customStyle="1" w:styleId="DocumentMapChar">
    <w:name w:val="Document Map Char"/>
    <w:basedOn w:val="DefaultParagraphFont"/>
    <w:link w:val="DocumentMap"/>
    <w:uiPriority w:val="99"/>
    <w:semiHidden/>
    <w:rsid w:val="002C25C5"/>
    <w:rPr>
      <w:rFonts w:ascii="Tahoma" w:eastAsia="Times New Roman" w:hAnsi="Tahoma" w:cs="Tahoma"/>
      <w:sz w:val="16"/>
      <w:szCs w:val="16"/>
      <w:lang w:eastAsia="ar-SA"/>
    </w:rPr>
  </w:style>
  <w:style w:type="table" w:styleId="TableGrid">
    <w:name w:val="Table Grid"/>
    <w:basedOn w:val="TableNormal"/>
    <w:uiPriority w:val="59"/>
    <w:rsid w:val="00F563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99898B-E638-418B-BC60-3A15E672F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2686</Words>
  <Characters>15312</Characters>
  <Application>Microsoft Office Word</Application>
  <DocSecurity>0</DocSecurity>
  <Lines>127</Lines>
  <Paragraphs>35</Paragraphs>
  <ScaleCrop>false</ScaleCrop>
  <HeadingPairs>
    <vt:vector size="8" baseType="variant">
      <vt:variant>
        <vt:lpstr>Title</vt:lpstr>
      </vt:variant>
      <vt:variant>
        <vt:i4>1</vt:i4>
      </vt:variant>
      <vt:variant>
        <vt:lpstr>Headings</vt:lpstr>
      </vt:variant>
      <vt:variant>
        <vt:i4>3</vt:i4>
      </vt:variant>
      <vt:variant>
        <vt:lpstr>العنوان</vt:lpstr>
      </vt:variant>
      <vt:variant>
        <vt:i4>1</vt:i4>
      </vt:variant>
      <vt:variant>
        <vt:lpstr>عناوين</vt:lpstr>
      </vt:variant>
      <vt:variant>
        <vt:i4>3</vt:i4>
      </vt:variant>
    </vt:vector>
  </HeadingPairs>
  <TitlesOfParts>
    <vt:vector size="8" baseType="lpstr">
      <vt:lpstr/>
      <vt:lpstr>Identification of human cytochrome P450 isoenzymes responsible for  the in-vitro</vt:lpstr>
      <vt:lpstr/>
      <vt:lpstr>Dr.Salem Omran Ali Abdalla</vt:lpstr>
      <vt:lpstr/>
      <vt:lpstr>Identification of human cytochrome P450 isoenzymes responsible for  the in-vitro</vt:lpstr>
      <vt:lpstr/>
      <vt:lpstr>Dr.Salem Omran Ali Abdalla</vt:lpstr>
    </vt:vector>
  </TitlesOfParts>
  <Company/>
  <LinksUpToDate>false</LinksUpToDate>
  <CharactersWithSpaces>17963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dc:creator>
  <cp:lastModifiedBy>Dell-Hola</cp:lastModifiedBy>
  <cp:revision>4</cp:revision>
  <dcterms:created xsi:type="dcterms:W3CDTF">2018-05-06T17:21:00Z</dcterms:created>
  <dcterms:modified xsi:type="dcterms:W3CDTF">2018-05-06T17:28:00Z</dcterms:modified>
</cp:coreProperties>
</file>