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7F1C03" w:rsidP="00494130">
      <w:pPr>
        <w:pStyle w:val="1"/>
        <w:spacing w:before="170"/>
        <w:ind w:left="0"/>
      </w:pPr>
      <w:r w:rsidRPr="007F1C03">
        <w:rPr>
          <w:color w:val="337AB7"/>
        </w:rPr>
        <w:t>New Insights into PI3K Inhibitor Design using X-ray Structures of PI3Kα Complexed with a Potent Lead Compound</w:t>
      </w:r>
    </w:p>
    <w:p w:rsidR="00AE3E37" w:rsidRPr="00AC588E" w:rsidRDefault="007F1C03" w:rsidP="00AC588E">
      <w:pPr>
        <w:pStyle w:val="a3"/>
        <w:spacing w:before="73" w:line="198" w:lineRule="exact"/>
        <w:ind w:left="100" w:right="5987"/>
        <w:rPr>
          <w:rFonts w:ascii="Arial"/>
        </w:rPr>
        <w:sectPr w:rsidR="00AE3E37" w:rsidRPr="00AC588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>
        <w:rPr>
          <w:rFonts w:ascii="Arial"/>
        </w:rPr>
        <w:t>Xiuyan</w:t>
      </w:r>
      <w:proofErr w:type="spellEnd"/>
      <w:r>
        <w:rPr>
          <w:rFonts w:ascii="Arial"/>
        </w:rPr>
        <w:t xml:space="preserve"> Yang</w:t>
      </w:r>
      <w:r w:rsidR="00065718">
        <w:rPr>
          <w:rFonts w:ascii="Arial"/>
        </w:rPr>
        <w:t xml:space="preserve">, </w:t>
      </w:r>
      <w:proofErr w:type="spellStart"/>
      <w:r>
        <w:rPr>
          <w:rFonts w:ascii="Arial"/>
        </w:rPr>
        <w:t>Qiufen</w:t>
      </w:r>
      <w:proofErr w:type="spellEnd"/>
      <w:r>
        <w:rPr>
          <w:rFonts w:ascii="Arial"/>
        </w:rPr>
        <w:t xml:space="preserve"> Zhang</w:t>
      </w:r>
      <w:r w:rsidR="005973B9">
        <w:rPr>
          <w:rFonts w:ascii="Arial"/>
        </w:rPr>
        <w:t>,</w:t>
      </w:r>
      <w:r>
        <w:rPr>
          <w:rFonts w:ascii="Arial"/>
        </w:rPr>
        <w:t xml:space="preserve"> Jian Zhang, China</w:t>
      </w:r>
      <w:r w:rsidR="005973B9">
        <w:rPr>
          <w:rFonts w:ascii="Arial"/>
        </w:rPr>
        <w:t xml:space="preserve"> </w:t>
      </w:r>
      <w:r w:rsidR="00AC588E">
        <w:rPr>
          <w:rFonts w:ascii="Arial"/>
        </w:rPr>
        <w:t>.</w:t>
      </w:r>
      <w:bookmarkStart w:id="0" w:name="_GoBack"/>
      <w:bookmarkEnd w:id="0"/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AE3E37" w:rsidRDefault="00A9710C" w:rsidP="00B75DEC">
      <w:pPr>
        <w:pStyle w:val="a3"/>
        <w:spacing w:before="90" w:line="280" w:lineRule="auto"/>
        <w:ind w:left="100"/>
        <w:jc w:val="both"/>
      </w:pPr>
      <w:r w:rsidRPr="00FD0830">
        <w:rPr>
          <w:b/>
        </w:rPr>
        <w:t>Statement of the Problem:</w:t>
      </w:r>
      <w:r w:rsidR="00994DB5" w:rsidRPr="00994DB5">
        <w:t xml:space="preserve"> Phosphatidylinositol 3-kinases (PI3Ks) are lipid kinases that play pivotal roles in a multitude of fundamental biological processes, including proliferation, survival, differentiation, and metabolism. Recent reports have shown that the PI3K/AKT/mTOR pathway is crucial in T cell activation and function6. PI3Ks are currently divided into classes IA, IB, II, and III7. The class IA family consists of three isoforms, 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, </w:t>
      </w:r>
      <w:r w:rsidR="00994DB5" w:rsidRPr="00994DB5">
        <w:rPr>
          <w:rFonts w:ascii="Calibri" w:hAnsi="Calibri" w:cs="Calibri"/>
        </w:rPr>
        <w:t>β</w:t>
      </w:r>
      <w:r w:rsidR="00994DB5" w:rsidRPr="00994DB5">
        <w:t xml:space="preserve">, and </w:t>
      </w:r>
      <w:r w:rsidR="00994DB5" w:rsidRPr="00994DB5">
        <w:rPr>
          <w:rFonts w:ascii="Calibri" w:hAnsi="Calibri" w:cs="Calibri"/>
        </w:rPr>
        <w:t>δ</w:t>
      </w:r>
      <w:r w:rsidR="00994DB5" w:rsidRPr="00994DB5">
        <w:t xml:space="preserve">8. The class IB family consists of only the </w:t>
      </w:r>
      <w:r w:rsidR="00994DB5" w:rsidRPr="00994DB5">
        <w:rPr>
          <w:rFonts w:ascii="Calibri" w:hAnsi="Calibri" w:cs="Calibri"/>
        </w:rPr>
        <w:t>γ</w:t>
      </w:r>
      <w:r w:rsidR="00994DB5" w:rsidRPr="00994DB5">
        <w:t xml:space="preserve"> subtype. Among the different PI3K subfamily proteins, PI3K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is the most important isoform in cell proliferation in response to growth factor-tyrosine kinase pathway activation. PI3K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is a heterodimer that contains a p110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catalytic subunit and p85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regulatory subunit. The gene encoding the p110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subunit, PIK3CA, is mutated at a rate of nearly 30% in human cancers, including colorectal cancer, glioblastoma, and gastric cancer. Importantly, hyper-activation of PI3K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directly correlates with resistance to current therapeutic agents and poor prognosis in most human cancers. Therefore, PI3K</w:t>
      </w:r>
      <w:r w:rsidR="00994DB5" w:rsidRPr="00994DB5">
        <w:rPr>
          <w:rFonts w:ascii="Calibri" w:hAnsi="Calibri" w:cs="Calibri"/>
        </w:rPr>
        <w:t>α</w:t>
      </w:r>
      <w:r w:rsidR="00994DB5" w:rsidRPr="00994DB5">
        <w:t xml:space="preserve"> is a potential target for anti-cancer drug development.</w:t>
      </w:r>
      <w:r w:rsidR="00AC6DAF">
        <w:t xml:space="preserve"> </w:t>
      </w:r>
      <w:r w:rsidR="00AC6DAF" w:rsidRPr="00AC6DAF">
        <w:t>The design of new potent PI3K</w:t>
      </w:r>
      <w:r w:rsidR="00AC6DAF" w:rsidRPr="00AC6DAF">
        <w:rPr>
          <w:rFonts w:ascii="Calibri" w:hAnsi="Calibri" w:cs="Calibri"/>
        </w:rPr>
        <w:t>α</w:t>
      </w:r>
      <w:r w:rsidR="00AC6DAF" w:rsidRPr="00AC6DAF">
        <w:t xml:space="preserve"> inhibitors with drug-like properties is still a major challenge because of the highly conserved lipid kinase ATP binding sites and the similarity between their three-dimensional structures. Currently, X-ray crystallography is one of the most useful experimental methods employed in structure-assisted drug design. Co-crystal structures of the protein of interest and ligands provide accurate structural insights into binding sites. Several complex structures of PI3K</w:t>
      </w:r>
      <w:r w:rsidR="00AC6DAF" w:rsidRPr="00AC6DAF">
        <w:rPr>
          <w:rFonts w:ascii="Calibri" w:hAnsi="Calibri" w:cs="Calibri"/>
        </w:rPr>
        <w:t>α</w:t>
      </w:r>
      <w:r w:rsidR="00AC6DAF" w:rsidRPr="00AC6DAF">
        <w:t xml:space="preserve"> and its ligands have been reported; however, limited useful information can be extracted from the existing structures</w:t>
      </w:r>
      <w:r w:rsidR="00AC6DAF">
        <w:t>.</w:t>
      </w:r>
      <w:r w:rsidRPr="00FD0830">
        <w:rPr>
          <w:b/>
        </w:rPr>
        <w:t xml:space="preserve"> Methodolog</w:t>
      </w:r>
      <w:r w:rsidR="008756E6" w:rsidRPr="00FD0830">
        <w:rPr>
          <w:b/>
        </w:rPr>
        <w:t>y &amp; Theoretical Orientation:</w:t>
      </w:r>
      <w:r w:rsidR="008756E6">
        <w:t xml:space="preserve"> </w:t>
      </w:r>
      <w:r w:rsidR="005442E7" w:rsidRPr="005442E7">
        <w:t>PI3K</w:t>
      </w:r>
      <w:r w:rsidR="005442E7" w:rsidRPr="005442E7">
        <w:rPr>
          <w:rFonts w:ascii="Calibri" w:hAnsi="Calibri" w:cs="Calibri"/>
        </w:rPr>
        <w:t>α</w:t>
      </w:r>
      <w:r w:rsidR="005442E7">
        <w:rPr>
          <w:rFonts w:ascii="Calibri" w:hAnsi="Calibri" w:cs="Calibri"/>
        </w:rPr>
        <w:t xml:space="preserve"> </w:t>
      </w:r>
      <w:r w:rsidR="005442E7">
        <w:t>and its inhibitor</w:t>
      </w:r>
      <w:r w:rsidR="005442E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5442E7">
        <w:t>were co-</w:t>
      </w:r>
      <w:r w:rsidR="005442E7" w:rsidRPr="005442E7">
        <w:t>crystalliz</w:t>
      </w:r>
      <w:r w:rsidR="005442E7">
        <w:t>ed.</w:t>
      </w:r>
      <w:r w:rsidR="005442E7" w:rsidRPr="005442E7">
        <w:t xml:space="preserve"> In vitro PI3-Kinase Assays</w:t>
      </w:r>
      <w:r w:rsidR="005442E7">
        <w:t xml:space="preserve"> were performed. </w:t>
      </w:r>
      <w:r w:rsidRPr="005442E7">
        <w:rPr>
          <w:b/>
        </w:rPr>
        <w:t>Findings</w:t>
      </w:r>
      <w:r>
        <w:t xml:space="preserve">: </w:t>
      </w:r>
      <w:r w:rsidR="00B75DEC">
        <w:t>W</w:t>
      </w:r>
      <w:r w:rsidR="00B75DEC" w:rsidRPr="00B75DEC">
        <w:t>e determined the crystal structure of PI3K</w:t>
      </w:r>
      <w:r w:rsidR="00B75DEC" w:rsidRPr="00B75DEC">
        <w:rPr>
          <w:rFonts w:ascii="Calibri" w:hAnsi="Calibri" w:cs="Calibri"/>
        </w:rPr>
        <w:t>α</w:t>
      </w:r>
      <w:r w:rsidR="00B75DEC" w:rsidRPr="00B75DEC">
        <w:t xml:space="preserve"> in complex with the potential inhibitor YXY-4F. </w:t>
      </w:r>
      <w:r w:rsidRPr="00B75DEC">
        <w:rPr>
          <w:b/>
        </w:rPr>
        <w:t>Conclusion &amp; Significance:</w:t>
      </w:r>
      <w:r>
        <w:t xml:space="preserve"> </w:t>
      </w:r>
      <w:r w:rsidR="00B75DEC" w:rsidRPr="00B75DEC">
        <w:t>The description of the new crystal structure provides further insights into the potent and selective design of PI3K</w:t>
      </w:r>
      <w:r w:rsidR="00B75DEC" w:rsidRPr="00B75DEC">
        <w:rPr>
          <w:rFonts w:ascii="Calibri" w:hAnsi="Calibri" w:cs="Calibri"/>
        </w:rPr>
        <w:t>α</w:t>
      </w:r>
      <w:r w:rsidR="00B75DEC" w:rsidRPr="00B75DEC">
        <w:t xml:space="preserve"> inhibitors.</w:t>
      </w:r>
      <w:r>
        <w:br w:type="column"/>
      </w:r>
      <w:r>
        <w:rPr>
          <w:color w:val="BF5A14"/>
        </w:rPr>
        <w:t>Image</w:t>
      </w:r>
    </w:p>
    <w:p w:rsidR="00AE3E37" w:rsidRDefault="00AC6DAF">
      <w:pPr>
        <w:pStyle w:val="a3"/>
        <w:spacing w:before="2"/>
        <w:rPr>
          <w:rFonts w:ascii="Arial"/>
          <w:b/>
          <w:sz w:val="16"/>
        </w:rPr>
      </w:pPr>
      <w:r w:rsidRPr="00AC6DAF">
        <w:rPr>
          <w:rFonts w:ascii="Arial"/>
          <w:b/>
          <w:noProof/>
          <w:sz w:val="16"/>
        </w:rPr>
        <w:drawing>
          <wp:inline distT="0" distB="0" distL="0" distR="0">
            <wp:extent cx="3339548" cy="1488116"/>
            <wp:effectExtent l="0" t="0" r="0" b="0"/>
            <wp:docPr id="4" name="图片 4" descr="C:\Users\admin\Desktop\41598_2017_15260_Fig4_HT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41598_2017_15260_Fig4_HTM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462" cy="150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DAF" w:rsidRDefault="00AC6DAF">
      <w:pPr>
        <w:pStyle w:val="a3"/>
        <w:spacing w:before="2"/>
        <w:rPr>
          <w:rFonts w:ascii="Arial"/>
          <w:b/>
          <w:sz w:val="16"/>
        </w:rPr>
      </w:pPr>
    </w:p>
    <w:p w:rsidR="00AC6DAF" w:rsidRDefault="00AC6DAF">
      <w:pPr>
        <w:pStyle w:val="a3"/>
        <w:spacing w:before="2"/>
        <w:rPr>
          <w:rFonts w:ascii="Arial"/>
          <w:b/>
          <w:sz w:val="16"/>
        </w:rPr>
      </w:pPr>
    </w:p>
    <w:p w:rsidR="00AC6DAF" w:rsidRDefault="007F1C03" w:rsidP="00AC6DAF">
      <w:pPr>
        <w:spacing w:line="204" w:lineRule="exact"/>
        <w:jc w:val="both"/>
        <w:rPr>
          <w:sz w:val="18"/>
          <w:szCs w:val="18"/>
        </w:rPr>
      </w:pPr>
      <w:r w:rsidRPr="007F1C03">
        <w:rPr>
          <w:sz w:val="18"/>
          <w:szCs w:val="18"/>
        </w:rPr>
        <w:t>Figure 1</w:t>
      </w:r>
      <w:r>
        <w:rPr>
          <w:sz w:val="18"/>
          <w:szCs w:val="18"/>
        </w:rPr>
        <w:t xml:space="preserve">: </w:t>
      </w:r>
      <w:r w:rsidR="00AC6DAF" w:rsidRPr="00AC6DAF">
        <w:rPr>
          <w:sz w:val="18"/>
          <w:szCs w:val="18"/>
        </w:rPr>
        <w:t>Comparison of apo p110</w:t>
      </w:r>
      <w:r w:rsidR="00AC6DAF" w:rsidRPr="00AC6DAF">
        <w:rPr>
          <w:rFonts w:ascii="Calibri" w:hAnsi="Calibri" w:cs="Calibri"/>
          <w:sz w:val="18"/>
          <w:szCs w:val="18"/>
        </w:rPr>
        <w:t>α</w:t>
      </w:r>
      <w:r w:rsidR="00AC6DAF" w:rsidRPr="00AC6DAF">
        <w:rPr>
          <w:sz w:val="18"/>
          <w:szCs w:val="18"/>
        </w:rPr>
        <w:t xml:space="preserve"> and YXY-4F-p110</w:t>
      </w:r>
      <w:r w:rsidR="00AC6DAF" w:rsidRPr="00AC6DAF">
        <w:rPr>
          <w:rFonts w:ascii="Calibri" w:hAnsi="Calibri" w:cs="Calibri"/>
          <w:sz w:val="18"/>
          <w:szCs w:val="18"/>
        </w:rPr>
        <w:t>α</w:t>
      </w:r>
      <w:r w:rsidR="00AC6DAF" w:rsidRPr="00AC6DAF">
        <w:rPr>
          <w:sz w:val="18"/>
          <w:szCs w:val="18"/>
        </w:rPr>
        <w:t xml:space="preserve"> complexes. (A) Overlay apo p110</w:t>
      </w:r>
      <w:r w:rsidR="00AC6DAF" w:rsidRPr="00AC6DAF">
        <w:rPr>
          <w:rFonts w:ascii="Calibri" w:hAnsi="Calibri" w:cs="Calibri"/>
          <w:sz w:val="18"/>
          <w:szCs w:val="18"/>
        </w:rPr>
        <w:t>α</w:t>
      </w:r>
      <w:r w:rsidR="00AC6DAF" w:rsidRPr="00AC6DAF">
        <w:rPr>
          <w:sz w:val="18"/>
          <w:szCs w:val="18"/>
        </w:rPr>
        <w:t xml:space="preserve"> and YXY-4F-p110</w:t>
      </w:r>
      <w:r w:rsidR="00AC6DAF" w:rsidRPr="00AC6DAF">
        <w:rPr>
          <w:rFonts w:ascii="Calibri" w:hAnsi="Calibri" w:cs="Calibri"/>
          <w:sz w:val="18"/>
          <w:szCs w:val="18"/>
        </w:rPr>
        <w:t>α</w:t>
      </w:r>
      <w:r w:rsidR="00AC6DAF" w:rsidRPr="00AC6DAF">
        <w:rPr>
          <w:sz w:val="18"/>
          <w:szCs w:val="18"/>
        </w:rPr>
        <w:t xml:space="preserve"> complexes. Apo p110</w:t>
      </w:r>
      <w:r w:rsidR="00AC6DAF" w:rsidRPr="00AC6DAF">
        <w:rPr>
          <w:rFonts w:ascii="Calibri" w:hAnsi="Calibri" w:cs="Calibri"/>
          <w:sz w:val="18"/>
          <w:szCs w:val="18"/>
        </w:rPr>
        <w:t>α</w:t>
      </w:r>
      <w:r w:rsidR="00AC6DAF" w:rsidRPr="00AC6DAF">
        <w:rPr>
          <w:sz w:val="18"/>
          <w:szCs w:val="18"/>
        </w:rPr>
        <w:t xml:space="preserve"> is colored in wheat and YXY-4F-p110</w:t>
      </w:r>
      <w:r w:rsidR="00AC6DAF" w:rsidRPr="00AC6DAF">
        <w:rPr>
          <w:rFonts w:ascii="Calibri" w:hAnsi="Calibri" w:cs="Calibri"/>
          <w:sz w:val="18"/>
          <w:szCs w:val="18"/>
        </w:rPr>
        <w:t>α</w:t>
      </w:r>
      <w:r w:rsidR="00AC6DAF" w:rsidRPr="00AC6DAF">
        <w:rPr>
          <w:sz w:val="18"/>
          <w:szCs w:val="18"/>
        </w:rPr>
        <w:t xml:space="preserve"> is colored in </w:t>
      </w:r>
      <w:proofErr w:type="spellStart"/>
      <w:r w:rsidR="00AC6DAF" w:rsidRPr="00AC6DAF">
        <w:rPr>
          <w:sz w:val="18"/>
          <w:szCs w:val="18"/>
        </w:rPr>
        <w:t>palegreen</w:t>
      </w:r>
      <w:proofErr w:type="spellEnd"/>
      <w:r w:rsidR="00AC6DAF" w:rsidRPr="00AC6DAF">
        <w:rPr>
          <w:sz w:val="18"/>
          <w:szCs w:val="18"/>
        </w:rPr>
        <w:t>. (B) Interface between YXY-4F</w:t>
      </w:r>
      <w:r w:rsidR="00AC6DAF">
        <w:rPr>
          <w:sz w:val="18"/>
          <w:szCs w:val="18"/>
        </w:rPr>
        <w:t>.</w:t>
      </w:r>
    </w:p>
    <w:p w:rsidR="00AC6DAF" w:rsidRDefault="00AC6DAF" w:rsidP="00AC6DAF">
      <w:pPr>
        <w:spacing w:line="204" w:lineRule="exact"/>
        <w:jc w:val="both"/>
        <w:rPr>
          <w:rFonts w:ascii="Arial"/>
          <w:b/>
          <w:color w:val="BF5A14"/>
          <w:sz w:val="20"/>
        </w:rPr>
      </w:pPr>
    </w:p>
    <w:p w:rsidR="005973B9" w:rsidRDefault="005973B9" w:rsidP="00C92505">
      <w:pPr>
        <w:spacing w:line="204" w:lineRule="exact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D64525" w:rsidP="00D6452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D64525">
        <w:rPr>
          <w:sz w:val="18"/>
        </w:rPr>
        <w:t xml:space="preserve">1. Arcaro A, </w:t>
      </w:r>
      <w:proofErr w:type="spellStart"/>
      <w:r w:rsidRPr="00D64525">
        <w:rPr>
          <w:sz w:val="18"/>
        </w:rPr>
        <w:t>Guerreiro</w:t>
      </w:r>
      <w:proofErr w:type="spellEnd"/>
      <w:r w:rsidRPr="00D64525">
        <w:rPr>
          <w:sz w:val="18"/>
        </w:rPr>
        <w:t xml:space="preserve"> AS. The phosphoinositide 3-kinase pathway in human cancer: Genetic alterations and therapeutic implications. </w:t>
      </w:r>
      <w:proofErr w:type="spellStart"/>
      <w:r w:rsidRPr="00D64525">
        <w:rPr>
          <w:sz w:val="18"/>
        </w:rPr>
        <w:t>Curr</w:t>
      </w:r>
      <w:proofErr w:type="spellEnd"/>
      <w:r w:rsidRPr="00D64525">
        <w:rPr>
          <w:sz w:val="18"/>
        </w:rPr>
        <w:t xml:space="preserve"> Genomics. </w:t>
      </w:r>
      <w:proofErr w:type="gramStart"/>
      <w:r w:rsidRPr="00D64525">
        <w:rPr>
          <w:sz w:val="18"/>
        </w:rPr>
        <w:t>2007;8:271</w:t>
      </w:r>
      <w:proofErr w:type="gramEnd"/>
      <w:r w:rsidRPr="00D64525">
        <w:rPr>
          <w:sz w:val="18"/>
        </w:rPr>
        <w:t>–306.</w:t>
      </w:r>
    </w:p>
    <w:p w:rsidR="005E7731" w:rsidRDefault="005E7731" w:rsidP="005E773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5E7731">
        <w:rPr>
          <w:sz w:val="18"/>
        </w:rPr>
        <w:t>Chen P, et al. The phosphoinositide 3-kinase/</w:t>
      </w:r>
      <w:proofErr w:type="spellStart"/>
      <w:r w:rsidRPr="005E7731">
        <w:rPr>
          <w:sz w:val="18"/>
        </w:rPr>
        <w:t>Akt</w:t>
      </w:r>
      <w:proofErr w:type="spellEnd"/>
      <w:r w:rsidRPr="005E7731">
        <w:rPr>
          <w:sz w:val="18"/>
        </w:rPr>
        <w:t xml:space="preserve">-signal pathway mediates proliferation and secretory function of hepatic sinusoidal endothelial cells in rats after partial hepatectomy. </w:t>
      </w:r>
      <w:proofErr w:type="spellStart"/>
      <w:r w:rsidRPr="005E7731">
        <w:rPr>
          <w:sz w:val="18"/>
        </w:rPr>
        <w:t>Biochem</w:t>
      </w:r>
      <w:proofErr w:type="spellEnd"/>
      <w:r w:rsidRPr="005E7731">
        <w:rPr>
          <w:sz w:val="18"/>
        </w:rPr>
        <w:t xml:space="preserve"> </w:t>
      </w:r>
      <w:proofErr w:type="spellStart"/>
      <w:r w:rsidRPr="005E7731">
        <w:rPr>
          <w:sz w:val="18"/>
        </w:rPr>
        <w:t>Biophys</w:t>
      </w:r>
      <w:proofErr w:type="spellEnd"/>
      <w:r w:rsidRPr="005E7731">
        <w:rPr>
          <w:sz w:val="18"/>
        </w:rPr>
        <w:t xml:space="preserve"> Res </w:t>
      </w:r>
      <w:proofErr w:type="spellStart"/>
      <w:r w:rsidRPr="005E7731">
        <w:rPr>
          <w:sz w:val="18"/>
        </w:rPr>
        <w:t>Commun</w:t>
      </w:r>
      <w:proofErr w:type="spellEnd"/>
      <w:r w:rsidRPr="005E7731">
        <w:rPr>
          <w:sz w:val="18"/>
        </w:rPr>
        <w:t xml:space="preserve">. </w:t>
      </w:r>
      <w:proofErr w:type="gramStart"/>
      <w:r w:rsidRPr="005E7731">
        <w:rPr>
          <w:sz w:val="18"/>
        </w:rPr>
        <w:t>2006;342:887</w:t>
      </w:r>
      <w:proofErr w:type="gramEnd"/>
      <w:r w:rsidRPr="005E7731">
        <w:rPr>
          <w:sz w:val="18"/>
        </w:rPr>
        <w:t>–893.</w:t>
      </w:r>
    </w:p>
    <w:p w:rsidR="005E7731" w:rsidRDefault="005E7731" w:rsidP="005E7731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5E7731">
        <w:rPr>
          <w:sz w:val="18"/>
        </w:rPr>
        <w:t>Chen P, et al. The phosphoinositide 3-kinase/</w:t>
      </w:r>
      <w:proofErr w:type="spellStart"/>
      <w:r w:rsidRPr="005E7731">
        <w:rPr>
          <w:sz w:val="18"/>
        </w:rPr>
        <w:t>Akt</w:t>
      </w:r>
      <w:proofErr w:type="spellEnd"/>
      <w:r w:rsidRPr="005E7731">
        <w:rPr>
          <w:sz w:val="18"/>
        </w:rPr>
        <w:t xml:space="preserve">-signal pathway mediates proliferation and secretory function of hepatic sinusoidal endothelial cells in rats after partial hepatectomy. </w:t>
      </w:r>
      <w:proofErr w:type="spellStart"/>
      <w:r w:rsidRPr="005E7731">
        <w:rPr>
          <w:sz w:val="18"/>
        </w:rPr>
        <w:t>Biochem</w:t>
      </w:r>
      <w:proofErr w:type="spellEnd"/>
      <w:r w:rsidRPr="005E7731">
        <w:rPr>
          <w:sz w:val="18"/>
        </w:rPr>
        <w:t xml:space="preserve"> </w:t>
      </w:r>
      <w:proofErr w:type="spellStart"/>
      <w:r w:rsidRPr="005E7731">
        <w:rPr>
          <w:sz w:val="18"/>
        </w:rPr>
        <w:t>Biophys</w:t>
      </w:r>
      <w:proofErr w:type="spellEnd"/>
      <w:r w:rsidRPr="005E7731">
        <w:rPr>
          <w:sz w:val="18"/>
        </w:rPr>
        <w:t xml:space="preserve"> Res </w:t>
      </w:r>
      <w:proofErr w:type="spellStart"/>
      <w:r w:rsidRPr="005E7731">
        <w:rPr>
          <w:sz w:val="18"/>
        </w:rPr>
        <w:t>Commun</w:t>
      </w:r>
      <w:proofErr w:type="spellEnd"/>
      <w:r w:rsidRPr="005E7731">
        <w:rPr>
          <w:sz w:val="18"/>
        </w:rPr>
        <w:t xml:space="preserve">. </w:t>
      </w:r>
      <w:proofErr w:type="gramStart"/>
      <w:r w:rsidRPr="005E7731">
        <w:rPr>
          <w:sz w:val="18"/>
        </w:rPr>
        <w:t>2006;342:887</w:t>
      </w:r>
      <w:proofErr w:type="gramEnd"/>
      <w:r w:rsidRPr="005E7731">
        <w:rPr>
          <w:sz w:val="18"/>
        </w:rPr>
        <w:t>–893.</w:t>
      </w:r>
    </w:p>
    <w:p w:rsidR="005E7731" w:rsidRDefault="005E7731" w:rsidP="005E7731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5E7731">
        <w:rPr>
          <w:sz w:val="18"/>
        </w:rPr>
        <w:t xml:space="preserve"> Amur S, </w:t>
      </w:r>
      <w:proofErr w:type="spellStart"/>
      <w:r w:rsidRPr="005E7731">
        <w:rPr>
          <w:sz w:val="18"/>
        </w:rPr>
        <w:t>Frueh</w:t>
      </w:r>
      <w:proofErr w:type="spellEnd"/>
      <w:r w:rsidRPr="005E7731">
        <w:rPr>
          <w:sz w:val="18"/>
        </w:rPr>
        <w:t xml:space="preserve"> FW, Lesko LJ, Huang SM. Integration and use of biomarkers in drug development, regulation and clinical practice: a US regulatory perspective. </w:t>
      </w:r>
      <w:proofErr w:type="spellStart"/>
      <w:r w:rsidRPr="005E7731">
        <w:rPr>
          <w:sz w:val="18"/>
        </w:rPr>
        <w:t>Biomark</w:t>
      </w:r>
      <w:proofErr w:type="spellEnd"/>
      <w:r w:rsidRPr="005E7731">
        <w:rPr>
          <w:sz w:val="18"/>
        </w:rPr>
        <w:t xml:space="preserve"> Med. </w:t>
      </w:r>
      <w:proofErr w:type="gramStart"/>
      <w:r w:rsidRPr="005E7731">
        <w:rPr>
          <w:sz w:val="18"/>
        </w:rPr>
        <w:t>2008;2:305</w:t>
      </w:r>
      <w:proofErr w:type="gramEnd"/>
      <w:r w:rsidRPr="005E7731">
        <w:rPr>
          <w:sz w:val="18"/>
        </w:rPr>
        <w:t>–311.</w:t>
      </w:r>
    </w:p>
    <w:p w:rsidR="00AE3E37" w:rsidRPr="005E7731" w:rsidRDefault="005E7731" w:rsidP="005E7731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5E7731">
        <w:t xml:space="preserve"> </w:t>
      </w:r>
      <w:r w:rsidRPr="005E7731">
        <w:rPr>
          <w:sz w:val="18"/>
        </w:rPr>
        <w:t xml:space="preserve">Denny WA. Phosphoinositide 3-kinase alpha inhibitors: a patent review. Expert </w:t>
      </w:r>
      <w:proofErr w:type="spellStart"/>
      <w:r w:rsidRPr="005E7731">
        <w:rPr>
          <w:sz w:val="18"/>
        </w:rPr>
        <w:t>Opin</w:t>
      </w:r>
      <w:proofErr w:type="spellEnd"/>
      <w:r w:rsidRPr="005E7731">
        <w:rPr>
          <w:sz w:val="18"/>
        </w:rPr>
        <w:t xml:space="preserve"> </w:t>
      </w:r>
      <w:proofErr w:type="spellStart"/>
      <w:r w:rsidRPr="005E7731">
        <w:rPr>
          <w:sz w:val="18"/>
        </w:rPr>
        <w:t>Ther</w:t>
      </w:r>
      <w:proofErr w:type="spellEnd"/>
      <w:r w:rsidRPr="005E7731">
        <w:rPr>
          <w:sz w:val="18"/>
        </w:rPr>
        <w:t xml:space="preserve"> Pat. </w:t>
      </w:r>
      <w:proofErr w:type="gramStart"/>
      <w:r w:rsidRPr="005E7731">
        <w:rPr>
          <w:sz w:val="18"/>
        </w:rPr>
        <w:t>2013;23:789</w:t>
      </w:r>
      <w:proofErr w:type="gramEnd"/>
      <w:r w:rsidRPr="005E7731">
        <w:rPr>
          <w:sz w:val="18"/>
        </w:rPr>
        <w:t>–799.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4FA92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417213" cy="625069"/>
            <wp:effectExtent l="0" t="0" r="190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13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FA1F4A" w:rsidRDefault="00FA1F4A" w:rsidP="004A28AD">
      <w:pPr>
        <w:jc w:val="both"/>
      </w:pPr>
      <w:proofErr w:type="spellStart"/>
      <w:r>
        <w:t>Qiufen</w:t>
      </w:r>
      <w:proofErr w:type="spellEnd"/>
      <w:r>
        <w:t xml:space="preserve"> Zhang</w:t>
      </w:r>
      <w:r w:rsidRPr="00C26721">
        <w:t xml:space="preserve"> has her expertise in natural products drug discovery for </w:t>
      </w:r>
      <w:r>
        <w:t>anti-cancer</w:t>
      </w:r>
      <w:r w:rsidRPr="00C26721">
        <w:t xml:space="preserve"> with extensive knowledge on pharmacology, molecular biology, structural biology and medicinal chemistry. Her compound library based on molecular design</w:t>
      </w:r>
      <w:r>
        <w:t>ing</w:t>
      </w:r>
      <w:r w:rsidRPr="00C26721">
        <w:t xml:space="preserve"> creates new structurally untapped resource for improving healthcare. Based on this library, she has discovered </w:t>
      </w:r>
      <w:r>
        <w:t>some</w:t>
      </w:r>
      <w:r w:rsidRPr="00C26721">
        <w:t xml:space="preserve"> promising lead compounds targeted to enzymes</w:t>
      </w:r>
      <w:r w:rsidR="004A28AD">
        <w:t>.</w:t>
      </w:r>
    </w:p>
    <w:p w:rsidR="00AE3E37" w:rsidRPr="00A6744B" w:rsidRDefault="00A9710C">
      <w:pPr>
        <w:spacing w:before="62"/>
        <w:ind w:left="4217" w:right="4235"/>
        <w:jc w:val="center"/>
        <w:rPr>
          <w:rStyle w:val="ac"/>
          <w:rFonts w:ascii="Arial" w:eastAsiaTheme="minorEastAsia" w:hint="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A6744B">
        <w:rPr>
          <w:rFonts w:ascii="Arial" w:eastAsiaTheme="minorEastAsia" w:hint="eastAsia"/>
          <w:sz w:val="14"/>
          <w:lang w:eastAsia="zh-CN"/>
        </w:rPr>
        <w:t>autumn</w:t>
      </w:r>
      <w:r w:rsidR="00A6744B">
        <w:rPr>
          <w:rFonts w:ascii="Arial" w:eastAsiaTheme="minorEastAsia"/>
          <w:sz w:val="14"/>
          <w:lang w:eastAsia="zh-CN"/>
        </w:rPr>
        <w:t>.sky@163.com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c"/>
          <w:rFonts w:ascii="Arial"/>
          <w:color w:val="auto"/>
          <w:sz w:val="14"/>
          <w:u w:val="none"/>
        </w:rPr>
        <w:t xml:space="preserve">Phone: </w:t>
      </w:r>
      <w:r>
        <w:rPr>
          <w:rStyle w:val="ac"/>
          <w:rFonts w:ascii="Arial"/>
          <w:color w:val="auto"/>
          <w:sz w:val="14"/>
          <w:u w:val="none"/>
        </w:rPr>
        <w:t>+</w:t>
      </w:r>
      <w:r w:rsidR="00A6744B">
        <w:rPr>
          <w:rStyle w:val="ac"/>
          <w:rFonts w:ascii="Arial"/>
          <w:color w:val="auto"/>
          <w:sz w:val="14"/>
          <w:u w:val="none"/>
        </w:rPr>
        <w:t>86</w:t>
      </w:r>
      <w:r>
        <w:rPr>
          <w:rStyle w:val="ac"/>
          <w:rFonts w:ascii="Arial"/>
          <w:color w:val="auto"/>
          <w:sz w:val="14"/>
          <w:u w:val="none"/>
        </w:rPr>
        <w:t>-1</w:t>
      </w:r>
      <w:r w:rsidR="00A6744B">
        <w:rPr>
          <w:rStyle w:val="ac"/>
          <w:rFonts w:ascii="Arial"/>
          <w:color w:val="auto"/>
          <w:sz w:val="14"/>
          <w:u w:val="none"/>
        </w:rPr>
        <w:t>58</w:t>
      </w:r>
      <w:r>
        <w:rPr>
          <w:rStyle w:val="ac"/>
          <w:rFonts w:ascii="Arial"/>
          <w:color w:val="auto"/>
          <w:sz w:val="14"/>
          <w:u w:val="none"/>
        </w:rPr>
        <w:t>-</w:t>
      </w:r>
      <w:r w:rsidR="00A6744B">
        <w:rPr>
          <w:rStyle w:val="ac"/>
          <w:rFonts w:ascii="Arial"/>
          <w:color w:val="auto"/>
          <w:sz w:val="14"/>
          <w:u w:val="none"/>
        </w:rPr>
        <w:t>0171</w:t>
      </w:r>
      <w:r>
        <w:rPr>
          <w:rStyle w:val="ac"/>
          <w:rFonts w:ascii="Arial"/>
          <w:color w:val="auto"/>
          <w:sz w:val="14"/>
          <w:u w:val="none"/>
        </w:rPr>
        <w:t>-</w:t>
      </w:r>
      <w:r w:rsidR="00A6744B">
        <w:rPr>
          <w:rStyle w:val="ac"/>
          <w:rFonts w:ascii="Arial"/>
          <w:color w:val="auto"/>
          <w:sz w:val="14"/>
          <w:u w:val="none"/>
        </w:rPr>
        <w:t>6624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24C3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3B6970" w:rsidRDefault="00A9710C" w:rsidP="003B6970">
      <w:pPr>
        <w:spacing w:before="39"/>
        <w:rPr>
          <w:rFonts w:ascii="Minion Pro"/>
          <w:b/>
          <w:sz w:val="20"/>
        </w:rPr>
        <w:sectPr w:rsidR="00AE3E37" w:rsidRPr="003B69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</w:p>
    <w:p w:rsidR="00AE3E37" w:rsidRDefault="00AE3E37" w:rsidP="003B6970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EEF" w:rsidRDefault="00587EEF">
      <w:r>
        <w:separator/>
      </w:r>
    </w:p>
  </w:endnote>
  <w:endnote w:type="continuationSeparator" w:id="0">
    <w:p w:rsidR="00587EEF" w:rsidRDefault="0058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EEF" w:rsidRDefault="00587EEF">
      <w:r>
        <w:separator/>
      </w:r>
    </w:p>
  </w:footnote>
  <w:footnote w:type="continuationSeparator" w:id="0">
    <w:p w:rsidR="00587EEF" w:rsidRDefault="00587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642C6"/>
    <w:rsid w:val="00065718"/>
    <w:rsid w:val="000E2911"/>
    <w:rsid w:val="001263DF"/>
    <w:rsid w:val="00163EF7"/>
    <w:rsid w:val="002220FB"/>
    <w:rsid w:val="00292ED9"/>
    <w:rsid w:val="003B6970"/>
    <w:rsid w:val="00404E5B"/>
    <w:rsid w:val="00414F7B"/>
    <w:rsid w:val="004355DC"/>
    <w:rsid w:val="004749B4"/>
    <w:rsid w:val="00476B9B"/>
    <w:rsid w:val="004906F3"/>
    <w:rsid w:val="00494130"/>
    <w:rsid w:val="004A28AD"/>
    <w:rsid w:val="004F3523"/>
    <w:rsid w:val="005442E7"/>
    <w:rsid w:val="00587EEF"/>
    <w:rsid w:val="005973B9"/>
    <w:rsid w:val="005B3A56"/>
    <w:rsid w:val="005E7731"/>
    <w:rsid w:val="006060CE"/>
    <w:rsid w:val="0063497F"/>
    <w:rsid w:val="006910C5"/>
    <w:rsid w:val="007F1C03"/>
    <w:rsid w:val="00827B1F"/>
    <w:rsid w:val="00873DF0"/>
    <w:rsid w:val="008756E6"/>
    <w:rsid w:val="008F510E"/>
    <w:rsid w:val="00994DB5"/>
    <w:rsid w:val="009B2D44"/>
    <w:rsid w:val="00A07E82"/>
    <w:rsid w:val="00A6744B"/>
    <w:rsid w:val="00A9710C"/>
    <w:rsid w:val="00AC588E"/>
    <w:rsid w:val="00AC6DAF"/>
    <w:rsid w:val="00AE3E37"/>
    <w:rsid w:val="00B21A57"/>
    <w:rsid w:val="00B229AD"/>
    <w:rsid w:val="00B75DEC"/>
    <w:rsid w:val="00C11A1F"/>
    <w:rsid w:val="00C33602"/>
    <w:rsid w:val="00C92505"/>
    <w:rsid w:val="00CC00DB"/>
    <w:rsid w:val="00CD6F55"/>
    <w:rsid w:val="00D64525"/>
    <w:rsid w:val="00DE3104"/>
    <w:rsid w:val="00E029EB"/>
    <w:rsid w:val="00E72B6E"/>
    <w:rsid w:val="00F72EEA"/>
    <w:rsid w:val="00F84CAE"/>
    <w:rsid w:val="00FA1F4A"/>
    <w:rsid w:val="00FD0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E897C"/>
  <w15:docId w15:val="{7351BB8C-47C8-40CF-8961-32D70DCB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38</cp:revision>
  <dcterms:created xsi:type="dcterms:W3CDTF">2016-08-31T12:03:00Z</dcterms:created>
  <dcterms:modified xsi:type="dcterms:W3CDTF">2017-12-01T05:09:00Z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