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B1DB8" w14:textId="23AFFF77" w:rsidR="00640026" w:rsidRDefault="00640026" w:rsidP="00DC6DC5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Pharmacokinetics of ES-481</w:t>
      </w:r>
    </w:p>
    <w:p w14:paraId="35E6BE38" w14:textId="77777777" w:rsidR="00640026" w:rsidRDefault="00640026" w:rsidP="00DC6DC5">
      <w:pPr>
        <w:rPr>
          <w:rFonts w:ascii="Arial" w:hAnsi="Arial" w:cs="Arial"/>
          <w:b/>
          <w:bCs/>
          <w:sz w:val="20"/>
          <w:szCs w:val="20"/>
        </w:rPr>
      </w:pPr>
    </w:p>
    <w:p w14:paraId="076AD102" w14:textId="07D98BF3" w:rsidR="00640026" w:rsidRPr="00640026" w:rsidRDefault="00640026" w:rsidP="00DC6DC5">
      <w:pPr>
        <w:rPr>
          <w:rFonts w:ascii="Arial" w:hAnsi="Arial" w:cs="Arial"/>
          <w:b/>
          <w:bCs/>
          <w:sz w:val="20"/>
          <w:szCs w:val="20"/>
          <w:vertAlign w:val="superscript"/>
        </w:rPr>
      </w:pPr>
      <w:r>
        <w:rPr>
          <w:rFonts w:ascii="Arial" w:hAnsi="Arial" w:cs="Arial"/>
          <w:b/>
          <w:bCs/>
          <w:sz w:val="20"/>
          <w:szCs w:val="20"/>
        </w:rPr>
        <w:t>Niecestro R</w:t>
      </w:r>
      <w:r>
        <w:rPr>
          <w:rFonts w:ascii="Arial" w:hAnsi="Arial" w:cs="Arial"/>
          <w:b/>
          <w:bCs/>
          <w:sz w:val="20"/>
          <w:szCs w:val="20"/>
          <w:vertAlign w:val="superscript"/>
        </w:rPr>
        <w:t>1</w:t>
      </w:r>
      <w:r>
        <w:rPr>
          <w:rFonts w:ascii="Arial" w:hAnsi="Arial" w:cs="Arial"/>
          <w:b/>
          <w:bCs/>
          <w:sz w:val="20"/>
          <w:szCs w:val="20"/>
        </w:rPr>
        <w:t>, Foster EC</w:t>
      </w:r>
      <w:r>
        <w:rPr>
          <w:rFonts w:ascii="Arial" w:hAnsi="Arial" w:cs="Arial"/>
          <w:b/>
          <w:bCs/>
          <w:sz w:val="20"/>
          <w:szCs w:val="20"/>
          <w:vertAlign w:val="superscript"/>
        </w:rPr>
        <w:t>,2,3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Millist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L</w:t>
      </w:r>
      <w:r>
        <w:rPr>
          <w:rFonts w:ascii="Arial" w:hAnsi="Arial" w:cs="Arial"/>
          <w:b/>
          <w:bCs/>
          <w:sz w:val="20"/>
          <w:szCs w:val="20"/>
          <w:vertAlign w:val="superscript"/>
        </w:rPr>
        <w:t>3</w:t>
      </w:r>
      <w:r>
        <w:rPr>
          <w:rFonts w:ascii="Arial" w:hAnsi="Arial" w:cs="Arial"/>
          <w:b/>
          <w:bCs/>
          <w:sz w:val="20"/>
          <w:szCs w:val="20"/>
        </w:rPr>
        <w:t>, Germaine J</w:t>
      </w:r>
      <w:r>
        <w:rPr>
          <w:rFonts w:ascii="Arial" w:hAnsi="Arial" w:cs="Arial"/>
          <w:b/>
          <w:bCs/>
          <w:sz w:val="20"/>
          <w:szCs w:val="20"/>
          <w:vertAlign w:val="superscript"/>
        </w:rPr>
        <w:t>3</w:t>
      </w:r>
      <w:r>
        <w:rPr>
          <w:rFonts w:ascii="Arial" w:hAnsi="Arial" w:cs="Arial"/>
          <w:b/>
          <w:bCs/>
          <w:sz w:val="20"/>
          <w:szCs w:val="20"/>
        </w:rPr>
        <w:t>, Niecestro A</w:t>
      </w:r>
      <w:r>
        <w:rPr>
          <w:rFonts w:ascii="Arial" w:hAnsi="Arial" w:cs="Arial"/>
          <w:b/>
          <w:bCs/>
          <w:sz w:val="20"/>
          <w:szCs w:val="20"/>
          <w:vertAlign w:val="superscript"/>
        </w:rPr>
        <w:t>1</w:t>
      </w:r>
      <w:r>
        <w:rPr>
          <w:rFonts w:ascii="Arial" w:hAnsi="Arial" w:cs="Arial"/>
          <w:b/>
          <w:bCs/>
          <w:sz w:val="20"/>
          <w:szCs w:val="20"/>
        </w:rPr>
        <w:t>, O’Brien TJ</w:t>
      </w:r>
      <w:r>
        <w:rPr>
          <w:rFonts w:ascii="Arial" w:hAnsi="Arial" w:cs="Arial"/>
          <w:b/>
          <w:bCs/>
          <w:sz w:val="20"/>
          <w:szCs w:val="20"/>
          <w:vertAlign w:val="superscript"/>
        </w:rPr>
        <w:t>2,2</w:t>
      </w:r>
    </w:p>
    <w:p w14:paraId="62130655" w14:textId="77777777" w:rsidR="00640026" w:rsidRDefault="00640026" w:rsidP="00DC6DC5">
      <w:pPr>
        <w:rPr>
          <w:rFonts w:ascii="Arial" w:hAnsi="Arial" w:cs="Arial"/>
          <w:b/>
          <w:bCs/>
          <w:sz w:val="20"/>
          <w:szCs w:val="20"/>
        </w:rPr>
      </w:pPr>
    </w:p>
    <w:p w14:paraId="4A31B4A5" w14:textId="02245457" w:rsidR="00640026" w:rsidRPr="00703181" w:rsidRDefault="00640026" w:rsidP="00DC6DC5">
      <w:pPr>
        <w:rPr>
          <w:rFonts w:ascii="Arial" w:hAnsi="Arial" w:cs="Arial"/>
          <w:sz w:val="20"/>
          <w:szCs w:val="20"/>
        </w:rPr>
      </w:pPr>
      <w:r w:rsidRPr="00703181">
        <w:rPr>
          <w:rFonts w:ascii="Arial" w:hAnsi="Arial" w:cs="Arial"/>
          <w:sz w:val="20"/>
          <w:szCs w:val="20"/>
          <w:vertAlign w:val="superscript"/>
        </w:rPr>
        <w:t>1</w:t>
      </w:r>
      <w:r w:rsidRPr="00703181">
        <w:rPr>
          <w:rFonts w:ascii="Arial" w:hAnsi="Arial" w:cs="Arial"/>
          <w:sz w:val="20"/>
          <w:szCs w:val="20"/>
        </w:rPr>
        <w:t>ES Therapeutics, New York, NY USA</w:t>
      </w:r>
    </w:p>
    <w:p w14:paraId="1DC6D078" w14:textId="344E6C4F" w:rsidR="00640026" w:rsidRPr="00703181" w:rsidRDefault="00640026" w:rsidP="00DC6DC5">
      <w:pPr>
        <w:rPr>
          <w:rFonts w:ascii="Arial" w:hAnsi="Arial" w:cs="Arial"/>
          <w:sz w:val="20"/>
          <w:szCs w:val="20"/>
        </w:rPr>
      </w:pPr>
      <w:r w:rsidRPr="00703181">
        <w:rPr>
          <w:rFonts w:ascii="Arial" w:hAnsi="Arial" w:cs="Arial"/>
          <w:sz w:val="20"/>
          <w:szCs w:val="20"/>
          <w:vertAlign w:val="superscript"/>
        </w:rPr>
        <w:t>2</w:t>
      </w:r>
      <w:r w:rsidRPr="00703181">
        <w:rPr>
          <w:rFonts w:ascii="Arial" w:hAnsi="Arial" w:cs="Arial"/>
          <w:sz w:val="20"/>
          <w:szCs w:val="20"/>
        </w:rPr>
        <w:t>Alfred Health, Melbourne Australia</w:t>
      </w:r>
    </w:p>
    <w:p w14:paraId="1D5993FB" w14:textId="24FA4C97" w:rsidR="00640026" w:rsidRPr="00703181" w:rsidRDefault="00640026" w:rsidP="00DC6DC5">
      <w:pPr>
        <w:rPr>
          <w:rFonts w:ascii="Arial" w:hAnsi="Arial" w:cs="Arial"/>
          <w:sz w:val="20"/>
          <w:szCs w:val="20"/>
        </w:rPr>
      </w:pPr>
      <w:r w:rsidRPr="00703181">
        <w:rPr>
          <w:rFonts w:ascii="Arial" w:hAnsi="Arial" w:cs="Arial"/>
          <w:sz w:val="20"/>
          <w:szCs w:val="20"/>
          <w:vertAlign w:val="superscript"/>
        </w:rPr>
        <w:t>2</w:t>
      </w:r>
      <w:r w:rsidRPr="00703181">
        <w:rPr>
          <w:rFonts w:ascii="Arial" w:hAnsi="Arial" w:cs="Arial"/>
          <w:sz w:val="20"/>
          <w:szCs w:val="20"/>
        </w:rPr>
        <w:t>Monash University, Melbourne Australia</w:t>
      </w:r>
    </w:p>
    <w:p w14:paraId="34643CFD" w14:textId="77777777" w:rsidR="00640026" w:rsidRDefault="00640026" w:rsidP="00DC6DC5">
      <w:pPr>
        <w:rPr>
          <w:rFonts w:ascii="Arial" w:hAnsi="Arial" w:cs="Arial"/>
          <w:sz w:val="20"/>
          <w:szCs w:val="20"/>
        </w:rPr>
      </w:pPr>
    </w:p>
    <w:p w14:paraId="5E62AEF8" w14:textId="2C85FE42" w:rsidR="00640026" w:rsidRDefault="00640026" w:rsidP="00DC6D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Statement of Problem: </w:t>
      </w:r>
      <w:r w:rsidR="00DC6DC5" w:rsidRPr="00BF12F3">
        <w:rPr>
          <w:rFonts w:ascii="Arial" w:hAnsi="Arial" w:cs="Arial"/>
          <w:sz w:val="20"/>
          <w:szCs w:val="20"/>
        </w:rPr>
        <w:t xml:space="preserve">ES-481 is </w:t>
      </w:r>
      <w:r w:rsidR="00DC6DC5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 xml:space="preserve">new </w:t>
      </w:r>
      <w:r w:rsidR="00DC6DC5" w:rsidRPr="00BF12F3">
        <w:rPr>
          <w:rFonts w:ascii="Arial" w:hAnsi="Arial" w:cs="Arial"/>
          <w:sz w:val="20"/>
          <w:szCs w:val="20"/>
        </w:rPr>
        <w:t xml:space="preserve">selective antagonist of the transmembrane alpha-amino-3-hydroxy-5-methyl-4 </w:t>
      </w:r>
      <w:proofErr w:type="spellStart"/>
      <w:r w:rsidR="00DC6DC5" w:rsidRPr="00BF12F3">
        <w:rPr>
          <w:rFonts w:ascii="Arial" w:hAnsi="Arial" w:cs="Arial"/>
          <w:sz w:val="20"/>
          <w:szCs w:val="20"/>
        </w:rPr>
        <w:t>isoxazolepropionic</w:t>
      </w:r>
      <w:proofErr w:type="spellEnd"/>
      <w:r w:rsidR="00DC6DC5" w:rsidRPr="00BF12F3">
        <w:rPr>
          <w:rFonts w:ascii="Arial" w:hAnsi="Arial" w:cs="Arial"/>
          <w:sz w:val="20"/>
          <w:szCs w:val="20"/>
        </w:rPr>
        <w:t xml:space="preserve"> acid (AMPA) receptor regulatory protein ("TARP")-y8-dependent AMPA receptor being developed for the treatment of </w:t>
      </w:r>
      <w:r w:rsidR="00DC6DC5">
        <w:rPr>
          <w:rFonts w:ascii="Arial" w:hAnsi="Arial" w:cs="Arial"/>
          <w:sz w:val="20"/>
          <w:szCs w:val="20"/>
        </w:rPr>
        <w:t xml:space="preserve">drug-resistant </w:t>
      </w:r>
      <w:r w:rsidR="00DC6DC5" w:rsidRPr="00BF12F3">
        <w:rPr>
          <w:rFonts w:ascii="Arial" w:hAnsi="Arial" w:cs="Arial"/>
          <w:sz w:val="20"/>
          <w:szCs w:val="20"/>
        </w:rPr>
        <w:t>epilepsy</w:t>
      </w:r>
      <w:r w:rsidR="00DC6DC5">
        <w:rPr>
          <w:rFonts w:ascii="Arial" w:hAnsi="Arial" w:cs="Arial"/>
          <w:sz w:val="20"/>
          <w:szCs w:val="20"/>
        </w:rPr>
        <w:t xml:space="preserve"> (DRE)</w:t>
      </w:r>
      <w:r w:rsidR="00DC6DC5" w:rsidRPr="00BF12F3">
        <w:rPr>
          <w:rFonts w:ascii="Arial" w:hAnsi="Arial" w:cs="Arial"/>
          <w:sz w:val="20"/>
          <w:szCs w:val="20"/>
        </w:rPr>
        <w:t xml:space="preserve">. The objective of this study was to determine the pharmacokinetics of ES-481. </w:t>
      </w:r>
    </w:p>
    <w:p w14:paraId="55B84B87" w14:textId="77777777" w:rsidR="00640026" w:rsidRDefault="00640026" w:rsidP="00DC6DC5">
      <w:pPr>
        <w:rPr>
          <w:rFonts w:ascii="Arial" w:hAnsi="Arial" w:cs="Arial"/>
          <w:sz w:val="20"/>
          <w:szCs w:val="20"/>
        </w:rPr>
      </w:pPr>
    </w:p>
    <w:p w14:paraId="026D19A1" w14:textId="77AB942A" w:rsidR="00640026" w:rsidRDefault="00640026" w:rsidP="00DC6D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Methodology: </w:t>
      </w:r>
      <w:r w:rsidR="00DC6DC5" w:rsidRPr="00BF12F3">
        <w:rPr>
          <w:rFonts w:ascii="Arial" w:hAnsi="Arial" w:cs="Arial"/>
          <w:sz w:val="20"/>
          <w:szCs w:val="20"/>
        </w:rPr>
        <w:t>This study was a Phase 1</w:t>
      </w:r>
      <w:r w:rsidR="00DC6DC5">
        <w:rPr>
          <w:rFonts w:ascii="Arial" w:hAnsi="Arial" w:cs="Arial"/>
          <w:sz w:val="20"/>
          <w:szCs w:val="20"/>
        </w:rPr>
        <w:t>,</w:t>
      </w:r>
      <w:r w:rsidR="00DC6DC5" w:rsidRPr="00BF12F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first-in human, </w:t>
      </w:r>
      <w:r w:rsidR="00DC6DC5" w:rsidRPr="00BF12F3">
        <w:rPr>
          <w:rFonts w:ascii="Arial" w:hAnsi="Arial" w:cs="Arial"/>
          <w:sz w:val="20"/>
          <w:szCs w:val="20"/>
        </w:rPr>
        <w:t>open-label, randomized, sentinel design, ascending dose study of ES-481 in healthy subjects with single oral doses ranging from 3</w:t>
      </w:r>
      <w:r w:rsidR="00DC6DC5">
        <w:rPr>
          <w:rFonts w:ascii="Arial" w:hAnsi="Arial" w:cs="Arial"/>
          <w:sz w:val="20"/>
          <w:szCs w:val="20"/>
        </w:rPr>
        <w:t xml:space="preserve"> mg </w:t>
      </w:r>
      <w:r w:rsidR="00DC6DC5" w:rsidRPr="00BF12F3">
        <w:rPr>
          <w:rFonts w:ascii="Arial" w:hAnsi="Arial" w:cs="Arial"/>
          <w:sz w:val="20"/>
          <w:szCs w:val="20"/>
        </w:rPr>
        <w:t xml:space="preserve">to 100 mg. There were 10 dosing cohorts, comprised of 8 subjects. Within each cohort, 6 subjects were randomized to ES-481 and 2 subjects were randomized to placebo. </w:t>
      </w:r>
      <w:r w:rsidR="00DC6DC5">
        <w:rPr>
          <w:rFonts w:ascii="Arial" w:hAnsi="Arial" w:cs="Arial"/>
          <w:sz w:val="20"/>
          <w:szCs w:val="20"/>
        </w:rPr>
        <w:t xml:space="preserve"> </w:t>
      </w:r>
      <w:r w:rsidR="00DC6DC5" w:rsidRPr="00BF12F3">
        <w:rPr>
          <w:rFonts w:ascii="Arial" w:hAnsi="Arial" w:cs="Arial"/>
          <w:sz w:val="20"/>
          <w:szCs w:val="20"/>
        </w:rPr>
        <w:t xml:space="preserve">In all dosing cohorts, a sentinel pair was dosed first. If no safety concerns were identified after 24 hours, the remaining 6 subjects in each dosing cohort were administered investigational product. </w:t>
      </w:r>
      <w:r w:rsidR="00DC6DC5">
        <w:rPr>
          <w:rFonts w:ascii="Arial" w:hAnsi="Arial" w:cs="Arial"/>
          <w:sz w:val="20"/>
          <w:szCs w:val="20"/>
        </w:rPr>
        <w:t xml:space="preserve"> </w:t>
      </w:r>
      <w:r w:rsidR="00DC6DC5" w:rsidRPr="00BF12F3">
        <w:rPr>
          <w:rFonts w:ascii="Arial" w:hAnsi="Arial" w:cs="Arial"/>
          <w:sz w:val="20"/>
          <w:szCs w:val="20"/>
        </w:rPr>
        <w:t xml:space="preserve">Blood samples were obtained from each subject up to 48-hours post-dose. </w:t>
      </w:r>
      <w:r w:rsidR="00DC6DC5">
        <w:rPr>
          <w:rFonts w:ascii="Arial" w:hAnsi="Arial" w:cs="Arial"/>
          <w:sz w:val="20"/>
          <w:szCs w:val="20"/>
        </w:rPr>
        <w:t xml:space="preserve"> </w:t>
      </w:r>
    </w:p>
    <w:p w14:paraId="3436AB82" w14:textId="77777777" w:rsidR="00640026" w:rsidRDefault="00640026" w:rsidP="00DC6DC5">
      <w:pPr>
        <w:rPr>
          <w:rFonts w:ascii="Arial" w:hAnsi="Arial" w:cs="Arial"/>
          <w:sz w:val="20"/>
          <w:szCs w:val="20"/>
        </w:rPr>
      </w:pPr>
    </w:p>
    <w:p w14:paraId="6FD63BBF" w14:textId="77777777" w:rsidR="00640026" w:rsidRDefault="00640026" w:rsidP="00DC6D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Findings: </w:t>
      </w:r>
      <w:r w:rsidR="00DC6DC5" w:rsidRPr="00BF12F3">
        <w:rPr>
          <w:rFonts w:ascii="Arial" w:hAnsi="Arial" w:cs="Arial"/>
          <w:sz w:val="20"/>
          <w:szCs w:val="20"/>
        </w:rPr>
        <w:t xml:space="preserve">A proportional increase in AUC parameters and </w:t>
      </w:r>
      <w:proofErr w:type="spellStart"/>
      <w:r w:rsidR="00DC6DC5" w:rsidRPr="00BF12F3">
        <w:rPr>
          <w:rFonts w:ascii="Arial" w:hAnsi="Arial" w:cs="Arial"/>
          <w:sz w:val="20"/>
          <w:szCs w:val="20"/>
        </w:rPr>
        <w:t>C</w:t>
      </w:r>
      <w:r w:rsidR="00DC6DC5" w:rsidRPr="00BF12F3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DC6DC5" w:rsidRPr="00BF12F3">
        <w:rPr>
          <w:rFonts w:ascii="Arial" w:hAnsi="Arial" w:cs="Arial"/>
          <w:sz w:val="20"/>
          <w:szCs w:val="20"/>
        </w:rPr>
        <w:t xml:space="preserve"> was observed </w:t>
      </w:r>
      <w:r w:rsidR="00DC6DC5">
        <w:rPr>
          <w:rFonts w:ascii="Arial" w:hAnsi="Arial" w:cs="Arial"/>
          <w:sz w:val="20"/>
          <w:szCs w:val="20"/>
        </w:rPr>
        <w:t xml:space="preserve">from </w:t>
      </w:r>
      <w:r w:rsidR="00DC6DC5" w:rsidRPr="00BF12F3">
        <w:rPr>
          <w:rFonts w:ascii="Arial" w:hAnsi="Arial" w:cs="Arial"/>
          <w:sz w:val="20"/>
          <w:szCs w:val="20"/>
        </w:rPr>
        <w:t>3 mg</w:t>
      </w:r>
      <w:r w:rsidR="00DC6DC5">
        <w:rPr>
          <w:rFonts w:ascii="Arial" w:hAnsi="Arial" w:cs="Arial"/>
          <w:sz w:val="20"/>
          <w:szCs w:val="20"/>
        </w:rPr>
        <w:t xml:space="preserve"> to</w:t>
      </w:r>
      <w:r w:rsidR="00DC6DC5" w:rsidRPr="00BF12F3">
        <w:rPr>
          <w:rFonts w:ascii="Arial" w:hAnsi="Arial" w:cs="Arial"/>
          <w:sz w:val="20"/>
          <w:szCs w:val="20"/>
        </w:rPr>
        <w:t xml:space="preserve"> 62 mg. Following dosing with 75 </w:t>
      </w:r>
      <w:r w:rsidR="00DC6DC5">
        <w:rPr>
          <w:rFonts w:ascii="Arial" w:hAnsi="Arial" w:cs="Arial"/>
          <w:sz w:val="20"/>
          <w:szCs w:val="20"/>
        </w:rPr>
        <w:t xml:space="preserve">to </w:t>
      </w:r>
      <w:r w:rsidR="00DC6DC5" w:rsidRPr="00BF12F3">
        <w:rPr>
          <w:rFonts w:ascii="Arial" w:hAnsi="Arial" w:cs="Arial"/>
          <w:sz w:val="20"/>
          <w:szCs w:val="20"/>
        </w:rPr>
        <w:t xml:space="preserve">100 mg, plasma concentrations did not increase proportionately. The </w:t>
      </w:r>
      <w:proofErr w:type="spellStart"/>
      <w:r w:rsidR="00DC6DC5" w:rsidRPr="00BF12F3">
        <w:rPr>
          <w:rFonts w:ascii="Arial" w:hAnsi="Arial" w:cs="Arial"/>
          <w:sz w:val="20"/>
          <w:szCs w:val="20"/>
        </w:rPr>
        <w:t>T</w:t>
      </w:r>
      <w:r w:rsidR="00DC6DC5" w:rsidRPr="00BF12F3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DC6DC5" w:rsidRPr="00BF12F3">
        <w:rPr>
          <w:rFonts w:ascii="Arial" w:hAnsi="Arial" w:cs="Arial"/>
          <w:sz w:val="20"/>
          <w:szCs w:val="20"/>
        </w:rPr>
        <w:t xml:space="preserve"> was observed between 1 hour and 4 hours across the dose range examined. Mean (SD) t</w:t>
      </w:r>
      <w:r w:rsidR="00DC6DC5" w:rsidRPr="00BF12F3">
        <w:rPr>
          <w:rFonts w:ascii="Arial" w:hAnsi="Arial" w:cs="Arial"/>
          <w:sz w:val="20"/>
          <w:szCs w:val="20"/>
          <w:vertAlign w:val="subscript"/>
        </w:rPr>
        <w:t xml:space="preserve">1/2 </w:t>
      </w:r>
      <w:r w:rsidR="00DC6DC5" w:rsidRPr="00BF12F3">
        <w:rPr>
          <w:rFonts w:ascii="Arial" w:hAnsi="Arial" w:cs="Arial"/>
          <w:sz w:val="20"/>
          <w:szCs w:val="20"/>
        </w:rPr>
        <w:t xml:space="preserve">ranged from 6.456 (2.4379) hours to 9.846 (3.8931) hours. Mean CL/F was consistent between the treatment groups, with mean values at around 10 L/h. </w:t>
      </w:r>
    </w:p>
    <w:p w14:paraId="2E7B712F" w14:textId="77777777" w:rsidR="00640026" w:rsidRDefault="00640026" w:rsidP="00DC6DC5">
      <w:pPr>
        <w:rPr>
          <w:rFonts w:ascii="Arial" w:hAnsi="Arial" w:cs="Arial"/>
          <w:sz w:val="20"/>
          <w:szCs w:val="20"/>
        </w:rPr>
      </w:pPr>
    </w:p>
    <w:p w14:paraId="239C43DE" w14:textId="748735FA" w:rsidR="00DC6DC5" w:rsidRPr="00DC6DC5" w:rsidRDefault="00640026" w:rsidP="00DC6DC5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Conclusions: </w:t>
      </w:r>
      <w:r w:rsidR="00DC6DC5" w:rsidRPr="00BF12F3">
        <w:rPr>
          <w:rFonts w:ascii="Arial" w:hAnsi="Arial" w:cs="Arial"/>
          <w:sz w:val="20"/>
          <w:szCs w:val="20"/>
        </w:rPr>
        <w:t>This study describes the pharmacokinetic parameters of ES-481 for the proposed efficacious dose range of 75 mg to 100 mg/day of ES-481 for</w:t>
      </w:r>
      <w:r w:rsidR="00DC6DC5">
        <w:rPr>
          <w:rFonts w:ascii="Arial" w:hAnsi="Arial" w:cs="Arial"/>
          <w:sz w:val="20"/>
          <w:szCs w:val="20"/>
        </w:rPr>
        <w:t xml:space="preserve"> the treatment of DRE</w:t>
      </w:r>
      <w:r w:rsidR="00DC6DC5" w:rsidRPr="00BF12F3">
        <w:rPr>
          <w:rFonts w:ascii="Arial" w:hAnsi="Arial" w:cs="Arial"/>
          <w:sz w:val="20"/>
          <w:szCs w:val="20"/>
        </w:rPr>
        <w:t>.</w:t>
      </w:r>
      <w:r w:rsidR="00DC6DC5">
        <w:rPr>
          <w:rFonts w:ascii="Arial" w:hAnsi="Arial" w:cs="Arial"/>
          <w:sz w:val="20"/>
          <w:szCs w:val="20"/>
        </w:rPr>
        <w:t xml:space="preserve"> </w:t>
      </w:r>
      <w:r w:rsidR="00DC6DC5" w:rsidRPr="00BF12F3">
        <w:rPr>
          <w:rFonts w:ascii="Arial" w:hAnsi="Arial" w:cs="Arial"/>
          <w:sz w:val="20"/>
          <w:szCs w:val="20"/>
        </w:rPr>
        <w:t>ES-481 doses up to 100 mg were found to be</w:t>
      </w:r>
      <w:r w:rsidR="00DC6DC5">
        <w:rPr>
          <w:rFonts w:ascii="Arial" w:hAnsi="Arial" w:cs="Arial"/>
          <w:sz w:val="20"/>
          <w:szCs w:val="20"/>
        </w:rPr>
        <w:t xml:space="preserve"> </w:t>
      </w:r>
      <w:r w:rsidR="00DC6DC5" w:rsidRPr="00BF12F3">
        <w:rPr>
          <w:rFonts w:ascii="Arial" w:hAnsi="Arial" w:cs="Arial"/>
          <w:sz w:val="20"/>
          <w:szCs w:val="20"/>
        </w:rPr>
        <w:t>well tolerated.</w:t>
      </w:r>
    </w:p>
    <w:p w14:paraId="6697ADBD" w14:textId="77777777" w:rsidR="00DB202E" w:rsidRDefault="00DB202E"/>
    <w:sectPr w:rsidR="00DB202E" w:rsidSect="00266E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C5"/>
    <w:rsid w:val="00072343"/>
    <w:rsid w:val="001C52EB"/>
    <w:rsid w:val="00205B1C"/>
    <w:rsid w:val="00266E82"/>
    <w:rsid w:val="003479C7"/>
    <w:rsid w:val="003B6781"/>
    <w:rsid w:val="004C6E42"/>
    <w:rsid w:val="00523403"/>
    <w:rsid w:val="00563AFB"/>
    <w:rsid w:val="0061732A"/>
    <w:rsid w:val="00633DF8"/>
    <w:rsid w:val="00640026"/>
    <w:rsid w:val="006432FF"/>
    <w:rsid w:val="006765B6"/>
    <w:rsid w:val="006A307C"/>
    <w:rsid w:val="006C028A"/>
    <w:rsid w:val="00703181"/>
    <w:rsid w:val="00813CAB"/>
    <w:rsid w:val="00A70204"/>
    <w:rsid w:val="00BA299C"/>
    <w:rsid w:val="00BD6349"/>
    <w:rsid w:val="00C45A25"/>
    <w:rsid w:val="00D51E13"/>
    <w:rsid w:val="00DB202E"/>
    <w:rsid w:val="00DC6DC5"/>
    <w:rsid w:val="00E10FEB"/>
    <w:rsid w:val="00EA4C8E"/>
    <w:rsid w:val="00F956B7"/>
    <w:rsid w:val="00FA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9C7475"/>
  <w15:chartTrackingRefBased/>
  <w15:docId w15:val="{D00778F6-9217-E647-A52E-6D1E99B21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DC5"/>
  </w:style>
  <w:style w:type="paragraph" w:styleId="Heading1">
    <w:name w:val="heading 1"/>
    <w:basedOn w:val="Normal"/>
    <w:next w:val="Normal"/>
    <w:link w:val="Heading1Char"/>
    <w:uiPriority w:val="9"/>
    <w:qFormat/>
    <w:rsid w:val="00DC6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D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D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D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D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D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D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D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DC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C6DC5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paragraph" w:styleId="NoSpacing">
    <w:name w:val="No Spacing"/>
    <w:link w:val="NoSpacingChar"/>
    <w:uiPriority w:val="1"/>
    <w:qFormat/>
    <w:rsid w:val="00DC6DC5"/>
    <w:rPr>
      <w:kern w:val="0"/>
      <w:sz w:val="22"/>
      <w:szCs w:val="22"/>
      <w:lang w:val="en-AU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DC6DC5"/>
    <w:rPr>
      <w:kern w:val="0"/>
      <w:sz w:val="22"/>
      <w:szCs w:val="22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Niecestro</dc:creator>
  <cp:keywords/>
  <dc:description/>
  <cp:lastModifiedBy>Robert Niecestro</cp:lastModifiedBy>
  <cp:revision>3</cp:revision>
  <dcterms:created xsi:type="dcterms:W3CDTF">2026-01-12T18:54:00Z</dcterms:created>
  <dcterms:modified xsi:type="dcterms:W3CDTF">2026-01-12T19:07:00Z</dcterms:modified>
</cp:coreProperties>
</file>