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45306" w14:textId="576AB6A1" w:rsidR="003B4382" w:rsidRPr="00AC573F" w:rsidRDefault="00994B54" w:rsidP="00AC573F">
      <w:pPr>
        <w:spacing w:before="280" w:after="280" w:line="360" w:lineRule="auto"/>
        <w:jc w:val="both"/>
        <w:rPr>
          <w:b/>
        </w:rPr>
      </w:pPr>
      <w:r w:rsidRPr="002E35DF">
        <w:rPr>
          <w:b/>
        </w:rPr>
        <w:t>Network Analysis Evidence for a Novel ATHEROSCLEROSIS- ACE2- DYSBIOSIS Triad: A System</w:t>
      </w:r>
      <w:r w:rsidR="003B4382" w:rsidRPr="002E35DF">
        <w:rPr>
          <w:b/>
        </w:rPr>
        <w:t>-</w:t>
      </w:r>
      <w:r w:rsidRPr="002E35DF">
        <w:rPr>
          <w:b/>
        </w:rPr>
        <w:t xml:space="preserve">level Approach to Understand Pathological Flow and </w:t>
      </w:r>
      <w:r w:rsidR="003B4382" w:rsidRPr="002E35DF">
        <w:rPr>
          <w:b/>
        </w:rPr>
        <w:t>D</w:t>
      </w:r>
      <w:r w:rsidRPr="002E35DF">
        <w:rPr>
          <w:b/>
        </w:rPr>
        <w:t xml:space="preserve">rug </w:t>
      </w:r>
      <w:r w:rsidR="003B4382" w:rsidRPr="002E35DF">
        <w:rPr>
          <w:b/>
        </w:rPr>
        <w:t>R</w:t>
      </w:r>
      <w:r w:rsidRPr="002E35DF">
        <w:rPr>
          <w:b/>
        </w:rPr>
        <w:t xml:space="preserve">epurposing </w:t>
      </w:r>
    </w:p>
    <w:p w14:paraId="00000006" w14:textId="77777777" w:rsidR="006155A1" w:rsidRDefault="00994B54" w:rsidP="00AC573F">
      <w:pPr>
        <w:spacing w:before="280" w:after="280"/>
        <w:jc w:val="center"/>
      </w:pPr>
      <w:r>
        <w:rPr>
          <w:u w:val="single"/>
        </w:rPr>
        <w:t>Prabhakaran V</w:t>
      </w:r>
      <w:r>
        <w:t xml:space="preserve">, </w:t>
      </w:r>
      <w:proofErr w:type="spellStart"/>
      <w:r>
        <w:rPr>
          <w:highlight w:val="white"/>
        </w:rPr>
        <w:t>Dharamvir</w:t>
      </w:r>
      <w:proofErr w:type="spellEnd"/>
      <w:r>
        <w:rPr>
          <w:highlight w:val="white"/>
        </w:rPr>
        <w:t xml:space="preserve"> Singh Arya</w:t>
      </w:r>
      <w:r>
        <w:t xml:space="preserve">, </w:t>
      </w:r>
      <w:proofErr w:type="spellStart"/>
      <w:r>
        <w:t>Jagriti</w:t>
      </w:r>
      <w:proofErr w:type="spellEnd"/>
      <w:r>
        <w:t xml:space="preserve"> Bhatia*</w:t>
      </w:r>
    </w:p>
    <w:p w14:paraId="00000007" w14:textId="77777777" w:rsidR="006155A1" w:rsidRDefault="00994B54" w:rsidP="00AC573F">
      <w:pPr>
        <w:jc w:val="center"/>
      </w:pPr>
      <w:r>
        <w:t>Department of Pharmacology, AIIMS New Delhi, India</w:t>
      </w:r>
    </w:p>
    <w:p w14:paraId="00000008" w14:textId="77777777" w:rsidR="006155A1" w:rsidRDefault="006155A1" w:rsidP="00AC573F">
      <w:pPr>
        <w:jc w:val="center"/>
        <w:rPr>
          <w:b/>
        </w:rPr>
      </w:pPr>
    </w:p>
    <w:p w14:paraId="00000009" w14:textId="77777777" w:rsidR="006155A1" w:rsidRDefault="00994B54" w:rsidP="00AC573F">
      <w:pPr>
        <w:jc w:val="center"/>
      </w:pPr>
      <w:r>
        <w:rPr>
          <w:highlight w:val="white"/>
        </w:rPr>
        <w:t>Presenting Author:</w:t>
      </w:r>
      <w:r>
        <w:rPr>
          <w:b/>
          <w:highlight w:val="white"/>
        </w:rPr>
        <w:t xml:space="preserve"> </w:t>
      </w:r>
      <w:proofErr w:type="spellStart"/>
      <w:r>
        <w:rPr>
          <w:highlight w:val="white"/>
        </w:rPr>
        <w:t>Dr.</w:t>
      </w:r>
      <w:proofErr w:type="spellEnd"/>
      <w:r>
        <w:rPr>
          <w:highlight w:val="white"/>
        </w:rPr>
        <w:t xml:space="preserve"> </w:t>
      </w:r>
      <w:r>
        <w:t>Prabhakaran V; Email: prabhudhivakar@gmail.com</w:t>
      </w:r>
    </w:p>
    <w:p w14:paraId="0000000A" w14:textId="77777777" w:rsidR="006155A1" w:rsidRDefault="006155A1" w:rsidP="00AC573F">
      <w:pPr>
        <w:jc w:val="center"/>
        <w:rPr>
          <w:b/>
        </w:rPr>
      </w:pPr>
    </w:p>
    <w:p w14:paraId="0000000B" w14:textId="41A860C5" w:rsidR="006155A1" w:rsidRDefault="00994B54" w:rsidP="00AC573F">
      <w:pPr>
        <w:jc w:val="center"/>
      </w:pPr>
      <w:r>
        <w:rPr>
          <w:highlight w:val="white"/>
        </w:rPr>
        <w:t>Corresponding Author:</w:t>
      </w:r>
      <w:r>
        <w:rPr>
          <w:b/>
          <w:highlight w:val="white"/>
        </w:rPr>
        <w:t xml:space="preserve"> </w:t>
      </w:r>
      <w:proofErr w:type="spellStart"/>
      <w:r>
        <w:rPr>
          <w:highlight w:val="white"/>
        </w:rPr>
        <w:t>Dr.</w:t>
      </w:r>
      <w:proofErr w:type="spellEnd"/>
      <w:r>
        <w:rPr>
          <w:highlight w:val="white"/>
        </w:rPr>
        <w:t xml:space="preserve"> </w:t>
      </w:r>
      <w:proofErr w:type="spellStart"/>
      <w:r>
        <w:t>Jagriti</w:t>
      </w:r>
      <w:proofErr w:type="spellEnd"/>
      <w:r>
        <w:t xml:space="preserve"> Bhatia; Email: </w:t>
      </w:r>
      <w:r w:rsidR="00AC573F" w:rsidRPr="00AC573F">
        <w:t>jagritiaiims2012@gmail.com</w:t>
      </w:r>
    </w:p>
    <w:p w14:paraId="2C1585CE" w14:textId="77777777" w:rsidR="00AC573F" w:rsidRDefault="00AC573F" w:rsidP="00380BFF">
      <w:pPr>
        <w:rPr>
          <w:highlight w:val="white"/>
        </w:rPr>
      </w:pPr>
    </w:p>
    <w:p w14:paraId="6F41F677" w14:textId="1DB09998" w:rsidR="00380BFF" w:rsidRDefault="00994B54">
      <w:pPr>
        <w:pBdr>
          <w:top w:val="nil"/>
          <w:left w:val="nil"/>
          <w:bottom w:val="nil"/>
          <w:right w:val="nil"/>
          <w:between w:val="nil"/>
        </w:pBdr>
        <w:spacing w:before="280" w:after="280" w:line="360" w:lineRule="auto"/>
        <w:jc w:val="both"/>
      </w:pPr>
      <w:r>
        <w:rPr>
          <w:b/>
          <w:color w:val="000000"/>
        </w:rPr>
        <w:t>Introduction</w:t>
      </w:r>
    </w:p>
    <w:p w14:paraId="3050EA4D" w14:textId="6B68D2D4" w:rsidR="006E06AF" w:rsidRDefault="00994B54">
      <w:pPr>
        <w:pBdr>
          <w:top w:val="nil"/>
          <w:left w:val="nil"/>
          <w:bottom w:val="nil"/>
          <w:right w:val="nil"/>
          <w:between w:val="nil"/>
        </w:pBdr>
        <w:spacing w:before="280" w:after="280" w:line="360" w:lineRule="auto"/>
        <w:jc w:val="both"/>
      </w:pPr>
      <w:r>
        <w:rPr>
          <w:color w:val="000000"/>
        </w:rPr>
        <w:t>Atherosclerosis has traditionally been attributed to lipid accumulation and plaque formation, but current understanding highlights chronic inflammation as its central driver. Emerging evidence indicates that gut dysbiosis and angiotensin-converting enzyme 2 (ACE2) act as key modulators of this inflammatory state. While individual associations between atherosclerosis, ACE2, and dysbiosis have been reported</w:t>
      </w:r>
      <w:r w:rsidR="00F54EE7">
        <w:rPr>
          <w:color w:val="000000"/>
        </w:rPr>
        <w:t>[1] [2] [3]</w:t>
      </w:r>
      <w:r>
        <w:rPr>
          <w:color w:val="000000"/>
        </w:rPr>
        <w:t>, a unified mechanistic framework linking these axes remains unexplored</w:t>
      </w:r>
      <w:r>
        <w:t>. Therefore, the present</w:t>
      </w:r>
      <w:r>
        <w:rPr>
          <w:color w:val="000000"/>
        </w:rPr>
        <w:t xml:space="preserve"> study aims to </w:t>
      </w:r>
      <w:r>
        <w:t xml:space="preserve">unravel the molecular network linking atherosclerosis, gut dysbiosis, and ACE2 pathways </w:t>
      </w:r>
      <w:r>
        <w:rPr>
          <w:color w:val="000000"/>
        </w:rPr>
        <w:t>through network analysis</w:t>
      </w:r>
      <w:r>
        <w:t xml:space="preserve">. </w:t>
      </w:r>
    </w:p>
    <w:p w14:paraId="15C36ECF" w14:textId="69C34037" w:rsidR="00380BFF" w:rsidRDefault="00994B54">
      <w:pPr>
        <w:pBdr>
          <w:top w:val="nil"/>
          <w:left w:val="nil"/>
          <w:bottom w:val="nil"/>
          <w:right w:val="nil"/>
          <w:between w:val="nil"/>
        </w:pBdr>
        <w:spacing w:before="280" w:after="280" w:line="360" w:lineRule="auto"/>
        <w:jc w:val="both"/>
      </w:pPr>
      <w:r>
        <w:rPr>
          <w:b/>
        </w:rPr>
        <w:t>Methods</w:t>
      </w:r>
    </w:p>
    <w:p w14:paraId="0481FCD1" w14:textId="0CE6CCD4" w:rsidR="00380BFF" w:rsidRPr="00015F9E" w:rsidRDefault="00994B54" w:rsidP="00015F9E">
      <w:pPr>
        <w:spacing w:line="360" w:lineRule="auto"/>
        <w:jc w:val="both"/>
      </w:pPr>
      <w:r w:rsidRPr="003E7189">
        <w:t xml:space="preserve">The preliminary method involved the literature curation to establish mechanistic links within the atherosclerosis-reduced ACE2-dysbiosis triad. Further, </w:t>
      </w:r>
      <w:r w:rsidR="00015F9E">
        <w:t xml:space="preserve">the </w:t>
      </w:r>
      <w:proofErr w:type="spellStart"/>
      <w:r w:rsidR="00015F9E" w:rsidRPr="00015F9E">
        <w:rPr>
          <w:color w:val="000000"/>
        </w:rPr>
        <w:t>OmicsNet</w:t>
      </w:r>
      <w:proofErr w:type="spellEnd"/>
      <w:r w:rsidR="00015F9E" w:rsidRPr="00015F9E">
        <w:rPr>
          <w:color w:val="000000"/>
        </w:rPr>
        <w:t xml:space="preserve"> platform was employed</w:t>
      </w:r>
      <w:r w:rsidR="00015F9E">
        <w:rPr>
          <w:color w:val="000000"/>
        </w:rPr>
        <w:t xml:space="preserve"> </w:t>
      </w:r>
      <w:r w:rsidR="00015F9E" w:rsidRPr="00015F9E">
        <w:rPr>
          <w:color w:val="000000"/>
        </w:rPr>
        <w:t xml:space="preserve">used to construct the </w:t>
      </w:r>
      <w:r w:rsidR="00015F9E">
        <w:rPr>
          <w:color w:val="000000"/>
        </w:rPr>
        <w:t xml:space="preserve">network </w:t>
      </w:r>
      <w:r w:rsidR="00015F9E" w:rsidRPr="00015F9E">
        <w:rPr>
          <w:color w:val="000000"/>
        </w:rPr>
        <w:t>interactions between protein</w:t>
      </w:r>
      <w:r w:rsidR="00015F9E">
        <w:rPr>
          <w:color w:val="000000"/>
        </w:rPr>
        <w:t>s</w:t>
      </w:r>
      <w:r w:rsidR="00015F9E" w:rsidRPr="00015F9E">
        <w:rPr>
          <w:color w:val="000000"/>
        </w:rPr>
        <w:t>, metabolite</w:t>
      </w:r>
      <w:r w:rsidR="00015F9E">
        <w:rPr>
          <w:color w:val="000000"/>
        </w:rPr>
        <w:t>s</w:t>
      </w:r>
      <w:r w:rsidR="00015F9E" w:rsidRPr="00015F9E">
        <w:rPr>
          <w:color w:val="000000"/>
        </w:rPr>
        <w:t>, and dysbiotic microbes.</w:t>
      </w:r>
      <w:r w:rsidRPr="003E7189">
        <w:t>.</w:t>
      </w:r>
      <w:r>
        <w:t xml:space="preserve"> The resulting network triad was further validated by comparing </w:t>
      </w:r>
      <w:r w:rsidR="000F0EC0">
        <w:t xml:space="preserve">it </w:t>
      </w:r>
      <w:r>
        <w:t xml:space="preserve">with the literature evidence. </w:t>
      </w:r>
      <w:r w:rsidR="00380BFF">
        <w:t xml:space="preserve">Guilt by Association (GBA) analysis </w:t>
      </w:r>
      <w:r w:rsidR="000F0EC0">
        <w:t xml:space="preserve">was </w:t>
      </w:r>
      <w:r w:rsidR="00C54680">
        <w:t xml:space="preserve">performed to identify the most influential node in the network. </w:t>
      </w:r>
      <w:r>
        <w:t xml:space="preserve">The network was then segmented into biologically relevant modules via topological clustering, followed by pathway enrichment to identify significant processes. Finally, drug </w:t>
      </w:r>
      <w:r w:rsidR="0010064D">
        <w:t xml:space="preserve">target </w:t>
      </w:r>
      <w:r>
        <w:t xml:space="preserve">mapping in </w:t>
      </w:r>
      <w:proofErr w:type="spellStart"/>
      <w:r w:rsidRPr="000F0EC0">
        <w:rPr>
          <w:i/>
          <w:iCs/>
        </w:rPr>
        <w:t>OmicsNet</w:t>
      </w:r>
      <w:proofErr w:type="spellEnd"/>
      <w:r>
        <w:t xml:space="preserve"> was applied to find out the linking of candidate drugs to </w:t>
      </w:r>
      <w:r w:rsidR="000F0EC0">
        <w:t xml:space="preserve">the </w:t>
      </w:r>
      <w:r>
        <w:t>atherosclerosis-</w:t>
      </w:r>
      <w:r w:rsidR="00015F9E">
        <w:t xml:space="preserve">reduced </w:t>
      </w:r>
      <w:r>
        <w:t xml:space="preserve">ACE2-dysbiosis triad for targeted </w:t>
      </w:r>
      <w:r w:rsidR="00015F9E">
        <w:t xml:space="preserve">drug </w:t>
      </w:r>
      <w:r>
        <w:t xml:space="preserve">repurposing. </w:t>
      </w:r>
    </w:p>
    <w:p w14:paraId="085129AF" w14:textId="77777777" w:rsidR="00380BFF" w:rsidRDefault="00994B54">
      <w:pPr>
        <w:pBdr>
          <w:top w:val="nil"/>
          <w:left w:val="nil"/>
          <w:bottom w:val="nil"/>
          <w:right w:val="nil"/>
          <w:between w:val="nil"/>
        </w:pBdr>
        <w:spacing w:before="280" w:after="280" w:line="360" w:lineRule="auto"/>
        <w:jc w:val="both"/>
        <w:rPr>
          <w:b/>
        </w:rPr>
      </w:pPr>
      <w:r>
        <w:rPr>
          <w:b/>
        </w:rPr>
        <w:t>Results</w:t>
      </w:r>
    </w:p>
    <w:p w14:paraId="49D7C8F6" w14:textId="2C8C4844" w:rsidR="00380BFF" w:rsidRDefault="00994B54">
      <w:pPr>
        <w:pBdr>
          <w:top w:val="nil"/>
          <w:left w:val="nil"/>
          <w:bottom w:val="nil"/>
          <w:right w:val="nil"/>
          <w:between w:val="nil"/>
        </w:pBdr>
        <w:spacing w:before="280" w:after="280" w:line="360" w:lineRule="auto"/>
        <w:jc w:val="both"/>
        <w:rPr>
          <w:b/>
        </w:rPr>
      </w:pPr>
      <w:r>
        <w:rPr>
          <w:b/>
        </w:rPr>
        <w:lastRenderedPageBreak/>
        <w:t xml:space="preserve"> </w:t>
      </w:r>
      <w:r>
        <w:t xml:space="preserve">Literature curation confirmed all three individuals arms of the atherosclerosis-reduced ACE2-dysbiosis triad. The network analysis validated these links by identifying key molecular connectors such as interleukin-6 (IL-6), </w:t>
      </w:r>
      <w:proofErr w:type="spellStart"/>
      <w:r>
        <w:t>tumor</w:t>
      </w:r>
      <w:proofErr w:type="spellEnd"/>
      <w:r>
        <w:t xml:space="preserve"> necrosis factor-alpha (TNF-α), transforming growth factor-beta (TGF-β), and NOD-, LRR- and pyrin domain-containing protein 3 (NLRP3) between atherosclerosis and ACE2; solute carrier family 6 member 19 (SLC6A19; BOAT1) showed link between ACE2 and dysbiosis; and flavin-containing monooxygenase 3 (FMO3), toll-like receptor 4 (TLR4), nitric oxide synthase 3 (NOS3), and </w:t>
      </w:r>
      <w:proofErr w:type="spellStart"/>
      <w:r>
        <w:t>forkhead</w:t>
      </w:r>
      <w:proofErr w:type="spellEnd"/>
      <w:r>
        <w:t xml:space="preserve"> box P3 (FOXP3) between dysbiosis and atherosclerosis. Guilt by Association (GBA) analysis further revealed top host and microbial hubs (scores 1.60E-06 and 1.12E-06), supporting dysbiosis as the cascade origin. Microbial hubs, particularly nitrogen and carbohydrate metabolism enzymes, appeared to drive dysbiosis through metabolites like tryptophan and arginine, which in turn activate host hubs such as toll-like receptor 2 (TLR2) and toll-like receptor 5 (TLR5), initiating chronic inflammation. This inflammatory response promotes vascular damage via granzymes B &amp; H (GZMB, GZMH) and matrix metalloproteinase-10 (MMP10), alongside barrier dysfunction indicated by apolipoprotein A1 (APOA1) and catenin alpha</w:t>
      </w:r>
      <w:r w:rsidR="0010064D">
        <w:t>-</w:t>
      </w:r>
      <w:r>
        <w:t xml:space="preserve">like 1 (CTNNAL1), ultimately leading to ACE2 downregulation and completing the triad. Out of  39 identified </w:t>
      </w:r>
      <w:r w:rsidR="00A874CD">
        <w:t xml:space="preserve">topological </w:t>
      </w:r>
      <w:r>
        <w:t>modules, 12 were statistically significant (P &lt; 0.05)</w:t>
      </w:r>
      <w:r w:rsidR="00F83B4B">
        <w:t xml:space="preserve">. </w:t>
      </w:r>
      <w:r w:rsidR="00A874CD">
        <w:t xml:space="preserve">performing functional enrichment </w:t>
      </w:r>
      <w:r w:rsidR="00F83B4B">
        <w:t>on these modules</w:t>
      </w:r>
      <w:r w:rsidR="00A874CD">
        <w:t xml:space="preserve"> reveals </w:t>
      </w:r>
      <w:r w:rsidR="005A42C5">
        <w:t xml:space="preserve">9 statistically significant (P &lt; 0.05) </w:t>
      </w:r>
      <w:r>
        <w:t xml:space="preserve">molecular pathways </w:t>
      </w:r>
      <w:r w:rsidR="00A467F0">
        <w:t>relevan</w:t>
      </w:r>
      <w:r w:rsidR="0010064D">
        <w:t>t</w:t>
      </w:r>
      <w:r w:rsidR="00A467F0">
        <w:t xml:space="preserve"> to the triad,</w:t>
      </w:r>
      <w:r>
        <w:t xml:space="preserve"> based on atherosclerosis, reduced ACE2 (inflammation) and dysbiosis.   </w:t>
      </w:r>
      <w:r w:rsidR="00A467F0">
        <w:t xml:space="preserve">Drug target mapping </w:t>
      </w:r>
      <w:r w:rsidR="000F0EC0">
        <w:t xml:space="preserve">on the 9 molecular pathways </w:t>
      </w:r>
      <w:r w:rsidR="00790548">
        <w:t xml:space="preserve">shows a list of </w:t>
      </w:r>
      <w:r w:rsidR="00F83B4B">
        <w:t>53</w:t>
      </w:r>
      <w:r w:rsidR="00790548">
        <w:t xml:space="preserve"> drugs, including </w:t>
      </w:r>
      <w:r>
        <w:t xml:space="preserve">the identification of 21 </w:t>
      </w:r>
      <w:proofErr w:type="spellStart"/>
      <w:r>
        <w:t>repurposable</w:t>
      </w:r>
      <w:proofErr w:type="spellEnd"/>
      <w:r>
        <w:t xml:space="preserve"> drugs. Some of the identified </w:t>
      </w:r>
      <w:proofErr w:type="spellStart"/>
      <w:r>
        <w:t>repurposable</w:t>
      </w:r>
      <w:proofErr w:type="spellEnd"/>
      <w:r>
        <w:t xml:space="preserve"> drugs (~21) were cefdinir, progesterone, trandolapril, m</w:t>
      </w:r>
      <w:r w:rsidR="00A467F0">
        <w:t>i</w:t>
      </w:r>
      <w:r>
        <w:t xml:space="preserve">nocycline, doxycycline, anakinra, and canakinumab, which are evidently involved in molecular pathways such as PI3K-Akt signalling, NOD-like receptor, IL-17 pathway, AMPK pathway, TNF signalling, and implicating that </w:t>
      </w:r>
      <w:r w:rsidR="0010064D">
        <w:t xml:space="preserve">already </w:t>
      </w:r>
      <w:r>
        <w:t>approved drugs may be repurposed to target key disease-driving pathways within the triad.</w:t>
      </w:r>
      <w:r>
        <w:rPr>
          <w:b/>
        </w:rPr>
        <w:t xml:space="preserve"> </w:t>
      </w:r>
    </w:p>
    <w:p w14:paraId="611FA65E" w14:textId="715AB0D9" w:rsidR="00380BFF" w:rsidRDefault="00994B54">
      <w:pPr>
        <w:pBdr>
          <w:top w:val="nil"/>
          <w:left w:val="nil"/>
          <w:bottom w:val="nil"/>
          <w:right w:val="nil"/>
          <w:between w:val="nil"/>
        </w:pBdr>
        <w:spacing w:before="280" w:after="280" w:line="360" w:lineRule="auto"/>
        <w:jc w:val="both"/>
      </w:pPr>
      <w:r>
        <w:rPr>
          <w:b/>
        </w:rPr>
        <w:t>Conclusion</w:t>
      </w:r>
    </w:p>
    <w:p w14:paraId="395037FD" w14:textId="4E32183A" w:rsidR="001C4714" w:rsidRDefault="001C4714" w:rsidP="001C4714">
      <w:pPr>
        <w:spacing w:line="360" w:lineRule="auto"/>
        <w:jc w:val="both"/>
        <w:rPr>
          <w:color w:val="000000"/>
        </w:rPr>
      </w:pPr>
      <w:r w:rsidRPr="001C4714">
        <w:rPr>
          <w:color w:val="000000"/>
        </w:rPr>
        <w:t xml:space="preserve">​​This study establishes a novel systems-level framework linking atherosclerosis, reduced ACE2 expression and gut dysbiosis as a unified pathological triad that drives chronic inflammation and cardiovascular dysfunction. Key molecular connectors such as IL-6, TNF-α, NLRP3, SLC6A19, FMO3 and TLR4, along with microbial metabolites like tryptophan and arginine, are identified as critical contributors to the disease cascade. Guilt by Association (GBA) analysis highlights microbial enzymes as initiators and host inflammatory mediators as central </w:t>
      </w:r>
      <w:r w:rsidRPr="001C4714">
        <w:rPr>
          <w:color w:val="000000"/>
        </w:rPr>
        <w:lastRenderedPageBreak/>
        <w:t xml:space="preserve">effectors, reinforcing dysbiosis as the upstream trigger. Importantly, drug mapping reveals 21 </w:t>
      </w:r>
      <w:proofErr w:type="spellStart"/>
      <w:r w:rsidRPr="001C4714">
        <w:rPr>
          <w:color w:val="000000"/>
        </w:rPr>
        <w:t>repurposable</w:t>
      </w:r>
      <w:proofErr w:type="spellEnd"/>
      <w:r w:rsidRPr="001C4714">
        <w:rPr>
          <w:color w:val="000000"/>
        </w:rPr>
        <w:t xml:space="preserve"> candidates targeting major inflammatory and metabolic pathways, providing actionable insights for future cardioprotective strategies. These findings offer a comprehensive, data-driven foundation for targeted therapeutic intervention in atherosclerosis by modulating ACE2 and gut microbiota interactions.</w:t>
      </w:r>
    </w:p>
    <w:p w14:paraId="72D84228" w14:textId="77777777" w:rsidR="00F54EE7" w:rsidRDefault="00F54EE7" w:rsidP="001C4714">
      <w:pPr>
        <w:spacing w:line="360" w:lineRule="auto"/>
        <w:jc w:val="both"/>
        <w:rPr>
          <w:color w:val="000000"/>
        </w:rPr>
      </w:pPr>
    </w:p>
    <w:p w14:paraId="0AE1B9E2" w14:textId="20BB582A" w:rsidR="00F54EE7" w:rsidRPr="001C4714" w:rsidRDefault="00F54EE7" w:rsidP="001C4714">
      <w:pPr>
        <w:spacing w:line="360" w:lineRule="auto"/>
        <w:jc w:val="both"/>
        <w:rPr>
          <w:b/>
          <w:bCs/>
        </w:rPr>
      </w:pPr>
      <w:r w:rsidRPr="00F54EE7">
        <w:rPr>
          <w:b/>
          <w:bCs/>
          <w:color w:val="000000"/>
        </w:rPr>
        <w:t>Reference(s)</w:t>
      </w:r>
    </w:p>
    <w:p w14:paraId="31D482C0" w14:textId="14F19569" w:rsidR="008850F5" w:rsidRPr="00F54EE7" w:rsidRDefault="00F54EE7" w:rsidP="00F54EE7">
      <w:pPr>
        <w:spacing w:line="360" w:lineRule="auto"/>
        <w:jc w:val="both"/>
        <w:rPr>
          <w:color w:val="212121"/>
          <w:shd w:val="clear" w:color="auto" w:fill="FFFFFF"/>
        </w:rPr>
      </w:pPr>
      <w:r w:rsidRPr="00F54EE7">
        <w:rPr>
          <w:color w:val="212121"/>
          <w:shd w:val="clear" w:color="auto" w:fill="FFFFFF"/>
        </w:rPr>
        <w:t xml:space="preserve">[1] </w:t>
      </w:r>
      <w:r w:rsidR="008850F5" w:rsidRPr="00F54EE7">
        <w:rPr>
          <w:color w:val="212121"/>
          <w:shd w:val="clear" w:color="auto" w:fill="FFFFFF"/>
        </w:rPr>
        <w:t>Zhang YH, Zhang YH, Dong XF, et al. ACE2 and Ang-(1-7) protect endothelial cell function and prevent early atherosclerosis by inhibiting inflammatory response. </w:t>
      </w:r>
      <w:proofErr w:type="spellStart"/>
      <w:r w:rsidR="008850F5" w:rsidRPr="00F54EE7">
        <w:rPr>
          <w:i/>
          <w:iCs/>
          <w:color w:val="212121"/>
          <w:shd w:val="clear" w:color="auto" w:fill="FFFFFF"/>
        </w:rPr>
        <w:t>Inflamm</w:t>
      </w:r>
      <w:proofErr w:type="spellEnd"/>
      <w:r w:rsidR="008850F5" w:rsidRPr="00F54EE7">
        <w:rPr>
          <w:i/>
          <w:iCs/>
          <w:color w:val="212121"/>
          <w:shd w:val="clear" w:color="auto" w:fill="FFFFFF"/>
        </w:rPr>
        <w:t xml:space="preserve"> Res</w:t>
      </w:r>
      <w:r w:rsidR="008850F5" w:rsidRPr="00F54EE7">
        <w:rPr>
          <w:color w:val="212121"/>
          <w:shd w:val="clear" w:color="auto" w:fill="FFFFFF"/>
        </w:rPr>
        <w:t>. 2015;64(3-4):253-260. doi:10.1007/s00011-015-0805-1</w:t>
      </w:r>
    </w:p>
    <w:p w14:paraId="0B8AAB1C" w14:textId="77777777" w:rsidR="00F54EE7" w:rsidRPr="00F54EE7" w:rsidRDefault="00F54EE7" w:rsidP="00F54EE7">
      <w:pPr>
        <w:spacing w:line="360" w:lineRule="auto"/>
        <w:jc w:val="both"/>
      </w:pPr>
    </w:p>
    <w:p w14:paraId="3ED33076" w14:textId="7A573EA1" w:rsidR="00F54EE7" w:rsidRPr="00F54EE7" w:rsidRDefault="00F54EE7" w:rsidP="00F54EE7">
      <w:pPr>
        <w:spacing w:line="360" w:lineRule="auto"/>
        <w:jc w:val="both"/>
        <w:rPr>
          <w:color w:val="222222"/>
          <w:shd w:val="clear" w:color="auto" w:fill="FFFFFF"/>
        </w:rPr>
      </w:pPr>
      <w:r w:rsidRPr="00F54EE7">
        <w:rPr>
          <w:color w:val="222222"/>
          <w:shd w:val="clear" w:color="auto" w:fill="FFFFFF"/>
        </w:rPr>
        <w:t xml:space="preserve">[2] Hashimoto, T., </w:t>
      </w:r>
      <w:proofErr w:type="spellStart"/>
      <w:r w:rsidRPr="00F54EE7">
        <w:rPr>
          <w:color w:val="222222"/>
          <w:shd w:val="clear" w:color="auto" w:fill="FFFFFF"/>
        </w:rPr>
        <w:t>Perlot</w:t>
      </w:r>
      <w:proofErr w:type="spellEnd"/>
      <w:r w:rsidRPr="00F54EE7">
        <w:rPr>
          <w:color w:val="222222"/>
          <w:shd w:val="clear" w:color="auto" w:fill="FFFFFF"/>
        </w:rPr>
        <w:t>, T., Rehman, A. </w:t>
      </w:r>
      <w:r w:rsidRPr="00F54EE7">
        <w:rPr>
          <w:i/>
          <w:iCs/>
          <w:color w:val="222222"/>
          <w:shd w:val="clear" w:color="auto" w:fill="FFFFFF"/>
        </w:rPr>
        <w:t>et al.</w:t>
      </w:r>
      <w:r w:rsidRPr="00F54EE7">
        <w:rPr>
          <w:color w:val="222222"/>
          <w:shd w:val="clear" w:color="auto" w:fill="FFFFFF"/>
        </w:rPr>
        <w:t> ACE2 links amino acid malnutrition to microbial ecology and intestinal inflammation. </w:t>
      </w:r>
      <w:r w:rsidRPr="00F54EE7">
        <w:rPr>
          <w:i/>
          <w:iCs/>
          <w:color w:val="222222"/>
          <w:shd w:val="clear" w:color="auto" w:fill="FFFFFF"/>
        </w:rPr>
        <w:t>Nature</w:t>
      </w:r>
      <w:r w:rsidRPr="00F54EE7">
        <w:rPr>
          <w:color w:val="222222"/>
          <w:shd w:val="clear" w:color="auto" w:fill="FFFFFF"/>
        </w:rPr>
        <w:t> </w:t>
      </w:r>
      <w:r w:rsidRPr="00AC573F">
        <w:rPr>
          <w:color w:val="222222"/>
          <w:shd w:val="clear" w:color="auto" w:fill="FFFFFF"/>
        </w:rPr>
        <w:t>487,</w:t>
      </w:r>
      <w:r w:rsidRPr="00F54EE7">
        <w:rPr>
          <w:color w:val="222222"/>
          <w:shd w:val="clear" w:color="auto" w:fill="FFFFFF"/>
        </w:rPr>
        <w:t xml:space="preserve"> 477–481 (2012). https://doi.org/10.1038/nature11228</w:t>
      </w:r>
    </w:p>
    <w:p w14:paraId="201B92A1" w14:textId="77777777" w:rsidR="00F54EE7" w:rsidRPr="00F54EE7" w:rsidRDefault="00F54EE7" w:rsidP="00F54EE7">
      <w:pPr>
        <w:spacing w:line="360" w:lineRule="auto"/>
        <w:jc w:val="both"/>
      </w:pPr>
    </w:p>
    <w:p w14:paraId="47338680" w14:textId="765E47E6" w:rsidR="00F54EE7" w:rsidRPr="00F54EE7" w:rsidRDefault="00F54EE7" w:rsidP="00F54EE7">
      <w:pPr>
        <w:spacing w:line="360" w:lineRule="auto"/>
        <w:jc w:val="both"/>
      </w:pPr>
      <w:r w:rsidRPr="00F54EE7">
        <w:rPr>
          <w:color w:val="212121"/>
          <w:shd w:val="clear" w:color="auto" w:fill="FFFFFF"/>
        </w:rPr>
        <w:t xml:space="preserve">[3] </w:t>
      </w:r>
      <w:proofErr w:type="spellStart"/>
      <w:r w:rsidRPr="00F54EE7">
        <w:rPr>
          <w:color w:val="212121"/>
          <w:shd w:val="clear" w:color="auto" w:fill="FFFFFF"/>
        </w:rPr>
        <w:t>Alexandrescu</w:t>
      </w:r>
      <w:proofErr w:type="spellEnd"/>
      <w:r w:rsidRPr="00F54EE7">
        <w:rPr>
          <w:color w:val="212121"/>
          <w:shd w:val="clear" w:color="auto" w:fill="FFFFFF"/>
        </w:rPr>
        <w:t xml:space="preserve"> L, </w:t>
      </w:r>
      <w:proofErr w:type="spellStart"/>
      <w:r w:rsidRPr="00F54EE7">
        <w:rPr>
          <w:color w:val="212121"/>
          <w:shd w:val="clear" w:color="auto" w:fill="FFFFFF"/>
        </w:rPr>
        <w:t>Suceveanu</w:t>
      </w:r>
      <w:proofErr w:type="spellEnd"/>
      <w:r w:rsidRPr="00F54EE7">
        <w:rPr>
          <w:color w:val="212121"/>
          <w:shd w:val="clear" w:color="auto" w:fill="FFFFFF"/>
        </w:rPr>
        <w:t xml:space="preserve"> AP, </w:t>
      </w:r>
      <w:proofErr w:type="spellStart"/>
      <w:r w:rsidRPr="00F54EE7">
        <w:rPr>
          <w:color w:val="212121"/>
          <w:shd w:val="clear" w:color="auto" w:fill="FFFFFF"/>
        </w:rPr>
        <w:t>Stanigut</w:t>
      </w:r>
      <w:proofErr w:type="spellEnd"/>
      <w:r w:rsidRPr="00F54EE7">
        <w:rPr>
          <w:color w:val="212121"/>
          <w:shd w:val="clear" w:color="auto" w:fill="FFFFFF"/>
        </w:rPr>
        <w:t xml:space="preserve"> AM, et al. Intestinal Insights: The Gut Microbiome's Role in Atherosclerotic Disease: A Narrative Review. </w:t>
      </w:r>
      <w:r w:rsidRPr="00F54EE7">
        <w:rPr>
          <w:i/>
          <w:iCs/>
          <w:color w:val="212121"/>
          <w:shd w:val="clear" w:color="auto" w:fill="FFFFFF"/>
        </w:rPr>
        <w:t>Microorganisms</w:t>
      </w:r>
      <w:r w:rsidRPr="00F54EE7">
        <w:rPr>
          <w:color w:val="212121"/>
          <w:shd w:val="clear" w:color="auto" w:fill="FFFFFF"/>
        </w:rPr>
        <w:t>. 2024;12(11):2341. Published 2024 Nov 16. doi:10.3390/microorganisms12112341</w:t>
      </w:r>
    </w:p>
    <w:p w14:paraId="13B9644A" w14:textId="77777777" w:rsidR="00C26CAE" w:rsidRDefault="00C26CAE">
      <w:pPr>
        <w:pBdr>
          <w:top w:val="nil"/>
          <w:left w:val="nil"/>
          <w:bottom w:val="nil"/>
          <w:right w:val="nil"/>
          <w:between w:val="nil"/>
        </w:pBdr>
        <w:spacing w:before="280" w:after="280" w:line="360" w:lineRule="auto"/>
        <w:jc w:val="both"/>
        <w:rPr>
          <w:b/>
        </w:rPr>
      </w:pPr>
    </w:p>
    <w:sectPr w:rsidR="00C26CAE">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A71BC"/>
    <w:multiLevelType w:val="hybridMultilevel"/>
    <w:tmpl w:val="4AE00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5A1"/>
    <w:rsid w:val="00015F9E"/>
    <w:rsid w:val="000F0EC0"/>
    <w:rsid w:val="0010064D"/>
    <w:rsid w:val="001C4714"/>
    <w:rsid w:val="00231BC9"/>
    <w:rsid w:val="00264076"/>
    <w:rsid w:val="002E35DF"/>
    <w:rsid w:val="00380BFF"/>
    <w:rsid w:val="003B4382"/>
    <w:rsid w:val="003E7189"/>
    <w:rsid w:val="005A42C5"/>
    <w:rsid w:val="006155A1"/>
    <w:rsid w:val="006B6719"/>
    <w:rsid w:val="006E06AF"/>
    <w:rsid w:val="006E1082"/>
    <w:rsid w:val="00790548"/>
    <w:rsid w:val="008850F5"/>
    <w:rsid w:val="00917BE1"/>
    <w:rsid w:val="00994B54"/>
    <w:rsid w:val="00A467F0"/>
    <w:rsid w:val="00A874CD"/>
    <w:rsid w:val="00AC573F"/>
    <w:rsid w:val="00C26CAE"/>
    <w:rsid w:val="00C54680"/>
    <w:rsid w:val="00F54EE7"/>
    <w:rsid w:val="00F83B4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28BBA312"/>
  <w15:docId w15:val="{D598CEEC-8075-5C42-875A-9BE486AB6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0F5"/>
    <w:rPr>
      <w:rFonts w:ascii="Times New Roman" w:eastAsia="Times New Roman" w:hAnsi="Times New Roman" w:cs="Times New Roman"/>
    </w:rPr>
  </w:style>
  <w:style w:type="paragraph" w:styleId="Heading1">
    <w:name w:val="heading 1"/>
    <w:basedOn w:val="Normal"/>
    <w:next w:val="Normal"/>
    <w:uiPriority w:val="9"/>
    <w:qFormat/>
    <w:pPr>
      <w:keepNext/>
      <w:keepLines/>
      <w:spacing w:before="480" w:after="120"/>
      <w:outlineLvl w:val="0"/>
    </w:pPr>
    <w:rPr>
      <w:rFonts w:ascii="Calibri" w:eastAsia="Calibri" w:hAnsi="Calibri" w:cs="Calibri"/>
      <w:b/>
      <w:sz w:val="48"/>
      <w:szCs w:val="48"/>
    </w:rPr>
  </w:style>
  <w:style w:type="paragraph" w:styleId="Heading2">
    <w:name w:val="heading 2"/>
    <w:basedOn w:val="Normal"/>
    <w:next w:val="Normal"/>
    <w:uiPriority w:val="9"/>
    <w:semiHidden/>
    <w:unhideWhenUsed/>
    <w:qFormat/>
    <w:pPr>
      <w:keepNext/>
      <w:keepLines/>
      <w:spacing w:before="360" w:after="80"/>
      <w:outlineLvl w:val="1"/>
    </w:pPr>
    <w:rPr>
      <w:rFonts w:ascii="Calibri" w:eastAsia="Calibri" w:hAnsi="Calibri" w:cs="Calibri"/>
      <w:b/>
      <w:sz w:val="36"/>
      <w:szCs w:val="36"/>
    </w:rPr>
  </w:style>
  <w:style w:type="paragraph" w:styleId="Heading3">
    <w:name w:val="heading 3"/>
    <w:basedOn w:val="Normal"/>
    <w:next w:val="Normal"/>
    <w:uiPriority w:val="9"/>
    <w:semiHidden/>
    <w:unhideWhenUsed/>
    <w:qFormat/>
    <w:pPr>
      <w:keepNext/>
      <w:keepLines/>
      <w:spacing w:before="280" w:after="80"/>
      <w:outlineLvl w:val="2"/>
    </w:pPr>
    <w:rPr>
      <w:rFonts w:ascii="Calibri" w:eastAsia="Calibri" w:hAnsi="Calibri" w:cs="Calibri"/>
      <w:b/>
      <w:sz w:val="28"/>
      <w:szCs w:val="28"/>
    </w:rPr>
  </w:style>
  <w:style w:type="paragraph" w:styleId="Heading4">
    <w:name w:val="heading 4"/>
    <w:basedOn w:val="Normal"/>
    <w:next w:val="Normal"/>
    <w:uiPriority w:val="9"/>
    <w:semiHidden/>
    <w:unhideWhenUsed/>
    <w:qFormat/>
    <w:pPr>
      <w:keepNext/>
      <w:keepLines/>
      <w:spacing w:before="240" w:after="40"/>
      <w:outlineLvl w:val="3"/>
    </w:pPr>
    <w:rPr>
      <w:rFonts w:ascii="Calibri" w:eastAsia="Calibri" w:hAnsi="Calibri" w:cs="Calibri"/>
      <w:b/>
    </w:rPr>
  </w:style>
  <w:style w:type="paragraph" w:styleId="Heading5">
    <w:name w:val="heading 5"/>
    <w:basedOn w:val="Normal"/>
    <w:next w:val="Normal"/>
    <w:uiPriority w:val="9"/>
    <w:semiHidden/>
    <w:unhideWhenUsed/>
    <w:qFormat/>
    <w:pPr>
      <w:keepNext/>
      <w:keepLines/>
      <w:spacing w:before="220" w:after="40"/>
      <w:outlineLvl w:val="4"/>
    </w:pPr>
    <w:rPr>
      <w:rFonts w:ascii="Calibri" w:eastAsia="Calibri" w:hAnsi="Calibri" w:cs="Calibri"/>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Calibri" w:eastAsia="Calibri"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rFonts w:ascii="Calibri" w:eastAsia="Calibri" w:hAnsi="Calibri" w:cs="Calibri"/>
      <w:b/>
      <w:sz w:val="72"/>
      <w:szCs w:val="72"/>
    </w:rPr>
  </w:style>
  <w:style w:type="paragraph" w:styleId="NormalWeb">
    <w:name w:val="Normal (Web)"/>
    <w:basedOn w:val="Normal"/>
    <w:uiPriority w:val="99"/>
    <w:unhideWhenUsed/>
    <w:rsid w:val="00DA75FB"/>
    <w:pPr>
      <w:spacing w:before="100" w:beforeAutospacing="1" w:after="100" w:afterAutospacing="1"/>
    </w:pPr>
  </w:style>
  <w:style w:type="character" w:styleId="Strong">
    <w:name w:val="Strong"/>
    <w:basedOn w:val="DefaultParagraphFont"/>
    <w:uiPriority w:val="22"/>
    <w:qFormat/>
    <w:rsid w:val="00DA75FB"/>
    <w:rPr>
      <w:b/>
      <w:bCs/>
    </w:rPr>
  </w:style>
  <w:style w:type="table" w:styleId="TableGrid">
    <w:name w:val="Table Grid"/>
    <w:basedOn w:val="TableNormal"/>
    <w:uiPriority w:val="39"/>
    <w:rsid w:val="00E44F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420">
    <w:name w:val="citation-420"/>
    <w:basedOn w:val="DefaultParagraphFont"/>
    <w:rsid w:val="00E44F90"/>
  </w:style>
  <w:style w:type="character" w:customStyle="1" w:styleId="citation-419">
    <w:name w:val="citation-419"/>
    <w:basedOn w:val="DefaultParagraphFont"/>
    <w:rsid w:val="00E44F90"/>
  </w:style>
  <w:style w:type="character" w:customStyle="1" w:styleId="citation-413">
    <w:name w:val="citation-413"/>
    <w:basedOn w:val="DefaultParagraphFont"/>
    <w:rsid w:val="00E44F90"/>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231BC9"/>
    <w:rPr>
      <w:i/>
      <w:iCs/>
    </w:rPr>
  </w:style>
  <w:style w:type="paragraph" w:styleId="ListParagraph">
    <w:name w:val="List Paragraph"/>
    <w:basedOn w:val="Normal"/>
    <w:uiPriority w:val="34"/>
    <w:qFormat/>
    <w:rsid w:val="00231BC9"/>
    <w:pPr>
      <w:ind w:left="720"/>
      <w:contextualSpacing/>
    </w:pPr>
    <w:rPr>
      <w:rFonts w:asciiTheme="minorHAnsi" w:eastAsiaTheme="minorHAnsi" w:hAnsiTheme="minorHAnsi" w:cstheme="minorBidi"/>
      <w:lang w:eastAsia="en-US"/>
    </w:rPr>
  </w:style>
  <w:style w:type="character" w:styleId="Hyperlink">
    <w:name w:val="Hyperlink"/>
    <w:basedOn w:val="DefaultParagraphFont"/>
    <w:uiPriority w:val="99"/>
    <w:unhideWhenUsed/>
    <w:rsid w:val="00F54EE7"/>
    <w:rPr>
      <w:color w:val="0563C1" w:themeColor="hyperlink"/>
      <w:u w:val="single"/>
    </w:rPr>
  </w:style>
  <w:style w:type="character" w:styleId="UnresolvedMention">
    <w:name w:val="Unresolved Mention"/>
    <w:basedOn w:val="DefaultParagraphFont"/>
    <w:uiPriority w:val="99"/>
    <w:semiHidden/>
    <w:unhideWhenUsed/>
    <w:rsid w:val="00F54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6298">
      <w:bodyDiv w:val="1"/>
      <w:marLeft w:val="0"/>
      <w:marRight w:val="0"/>
      <w:marTop w:val="0"/>
      <w:marBottom w:val="0"/>
      <w:divBdr>
        <w:top w:val="none" w:sz="0" w:space="0" w:color="auto"/>
        <w:left w:val="none" w:sz="0" w:space="0" w:color="auto"/>
        <w:bottom w:val="none" w:sz="0" w:space="0" w:color="auto"/>
        <w:right w:val="none" w:sz="0" w:space="0" w:color="auto"/>
      </w:divBdr>
    </w:div>
    <w:div w:id="302128145">
      <w:bodyDiv w:val="1"/>
      <w:marLeft w:val="0"/>
      <w:marRight w:val="0"/>
      <w:marTop w:val="0"/>
      <w:marBottom w:val="0"/>
      <w:divBdr>
        <w:top w:val="none" w:sz="0" w:space="0" w:color="auto"/>
        <w:left w:val="none" w:sz="0" w:space="0" w:color="auto"/>
        <w:bottom w:val="none" w:sz="0" w:space="0" w:color="auto"/>
        <w:right w:val="none" w:sz="0" w:space="0" w:color="auto"/>
      </w:divBdr>
    </w:div>
    <w:div w:id="648900504">
      <w:bodyDiv w:val="1"/>
      <w:marLeft w:val="0"/>
      <w:marRight w:val="0"/>
      <w:marTop w:val="0"/>
      <w:marBottom w:val="0"/>
      <w:divBdr>
        <w:top w:val="none" w:sz="0" w:space="0" w:color="auto"/>
        <w:left w:val="none" w:sz="0" w:space="0" w:color="auto"/>
        <w:bottom w:val="none" w:sz="0" w:space="0" w:color="auto"/>
        <w:right w:val="none" w:sz="0" w:space="0" w:color="auto"/>
      </w:divBdr>
    </w:div>
    <w:div w:id="779766989">
      <w:bodyDiv w:val="1"/>
      <w:marLeft w:val="0"/>
      <w:marRight w:val="0"/>
      <w:marTop w:val="0"/>
      <w:marBottom w:val="0"/>
      <w:divBdr>
        <w:top w:val="none" w:sz="0" w:space="0" w:color="auto"/>
        <w:left w:val="none" w:sz="0" w:space="0" w:color="auto"/>
        <w:bottom w:val="none" w:sz="0" w:space="0" w:color="auto"/>
        <w:right w:val="none" w:sz="0" w:space="0" w:color="auto"/>
      </w:divBdr>
    </w:div>
    <w:div w:id="1540312522">
      <w:bodyDiv w:val="1"/>
      <w:marLeft w:val="0"/>
      <w:marRight w:val="0"/>
      <w:marTop w:val="0"/>
      <w:marBottom w:val="0"/>
      <w:divBdr>
        <w:top w:val="none" w:sz="0" w:space="0" w:color="auto"/>
        <w:left w:val="none" w:sz="0" w:space="0" w:color="auto"/>
        <w:bottom w:val="none" w:sz="0" w:space="0" w:color="auto"/>
        <w:right w:val="none" w:sz="0" w:space="0" w:color="auto"/>
      </w:divBdr>
    </w:div>
    <w:div w:id="1920170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lnrbv0FBU5i/+F0A8RP7J1pQkQ==">CgMxLjA4AHIhMW5fS0hPVVM3dkh4akhoS0NLb25WTEZ3SFU5UXNqbDRK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866</Words>
  <Characters>4940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2</cp:revision>
  <dcterms:created xsi:type="dcterms:W3CDTF">2025-10-09T06:16:00Z</dcterms:created>
  <dcterms:modified xsi:type="dcterms:W3CDTF">2025-10-09T06:16:00Z</dcterms:modified>
</cp:coreProperties>
</file>