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54E" w:rsidRDefault="000A7BA5" w:rsidP="0098054E">
      <w:pPr>
        <w:spacing w:line="360" w:lineRule="auto"/>
        <w:jc w:val="center"/>
        <w:rPr>
          <w:rFonts w:ascii="Times New Roman" w:hAnsi="Times New Roman" w:cs="Times New Roman"/>
          <w:color w:val="000000" w:themeColor="text1"/>
          <w:sz w:val="24"/>
          <w:szCs w:val="24"/>
          <w:vertAlign w:val="superscript"/>
        </w:rPr>
      </w:pPr>
      <w:r>
        <w:rPr>
          <w:rFonts w:eastAsia="MS PGothic"/>
          <w:b/>
          <w:color w:val="000000"/>
          <w:sz w:val="28"/>
          <w:szCs w:val="28"/>
        </w:rPr>
        <w:t xml:space="preserve">Title: </w:t>
      </w:r>
      <w:r w:rsidR="0098054E" w:rsidRPr="0098054E">
        <w:rPr>
          <w:rFonts w:eastAsia="MS PGothic"/>
          <w:b/>
          <w:color w:val="000000"/>
          <w:sz w:val="28"/>
          <w:szCs w:val="28"/>
        </w:rPr>
        <w:t xml:space="preserve">Sustained Release and Skin Permeability Enhancement of </w:t>
      </w:r>
      <w:proofErr w:type="spellStart"/>
      <w:r w:rsidR="0098054E" w:rsidRPr="0098054E">
        <w:rPr>
          <w:rFonts w:eastAsia="MS PGothic"/>
          <w:b/>
          <w:color w:val="000000"/>
          <w:sz w:val="28"/>
          <w:szCs w:val="28"/>
        </w:rPr>
        <w:t>Pentazocine</w:t>
      </w:r>
      <w:proofErr w:type="spellEnd"/>
      <w:r w:rsidR="0098054E" w:rsidRPr="0098054E">
        <w:rPr>
          <w:rFonts w:eastAsia="MS PGothic"/>
          <w:b/>
          <w:color w:val="000000"/>
          <w:sz w:val="28"/>
          <w:szCs w:val="28"/>
        </w:rPr>
        <w:t xml:space="preserve"> by </w:t>
      </w:r>
      <w:proofErr w:type="spellStart"/>
      <w:r w:rsidR="0098054E" w:rsidRPr="0098054E">
        <w:rPr>
          <w:rFonts w:eastAsia="MS PGothic"/>
          <w:b/>
          <w:color w:val="000000"/>
          <w:sz w:val="28"/>
          <w:szCs w:val="28"/>
        </w:rPr>
        <w:t>Proniosome</w:t>
      </w:r>
      <w:proofErr w:type="spellEnd"/>
      <w:r w:rsidR="0098054E" w:rsidRPr="0098054E">
        <w:rPr>
          <w:rFonts w:eastAsia="MS PGothic"/>
          <w:b/>
          <w:color w:val="000000"/>
          <w:sz w:val="28"/>
          <w:szCs w:val="28"/>
        </w:rPr>
        <w:t xml:space="preserve"> derived Niosomes and </w:t>
      </w:r>
      <w:proofErr w:type="spellStart"/>
      <w:r w:rsidR="0098054E" w:rsidRPr="0098054E">
        <w:rPr>
          <w:rFonts w:eastAsia="MS PGothic"/>
          <w:b/>
          <w:color w:val="000000"/>
          <w:sz w:val="28"/>
          <w:szCs w:val="28"/>
        </w:rPr>
        <w:t>Niosomal</w:t>
      </w:r>
      <w:proofErr w:type="spellEnd"/>
      <w:r w:rsidR="0098054E" w:rsidRPr="0098054E">
        <w:rPr>
          <w:rFonts w:eastAsia="MS PGothic"/>
          <w:b/>
          <w:color w:val="000000"/>
          <w:sz w:val="28"/>
          <w:szCs w:val="28"/>
        </w:rPr>
        <w:t xml:space="preserve"> Gel</w:t>
      </w:r>
      <w:r w:rsidR="007A7306">
        <w:rPr>
          <w:rFonts w:ascii="Calibri" w:eastAsia="MS PGothic" w:hAnsi="Arial" w:cs="Times New Roman"/>
          <w:color w:val="000000"/>
        </w:rPr>
        <w:br/>
      </w:r>
      <w:r w:rsidR="0098054E">
        <w:rPr>
          <w:rFonts w:ascii="Times New Roman" w:hAnsi="Times New Roman" w:cs="Times New Roman"/>
          <w:color w:val="000000" w:themeColor="text1"/>
          <w:sz w:val="24"/>
          <w:szCs w:val="24"/>
        </w:rPr>
        <w:t>Asadullah Madni</w:t>
      </w:r>
      <w:r w:rsidR="0098054E">
        <w:rPr>
          <w:rFonts w:ascii="Times New Roman" w:hAnsi="Times New Roman" w:cs="Times New Roman"/>
          <w:color w:val="000000" w:themeColor="text1"/>
          <w:sz w:val="24"/>
          <w:szCs w:val="24"/>
          <w:vertAlign w:val="superscript"/>
        </w:rPr>
        <w:t>1*</w:t>
      </w:r>
      <w:r w:rsidR="0098054E">
        <w:rPr>
          <w:rFonts w:ascii="Times New Roman" w:hAnsi="Times New Roman" w:cs="Times New Roman"/>
          <w:color w:val="000000" w:themeColor="text1"/>
          <w:sz w:val="24"/>
          <w:szCs w:val="24"/>
        </w:rPr>
        <w:t xml:space="preserve">, Muhammad </w:t>
      </w:r>
      <w:proofErr w:type="spellStart"/>
      <w:r w:rsidR="0098054E">
        <w:rPr>
          <w:rFonts w:ascii="Times New Roman" w:hAnsi="Times New Roman" w:cs="Times New Roman"/>
          <w:color w:val="000000" w:themeColor="text1"/>
          <w:sz w:val="24"/>
          <w:szCs w:val="24"/>
        </w:rPr>
        <w:t>Abdur</w:t>
      </w:r>
      <w:proofErr w:type="spellEnd"/>
      <w:r w:rsidR="0098054E">
        <w:rPr>
          <w:rFonts w:ascii="Times New Roman" w:hAnsi="Times New Roman" w:cs="Times New Roman"/>
          <w:color w:val="000000" w:themeColor="text1"/>
          <w:sz w:val="24"/>
          <w:szCs w:val="24"/>
        </w:rPr>
        <w:t xml:space="preserve"> Rahem</w:t>
      </w:r>
      <w:r w:rsidR="0098054E">
        <w:rPr>
          <w:rFonts w:ascii="Times New Roman" w:hAnsi="Times New Roman" w:cs="Times New Roman"/>
          <w:color w:val="000000" w:themeColor="text1"/>
          <w:sz w:val="24"/>
          <w:szCs w:val="24"/>
          <w:vertAlign w:val="superscript"/>
        </w:rPr>
        <w:t>1</w:t>
      </w:r>
      <w:r w:rsidR="0098054E">
        <w:rPr>
          <w:rFonts w:ascii="Times New Roman" w:hAnsi="Times New Roman" w:cs="Times New Roman"/>
          <w:color w:val="000000" w:themeColor="text1"/>
          <w:sz w:val="24"/>
          <w:szCs w:val="24"/>
        </w:rPr>
        <w:t>, Muhammad Ahmad Mahmood</w:t>
      </w:r>
      <w:r w:rsidR="0098054E">
        <w:rPr>
          <w:rFonts w:ascii="Times New Roman" w:hAnsi="Times New Roman" w:cs="Times New Roman"/>
          <w:color w:val="000000" w:themeColor="text1"/>
          <w:sz w:val="24"/>
          <w:szCs w:val="24"/>
          <w:vertAlign w:val="superscript"/>
        </w:rPr>
        <w:t>1</w:t>
      </w:r>
      <w:r w:rsidR="0098054E">
        <w:rPr>
          <w:rFonts w:ascii="Times New Roman" w:hAnsi="Times New Roman" w:cs="Times New Roman"/>
          <w:color w:val="000000" w:themeColor="text1"/>
          <w:sz w:val="24"/>
          <w:szCs w:val="24"/>
        </w:rPr>
        <w:t>, Mubashar Rehman</w:t>
      </w:r>
      <w:r w:rsidR="0098054E">
        <w:rPr>
          <w:rFonts w:ascii="Times New Roman" w:hAnsi="Times New Roman" w:cs="Times New Roman"/>
          <w:color w:val="000000" w:themeColor="text1"/>
          <w:sz w:val="24"/>
          <w:szCs w:val="24"/>
          <w:vertAlign w:val="superscript"/>
        </w:rPr>
        <w:t>1</w:t>
      </w:r>
      <w:r w:rsidR="0098054E">
        <w:rPr>
          <w:rFonts w:ascii="Times New Roman" w:hAnsi="Times New Roman" w:cs="Times New Roman"/>
          <w:color w:val="000000" w:themeColor="text1"/>
          <w:sz w:val="24"/>
          <w:szCs w:val="24"/>
        </w:rPr>
        <w:t xml:space="preserve"> and </w:t>
      </w:r>
      <w:r w:rsidR="0098054E">
        <w:rPr>
          <w:rFonts w:ascii="Times New Roman" w:hAnsi="Times New Roman" w:cs="Times New Roman"/>
          <w:color w:val="000000" w:themeColor="text1"/>
          <w:sz w:val="24"/>
          <w:szCs w:val="24"/>
        </w:rPr>
        <w:t>Nayab Tahir</w:t>
      </w:r>
      <w:r w:rsidR="0098054E">
        <w:rPr>
          <w:rFonts w:ascii="Times New Roman" w:hAnsi="Times New Roman" w:cs="Times New Roman"/>
          <w:color w:val="000000" w:themeColor="text1"/>
          <w:sz w:val="24"/>
          <w:szCs w:val="24"/>
          <w:vertAlign w:val="superscript"/>
        </w:rPr>
        <w:t>1</w:t>
      </w:r>
    </w:p>
    <w:p w:rsidR="005629BC" w:rsidRDefault="005629BC" w:rsidP="005629BC">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Department of Pharmacy, </w:t>
      </w:r>
      <w:proofErr w:type="gramStart"/>
      <w:r>
        <w:rPr>
          <w:rFonts w:ascii="Times New Roman" w:hAnsi="Times New Roman" w:cs="Times New Roman"/>
          <w:color w:val="000000" w:themeColor="text1"/>
          <w:sz w:val="24"/>
          <w:szCs w:val="24"/>
        </w:rPr>
        <w:t>The</w:t>
      </w:r>
      <w:proofErr w:type="gramEnd"/>
      <w:r>
        <w:rPr>
          <w:rFonts w:ascii="Times New Roman" w:hAnsi="Times New Roman" w:cs="Times New Roman"/>
          <w:color w:val="000000" w:themeColor="text1"/>
          <w:sz w:val="24"/>
          <w:szCs w:val="24"/>
        </w:rPr>
        <w:t xml:space="preserve"> Islamia University of Bahawalpur, Bahawalpur 63100, Punjab, Pakistan</w:t>
      </w:r>
    </w:p>
    <w:p w:rsidR="0098054E" w:rsidRDefault="0098054E" w:rsidP="0098054E">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Corresponding Author:</w:t>
      </w:r>
    </w:p>
    <w:p w:rsidR="0098054E" w:rsidRDefault="0098054E" w:rsidP="0098054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w:t>
      </w:r>
      <w:proofErr w:type="spellStart"/>
      <w:r>
        <w:rPr>
          <w:rFonts w:ascii="Times New Roman" w:hAnsi="Times New Roman" w:cs="Times New Roman"/>
          <w:color w:val="000000" w:themeColor="text1"/>
          <w:sz w:val="24"/>
          <w:szCs w:val="24"/>
        </w:rPr>
        <w:t>Asadullad</w:t>
      </w:r>
      <w:proofErr w:type="spellEnd"/>
      <w:r>
        <w:rPr>
          <w:rFonts w:ascii="Times New Roman" w:hAnsi="Times New Roman" w:cs="Times New Roman"/>
          <w:color w:val="000000" w:themeColor="text1"/>
          <w:sz w:val="24"/>
          <w:szCs w:val="24"/>
        </w:rPr>
        <w:t xml:space="preserve"> Madni,</w:t>
      </w:r>
    </w:p>
    <w:p w:rsidR="0098054E" w:rsidRDefault="0098054E" w:rsidP="0098054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Address: Assistant Professor, Department of Pharmacy, </w:t>
      </w:r>
      <w:proofErr w:type="gramStart"/>
      <w:r>
        <w:rPr>
          <w:rFonts w:ascii="Times New Roman" w:hAnsi="Times New Roman" w:cs="Times New Roman"/>
          <w:color w:val="000000" w:themeColor="text1"/>
          <w:sz w:val="24"/>
          <w:szCs w:val="24"/>
        </w:rPr>
        <w:t>The</w:t>
      </w:r>
      <w:proofErr w:type="gramEnd"/>
      <w:r>
        <w:rPr>
          <w:rFonts w:ascii="Times New Roman" w:hAnsi="Times New Roman" w:cs="Times New Roman"/>
          <w:color w:val="000000" w:themeColor="text1"/>
          <w:sz w:val="24"/>
          <w:szCs w:val="24"/>
        </w:rPr>
        <w:t xml:space="preserve"> Islamia University of Bahawalpur, Railway Road, Punjab, Bahawalpur 63100, Pakistan</w:t>
      </w:r>
    </w:p>
    <w:p w:rsidR="007A7306" w:rsidRDefault="0098054E" w:rsidP="0098054E">
      <w:pPr>
        <w:rPr>
          <w:rFonts w:ascii="Calibri" w:eastAsia="Times New Roman" w:hAnsi="Calibri" w:cs="Times New Roman"/>
          <w:b/>
          <w:sz w:val="28"/>
          <w:szCs w:val="28"/>
        </w:rPr>
      </w:pPr>
      <w:r>
        <w:rPr>
          <w:rFonts w:ascii="Times New Roman" w:hAnsi="Times New Roman" w:cs="Times New Roman"/>
          <w:color w:val="000000" w:themeColor="text1"/>
          <w:sz w:val="24"/>
          <w:szCs w:val="24"/>
        </w:rPr>
        <w:t xml:space="preserve">Email: </w:t>
      </w:r>
      <w:hyperlink r:id="rId5" w:history="1">
        <w:r>
          <w:rPr>
            <w:rStyle w:val="Hyperlink"/>
            <w:rFonts w:ascii="Times New Roman" w:hAnsi="Times New Roman" w:cs="Times New Roman"/>
            <w:color w:val="000000" w:themeColor="text1"/>
            <w:sz w:val="24"/>
            <w:szCs w:val="24"/>
          </w:rPr>
          <w:t>asadpharmacist@hotmail.com</w:t>
        </w:r>
      </w:hyperlink>
      <w:r>
        <w:rPr>
          <w:rFonts w:ascii="Times New Roman" w:hAnsi="Times New Roman" w:cs="Times New Roman"/>
          <w:color w:val="000000" w:themeColor="text1"/>
          <w:sz w:val="24"/>
          <w:szCs w:val="24"/>
        </w:rPr>
        <w:t>, Phone: +92 62925 5243, Fax +92 62925 5565</w:t>
      </w:r>
    </w:p>
    <w:p w:rsidR="000A7BA5" w:rsidRDefault="0098054E" w:rsidP="000A7BA5">
      <w:pPr>
        <w:rPr>
          <w:b/>
          <w:sz w:val="28"/>
          <w:szCs w:val="28"/>
        </w:rPr>
      </w:pPr>
      <w:r>
        <w:rPr>
          <w:b/>
          <w:sz w:val="28"/>
          <w:szCs w:val="28"/>
        </w:rPr>
        <w:t>Abstract</w:t>
      </w:r>
    </w:p>
    <w:p w:rsidR="0098054E" w:rsidRDefault="0098054E" w:rsidP="0098054E">
      <w:pPr>
        <w:spacing w:line="360" w:lineRule="auto"/>
        <w:jc w:val="both"/>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Proniosomes</w:t>
      </w:r>
      <w:proofErr w:type="spellEnd"/>
      <w:r>
        <w:rPr>
          <w:rFonts w:ascii="Times New Roman" w:hAnsi="Times New Roman" w:cs="Times New Roman"/>
          <w:color w:val="000000" w:themeColor="text1"/>
          <w:sz w:val="24"/>
          <w:szCs w:val="24"/>
        </w:rPr>
        <w:t xml:space="preserve"> (PN) are the dry water soluble carrier systems that may enhance the oral bioavailability, stability and topical permeability of therapeutic agents. The low solubility and low oral bioavailability due to extensive first pass metabolism make </w:t>
      </w:r>
      <w:proofErr w:type="spellStart"/>
      <w:r>
        <w:rPr>
          <w:rFonts w:ascii="Times New Roman" w:hAnsi="Times New Roman" w:cs="Times New Roman"/>
          <w:color w:val="000000" w:themeColor="text1"/>
          <w:sz w:val="24"/>
          <w:szCs w:val="24"/>
        </w:rPr>
        <w:t>Pentazocine</w:t>
      </w:r>
      <w:proofErr w:type="spellEnd"/>
      <w:r>
        <w:rPr>
          <w:rFonts w:ascii="Times New Roman" w:hAnsi="Times New Roman" w:cs="Times New Roman"/>
          <w:color w:val="000000" w:themeColor="text1"/>
          <w:sz w:val="24"/>
          <w:szCs w:val="24"/>
        </w:rPr>
        <w:t xml:space="preserve"> as an ideal candidate for oral and topical sustained release delivery. The present study was aimed to formulate the PNs by quick slurry method that are converted to niosomes (liquid dispersion) by hydration, and subsequently formulated to semisolid </w:t>
      </w:r>
      <w:proofErr w:type="spellStart"/>
      <w:r>
        <w:rPr>
          <w:rFonts w:ascii="Times New Roman" w:hAnsi="Times New Roman" w:cs="Times New Roman"/>
          <w:color w:val="000000" w:themeColor="text1"/>
          <w:sz w:val="24"/>
          <w:szCs w:val="24"/>
        </w:rPr>
        <w:t>niosomal</w:t>
      </w:r>
      <w:proofErr w:type="spellEnd"/>
      <w:r>
        <w:rPr>
          <w:rFonts w:ascii="Times New Roman" w:hAnsi="Times New Roman" w:cs="Times New Roman"/>
          <w:color w:val="000000" w:themeColor="text1"/>
          <w:sz w:val="24"/>
          <w:szCs w:val="24"/>
        </w:rPr>
        <w:t xml:space="preserve"> gel. The PNs were found in spherical shape in the SEM and stable in the </w:t>
      </w:r>
      <w:proofErr w:type="spellStart"/>
      <w:r>
        <w:rPr>
          <w:rFonts w:ascii="Times New Roman" w:hAnsi="Times New Roman" w:cs="Times New Roman"/>
          <w:color w:val="000000" w:themeColor="text1"/>
          <w:sz w:val="24"/>
          <w:szCs w:val="24"/>
        </w:rPr>
        <w:t>physico</w:t>
      </w:r>
      <w:proofErr w:type="spellEnd"/>
      <w:r>
        <w:rPr>
          <w:rFonts w:ascii="Times New Roman" w:hAnsi="Times New Roman" w:cs="Times New Roman"/>
          <w:color w:val="000000" w:themeColor="text1"/>
          <w:sz w:val="24"/>
          <w:szCs w:val="24"/>
        </w:rPr>
        <w:t>-chemical and thermal analysis (FTIR, TGA and XRD). The quick slurry method produced high recovery (&gt;80% yield) and better flow properties (θ=28.1-37.4°). After hydration, the niosomes exhibited desirable entrapment efficiency (44.45-76.23%), size (</w:t>
      </w:r>
      <w:r>
        <w:rPr>
          <w:rFonts w:ascii="Times New Roman" w:eastAsia="Times New Roman" w:hAnsi="Times New Roman" w:cs="Times New Roman"/>
          <w:color w:val="000000" w:themeColor="text1"/>
          <w:sz w:val="24"/>
          <w:szCs w:val="24"/>
        </w:rPr>
        <w:t>4.98-21.3µm)</w:t>
      </w:r>
      <w:r>
        <w:rPr>
          <w:rFonts w:ascii="Times New Roman" w:hAnsi="Times New Roman" w:cs="Times New Roman"/>
          <w:color w:val="000000" w:themeColor="text1"/>
          <w:sz w:val="24"/>
          <w:szCs w:val="24"/>
        </w:rPr>
        <w:t xml:space="preserve"> and zeta potential (</w:t>
      </w:r>
      <w:r>
        <w:rPr>
          <w:rFonts w:ascii="Times New Roman" w:eastAsia="Times New Roman" w:hAnsi="Times New Roman" w:cs="Times New Roman"/>
          <w:color w:val="000000" w:themeColor="text1"/>
          <w:sz w:val="24"/>
          <w:szCs w:val="24"/>
        </w:rPr>
        <w:t>-9.81mV to -21.53 mV)</w:t>
      </w:r>
      <w:r>
        <w:rPr>
          <w:rFonts w:ascii="Times New Roman" w:hAnsi="Times New Roman" w:cs="Times New Roman"/>
          <w:color w:val="000000" w:themeColor="text1"/>
          <w:sz w:val="24"/>
          <w:szCs w:val="24"/>
        </w:rPr>
        <w:t xml:space="preserve">. The </w:t>
      </w:r>
      <w:r>
        <w:rPr>
          <w:rFonts w:ascii="Times New Roman" w:hAnsi="Times New Roman" w:cs="Times New Roman"/>
          <w:i/>
          <w:color w:val="000000" w:themeColor="text1"/>
          <w:sz w:val="24"/>
          <w:szCs w:val="24"/>
        </w:rPr>
        <w:t>in vitro</w:t>
      </w:r>
      <w:r>
        <w:rPr>
          <w:rFonts w:ascii="Times New Roman" w:hAnsi="Times New Roman" w:cs="Times New Roman"/>
          <w:color w:val="000000" w:themeColor="text1"/>
          <w:sz w:val="24"/>
          <w:szCs w:val="24"/>
        </w:rPr>
        <w:t xml:space="preserve"> drug release (T</w:t>
      </w:r>
      <w:r>
        <w:rPr>
          <w:rFonts w:ascii="Times New Roman" w:hAnsi="Times New Roman" w:cs="Times New Roman"/>
          <w:color w:val="000000" w:themeColor="text1"/>
          <w:sz w:val="24"/>
          <w:szCs w:val="24"/>
          <w:vertAlign w:val="subscript"/>
        </w:rPr>
        <w:t>100%</w:t>
      </w:r>
      <w:r>
        <w:rPr>
          <w:rFonts w:ascii="Times New Roman" w:hAnsi="Times New Roman" w:cs="Times New Roman"/>
          <w:color w:val="000000" w:themeColor="text1"/>
          <w:sz w:val="24"/>
          <w:szCs w:val="24"/>
        </w:rPr>
        <w:t xml:space="preserve">) was extended to more than three half-lives (2-4 </w:t>
      </w:r>
      <w:proofErr w:type="spellStart"/>
      <w:r>
        <w:rPr>
          <w:rFonts w:ascii="Times New Roman" w:hAnsi="Times New Roman" w:cs="Times New Roman"/>
          <w:color w:val="000000" w:themeColor="text1"/>
          <w:sz w:val="24"/>
          <w:szCs w:val="24"/>
        </w:rPr>
        <w:t>hrs</w:t>
      </w:r>
      <w:proofErr w:type="spellEnd"/>
      <w:r>
        <w:rPr>
          <w:rFonts w:ascii="Times New Roman" w:hAnsi="Times New Roman" w:cs="Times New Roman"/>
          <w:color w:val="000000" w:themeColor="text1"/>
          <w:sz w:val="24"/>
          <w:szCs w:val="24"/>
        </w:rPr>
        <w:t>) and showed good fit to Fickian diffusion indicated by Korsmeyer-Peppas model (n=0.136-0.365 and R</w:t>
      </w:r>
      <w:r>
        <w:rPr>
          <w:rFonts w:ascii="Times New Roman" w:hAnsi="Times New Roman" w:cs="Times New Roman"/>
          <w:color w:val="000000" w:themeColor="text1"/>
          <w:sz w:val="24"/>
          <w:szCs w:val="24"/>
        </w:rPr>
        <w:softHyphen/>
      </w:r>
      <w:r>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 xml:space="preserve">=0.9747- 0.9954). The permeation of </w:t>
      </w:r>
      <w:proofErr w:type="spellStart"/>
      <w:r>
        <w:rPr>
          <w:rFonts w:ascii="Times New Roman" w:hAnsi="Times New Roman" w:cs="Times New Roman"/>
          <w:color w:val="000000" w:themeColor="text1"/>
          <w:sz w:val="24"/>
          <w:szCs w:val="24"/>
        </w:rPr>
        <w:t>niosomal</w:t>
      </w:r>
      <w:proofErr w:type="spellEnd"/>
      <w:r>
        <w:rPr>
          <w:rFonts w:ascii="Times New Roman" w:hAnsi="Times New Roman" w:cs="Times New Roman"/>
          <w:color w:val="000000" w:themeColor="text1"/>
          <w:sz w:val="24"/>
          <w:szCs w:val="24"/>
        </w:rPr>
        <w:t xml:space="preserve"> gel was significantly enhanced across rabbit skin compared to the pure drug-derived gel. Therefore, the PNs are found promising candidates for oral as bioavailability enhancement and sustained release for oral and topical delivery of </w:t>
      </w:r>
      <w:proofErr w:type="spellStart"/>
      <w:r>
        <w:rPr>
          <w:rFonts w:ascii="Times New Roman" w:hAnsi="Times New Roman" w:cs="Times New Roman"/>
          <w:color w:val="000000" w:themeColor="text1"/>
          <w:sz w:val="24"/>
          <w:szCs w:val="24"/>
        </w:rPr>
        <w:t>pentazocine</w:t>
      </w:r>
      <w:proofErr w:type="spellEnd"/>
      <w:r>
        <w:rPr>
          <w:rFonts w:ascii="Times New Roman" w:hAnsi="Times New Roman" w:cs="Times New Roman"/>
          <w:color w:val="000000" w:themeColor="text1"/>
          <w:sz w:val="24"/>
          <w:szCs w:val="24"/>
        </w:rPr>
        <w:t>.</w:t>
      </w:r>
    </w:p>
    <w:p w:rsidR="005629BC" w:rsidRDefault="005629BC" w:rsidP="0098054E">
      <w:pPr>
        <w:spacing w:line="360" w:lineRule="auto"/>
        <w:jc w:val="both"/>
        <w:rPr>
          <w:rFonts w:ascii="Times New Roman" w:hAnsi="Times New Roman" w:cs="Times New Roman"/>
          <w:color w:val="000000" w:themeColor="text1"/>
          <w:sz w:val="24"/>
          <w:szCs w:val="24"/>
        </w:rPr>
      </w:pPr>
      <w:bookmarkStart w:id="0" w:name="_GoBack"/>
      <w:r>
        <w:rPr>
          <w:noProof/>
        </w:rPr>
        <w:lastRenderedPageBreak/>
        <w:drawing>
          <wp:inline distT="0" distB="0" distL="0" distR="0" wp14:anchorId="569111C2" wp14:editId="16632382">
            <wp:extent cx="5467350" cy="471487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67350" cy="4714875"/>
                    </a:xfrm>
                    <a:prstGeom prst="rect">
                      <a:avLst/>
                    </a:prstGeom>
                    <a:noFill/>
                    <a:ln>
                      <a:noFill/>
                    </a:ln>
                  </pic:spPr>
                </pic:pic>
              </a:graphicData>
            </a:graphic>
          </wp:inline>
        </w:drawing>
      </w:r>
      <w:bookmarkEnd w:id="0"/>
    </w:p>
    <w:p w:rsidR="005629BC" w:rsidRDefault="005629BC" w:rsidP="005629BC">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Figure. Graphical abstract of PN vesicular delivery for the </w:t>
      </w:r>
      <w:proofErr w:type="spellStart"/>
      <w:r>
        <w:rPr>
          <w:rFonts w:ascii="Times New Roman" w:hAnsi="Times New Roman" w:cs="Times New Roman"/>
          <w:color w:val="000000" w:themeColor="text1"/>
          <w:sz w:val="24"/>
          <w:szCs w:val="24"/>
        </w:rPr>
        <w:t>Pentazocine</w:t>
      </w:r>
      <w:proofErr w:type="spellEnd"/>
      <w:r>
        <w:rPr>
          <w:rFonts w:ascii="Times New Roman" w:hAnsi="Times New Roman" w:cs="Times New Roman"/>
          <w:color w:val="000000" w:themeColor="text1"/>
          <w:sz w:val="24"/>
          <w:szCs w:val="24"/>
        </w:rPr>
        <w:t>.</w:t>
      </w:r>
    </w:p>
    <w:p w:rsidR="000A7BA5" w:rsidRPr="005629BC" w:rsidRDefault="000A7BA5" w:rsidP="000A7BA5">
      <w:pPr>
        <w:jc w:val="both"/>
        <w:rPr>
          <w:rFonts w:ascii="Times New Roman" w:hAnsi="Times New Roman" w:cs="Times New Roman"/>
          <w:b/>
          <w:sz w:val="24"/>
        </w:rPr>
      </w:pPr>
      <w:r w:rsidRPr="005629BC">
        <w:rPr>
          <w:rFonts w:ascii="Times New Roman" w:hAnsi="Times New Roman" w:cs="Times New Roman"/>
          <w:b/>
          <w:sz w:val="24"/>
        </w:rPr>
        <w:t>Biography</w:t>
      </w:r>
    </w:p>
    <w:p w:rsidR="000A7BA5" w:rsidRPr="005629BC" w:rsidRDefault="0098054E" w:rsidP="000A7BA5">
      <w:pPr>
        <w:jc w:val="both"/>
        <w:rPr>
          <w:rFonts w:ascii="Times New Roman" w:hAnsi="Times New Roman" w:cs="Times New Roman"/>
          <w:sz w:val="24"/>
        </w:rPr>
      </w:pPr>
      <w:r w:rsidRPr="005629BC">
        <w:rPr>
          <w:rFonts w:ascii="Times New Roman" w:hAnsi="Times New Roman" w:cs="Times New Roman"/>
          <w:sz w:val="24"/>
        </w:rPr>
        <w:t>Dr. Asadullah Madni</w:t>
      </w:r>
      <w:r w:rsidR="000A7BA5" w:rsidRPr="005629BC">
        <w:rPr>
          <w:rFonts w:ascii="Times New Roman" w:hAnsi="Times New Roman" w:cs="Times New Roman"/>
          <w:sz w:val="24"/>
        </w:rPr>
        <w:t xml:space="preserve"> has completed his PhD from </w:t>
      </w:r>
      <w:r w:rsidRPr="005629BC">
        <w:rPr>
          <w:rFonts w:ascii="Times New Roman" w:hAnsi="Times New Roman" w:cs="Times New Roman"/>
          <w:sz w:val="24"/>
        </w:rPr>
        <w:t xml:space="preserve">the Faculty of Pharmacy and Alternative Medicine, The Islamia University </w:t>
      </w:r>
      <w:r w:rsidR="000A7BA5" w:rsidRPr="005629BC">
        <w:rPr>
          <w:rFonts w:ascii="Times New Roman" w:hAnsi="Times New Roman" w:cs="Times New Roman"/>
          <w:sz w:val="24"/>
        </w:rPr>
        <w:t xml:space="preserve">of </w:t>
      </w:r>
      <w:r w:rsidRPr="005629BC">
        <w:rPr>
          <w:rFonts w:ascii="Times New Roman" w:hAnsi="Times New Roman" w:cs="Times New Roman"/>
          <w:sz w:val="24"/>
        </w:rPr>
        <w:t xml:space="preserve">Bahawalpur, Pakistan </w:t>
      </w:r>
      <w:r w:rsidR="000A7BA5" w:rsidRPr="005629BC">
        <w:rPr>
          <w:rFonts w:ascii="Times New Roman" w:hAnsi="Times New Roman" w:cs="Times New Roman"/>
          <w:sz w:val="24"/>
        </w:rPr>
        <w:t xml:space="preserve">and postdoctoral studies from </w:t>
      </w:r>
      <w:r w:rsidRPr="005629BC">
        <w:rPr>
          <w:rFonts w:ascii="Times New Roman" w:hAnsi="Times New Roman" w:cs="Times New Roman"/>
          <w:sz w:val="24"/>
        </w:rPr>
        <w:t>Univ</w:t>
      </w:r>
      <w:r w:rsidR="000A7BA5" w:rsidRPr="005629BC">
        <w:rPr>
          <w:rFonts w:ascii="Times New Roman" w:hAnsi="Times New Roman" w:cs="Times New Roman"/>
          <w:sz w:val="24"/>
        </w:rPr>
        <w:t>ersity</w:t>
      </w:r>
      <w:r w:rsidRPr="005629BC">
        <w:rPr>
          <w:rFonts w:ascii="Times New Roman" w:hAnsi="Times New Roman" w:cs="Times New Roman"/>
          <w:sz w:val="24"/>
        </w:rPr>
        <w:t xml:space="preserve"> of Auckland, New Zealand</w:t>
      </w:r>
      <w:r w:rsidR="000A7BA5" w:rsidRPr="005629BC">
        <w:rPr>
          <w:rFonts w:ascii="Times New Roman" w:hAnsi="Times New Roman" w:cs="Times New Roman"/>
          <w:sz w:val="24"/>
        </w:rPr>
        <w:t xml:space="preserve">. He is </w:t>
      </w:r>
      <w:r w:rsidRPr="005629BC">
        <w:rPr>
          <w:rFonts w:ascii="Times New Roman" w:hAnsi="Times New Roman" w:cs="Times New Roman"/>
          <w:sz w:val="24"/>
        </w:rPr>
        <w:t xml:space="preserve">working as Assistant professor in the </w:t>
      </w:r>
      <w:r w:rsidRPr="005629BC">
        <w:rPr>
          <w:rFonts w:ascii="Times New Roman" w:hAnsi="Times New Roman" w:cs="Times New Roman"/>
          <w:sz w:val="24"/>
        </w:rPr>
        <w:t>Faculty of Pharmacy and Alternative Medicine, The Islamia University of Bahawalpur, Pakistan</w:t>
      </w:r>
      <w:r w:rsidR="000A7BA5" w:rsidRPr="005629BC">
        <w:rPr>
          <w:rFonts w:ascii="Times New Roman" w:hAnsi="Times New Roman" w:cs="Times New Roman"/>
          <w:sz w:val="24"/>
        </w:rPr>
        <w:t xml:space="preserve">. </w:t>
      </w:r>
      <w:r w:rsidRPr="005629BC">
        <w:rPr>
          <w:rFonts w:ascii="Times New Roman" w:hAnsi="Times New Roman" w:cs="Times New Roman"/>
          <w:sz w:val="24"/>
        </w:rPr>
        <w:t xml:space="preserve">His area of research include the pharmaceutical nanotechnology and novel drug delivery systems for the </w:t>
      </w:r>
      <w:r w:rsidR="005629BC" w:rsidRPr="005629BC">
        <w:rPr>
          <w:rFonts w:ascii="Times New Roman" w:hAnsi="Times New Roman" w:cs="Times New Roman"/>
          <w:sz w:val="24"/>
        </w:rPr>
        <w:t xml:space="preserve">targeted therapy of different diseases. </w:t>
      </w:r>
      <w:r w:rsidR="000A7BA5" w:rsidRPr="005629BC">
        <w:rPr>
          <w:rFonts w:ascii="Times New Roman" w:hAnsi="Times New Roman" w:cs="Times New Roman"/>
          <w:sz w:val="24"/>
        </w:rPr>
        <w:t xml:space="preserve">He has published more than </w:t>
      </w:r>
      <w:r w:rsidRPr="005629BC">
        <w:rPr>
          <w:rFonts w:ascii="Times New Roman" w:hAnsi="Times New Roman" w:cs="Times New Roman"/>
          <w:sz w:val="24"/>
        </w:rPr>
        <w:t>60 research</w:t>
      </w:r>
      <w:r w:rsidR="000A7BA5" w:rsidRPr="005629BC">
        <w:rPr>
          <w:rFonts w:ascii="Times New Roman" w:hAnsi="Times New Roman" w:cs="Times New Roman"/>
          <w:sz w:val="24"/>
        </w:rPr>
        <w:t xml:space="preserve"> papers in </w:t>
      </w:r>
      <w:r w:rsidRPr="005629BC">
        <w:rPr>
          <w:rFonts w:ascii="Times New Roman" w:hAnsi="Times New Roman" w:cs="Times New Roman"/>
          <w:sz w:val="24"/>
        </w:rPr>
        <w:t xml:space="preserve">well </w:t>
      </w:r>
      <w:r w:rsidR="000A7BA5" w:rsidRPr="005629BC">
        <w:rPr>
          <w:rFonts w:ascii="Times New Roman" w:hAnsi="Times New Roman" w:cs="Times New Roman"/>
          <w:sz w:val="24"/>
        </w:rPr>
        <w:t xml:space="preserve">reputed </w:t>
      </w:r>
      <w:r w:rsidRPr="005629BC">
        <w:rPr>
          <w:rFonts w:ascii="Times New Roman" w:hAnsi="Times New Roman" w:cs="Times New Roman"/>
          <w:sz w:val="24"/>
        </w:rPr>
        <w:t>international journals.</w:t>
      </w:r>
    </w:p>
    <w:p w:rsidR="00F234FB" w:rsidRDefault="00F234FB"/>
    <w:sectPr w:rsidR="00F234FB" w:rsidSect="00BC12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BA5"/>
    <w:rsid w:val="000A7BA5"/>
    <w:rsid w:val="005575A2"/>
    <w:rsid w:val="005629BC"/>
    <w:rsid w:val="007A7306"/>
    <w:rsid w:val="0098054E"/>
    <w:rsid w:val="00BC124E"/>
    <w:rsid w:val="00F2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8E772C-C953-44A9-B53B-1AE132E1F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2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805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987265">
      <w:bodyDiv w:val="1"/>
      <w:marLeft w:val="0"/>
      <w:marRight w:val="0"/>
      <w:marTop w:val="0"/>
      <w:marBottom w:val="0"/>
      <w:divBdr>
        <w:top w:val="none" w:sz="0" w:space="0" w:color="auto"/>
        <w:left w:val="none" w:sz="0" w:space="0" w:color="auto"/>
        <w:bottom w:val="none" w:sz="0" w:space="0" w:color="auto"/>
        <w:right w:val="none" w:sz="0" w:space="0" w:color="auto"/>
      </w:divBdr>
    </w:div>
    <w:div w:id="577710286">
      <w:bodyDiv w:val="1"/>
      <w:marLeft w:val="0"/>
      <w:marRight w:val="0"/>
      <w:marTop w:val="0"/>
      <w:marBottom w:val="0"/>
      <w:divBdr>
        <w:top w:val="none" w:sz="0" w:space="0" w:color="auto"/>
        <w:left w:val="none" w:sz="0" w:space="0" w:color="auto"/>
        <w:bottom w:val="none" w:sz="0" w:space="0" w:color="auto"/>
        <w:right w:val="none" w:sz="0" w:space="0" w:color="auto"/>
      </w:divBdr>
    </w:div>
    <w:div w:id="1351876616">
      <w:bodyDiv w:val="1"/>
      <w:marLeft w:val="0"/>
      <w:marRight w:val="0"/>
      <w:marTop w:val="0"/>
      <w:marBottom w:val="0"/>
      <w:divBdr>
        <w:top w:val="none" w:sz="0" w:space="0" w:color="auto"/>
        <w:left w:val="none" w:sz="0" w:space="0" w:color="auto"/>
        <w:bottom w:val="none" w:sz="0" w:space="0" w:color="auto"/>
        <w:right w:val="none" w:sz="0" w:space="0" w:color="auto"/>
      </w:divBdr>
    </w:div>
    <w:div w:id="1595435179">
      <w:bodyDiv w:val="1"/>
      <w:marLeft w:val="0"/>
      <w:marRight w:val="0"/>
      <w:marTop w:val="0"/>
      <w:marBottom w:val="0"/>
      <w:divBdr>
        <w:top w:val="none" w:sz="0" w:space="0" w:color="auto"/>
        <w:left w:val="none" w:sz="0" w:space="0" w:color="auto"/>
        <w:bottom w:val="none" w:sz="0" w:space="0" w:color="auto"/>
        <w:right w:val="none" w:sz="0" w:space="0" w:color="auto"/>
      </w:divBdr>
    </w:div>
    <w:div w:id="1649701118">
      <w:bodyDiv w:val="1"/>
      <w:marLeft w:val="0"/>
      <w:marRight w:val="0"/>
      <w:marTop w:val="0"/>
      <w:marBottom w:val="0"/>
      <w:divBdr>
        <w:top w:val="none" w:sz="0" w:space="0" w:color="auto"/>
        <w:left w:val="none" w:sz="0" w:space="0" w:color="auto"/>
        <w:bottom w:val="none" w:sz="0" w:space="0" w:color="auto"/>
        <w:right w:val="none" w:sz="0" w:space="0" w:color="auto"/>
      </w:divBdr>
    </w:div>
    <w:div w:id="1697848647">
      <w:bodyDiv w:val="1"/>
      <w:marLeft w:val="0"/>
      <w:marRight w:val="0"/>
      <w:marTop w:val="0"/>
      <w:marBottom w:val="0"/>
      <w:divBdr>
        <w:top w:val="none" w:sz="0" w:space="0" w:color="auto"/>
        <w:left w:val="none" w:sz="0" w:space="0" w:color="auto"/>
        <w:bottom w:val="none" w:sz="0" w:space="0" w:color="auto"/>
        <w:right w:val="none" w:sz="0" w:space="0" w:color="auto"/>
      </w:divBdr>
    </w:div>
    <w:div w:id="182088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asadpharmacist@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58FE5-D3F1-4F57-B7AC-997189DBB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Scientific federatio</dc:creator>
  <cp:keywords/>
  <dc:description/>
  <cp:lastModifiedBy>Nayab Tahir</cp:lastModifiedBy>
  <cp:revision>2</cp:revision>
  <dcterms:created xsi:type="dcterms:W3CDTF">2017-09-14T05:22:00Z</dcterms:created>
  <dcterms:modified xsi:type="dcterms:W3CDTF">2017-09-14T05:22:00Z</dcterms:modified>
</cp:coreProperties>
</file>