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44BD8" w14:textId="77777777" w:rsidR="002B6542" w:rsidRPr="0087059E" w:rsidRDefault="002B6542" w:rsidP="002B6542">
      <w:pPr>
        <w:pStyle w:val="p1"/>
        <w:rPr>
          <w:sz w:val="36"/>
          <w:szCs w:val="36"/>
        </w:rPr>
      </w:pPr>
      <w:r w:rsidRPr="0087059E">
        <w:rPr>
          <w:sz w:val="36"/>
          <w:szCs w:val="36"/>
        </w:rPr>
        <w:t>Combined Use of Zoledronic Acid Augments Ursolic</w:t>
      </w:r>
    </w:p>
    <w:p w14:paraId="295E9894" w14:textId="77777777" w:rsidR="002B6542" w:rsidRPr="0087059E" w:rsidRDefault="002B6542" w:rsidP="002B6542">
      <w:pPr>
        <w:pStyle w:val="p1"/>
        <w:rPr>
          <w:sz w:val="36"/>
          <w:szCs w:val="36"/>
        </w:rPr>
      </w:pPr>
      <w:r w:rsidRPr="0087059E">
        <w:rPr>
          <w:sz w:val="36"/>
          <w:szCs w:val="36"/>
        </w:rPr>
        <w:t>Acid-Induced Apoptosis in Human Osteosarcoma</w:t>
      </w:r>
    </w:p>
    <w:p w14:paraId="0F639943" w14:textId="7AFB4B3F" w:rsidR="00FA419E" w:rsidRPr="00680571" w:rsidRDefault="002B6542" w:rsidP="0087059E">
      <w:pPr>
        <w:pStyle w:val="p1"/>
        <w:rPr>
          <w:sz w:val="36"/>
          <w:szCs w:val="36"/>
        </w:rPr>
      </w:pPr>
      <w:r w:rsidRPr="0087059E">
        <w:rPr>
          <w:sz w:val="36"/>
          <w:szCs w:val="36"/>
        </w:rPr>
        <w:t>Cells through Enhanced Oxidative Stress</w:t>
      </w:r>
      <w:r w:rsidR="00D72B1C">
        <w:rPr>
          <w:sz w:val="36"/>
          <w:szCs w:val="36"/>
        </w:rPr>
        <w:t xml:space="preserve"> </w:t>
      </w:r>
      <w:r w:rsidRPr="0087059E">
        <w:rPr>
          <w:sz w:val="36"/>
          <w:szCs w:val="36"/>
        </w:rPr>
        <w:t>and Autophagy</w:t>
      </w:r>
    </w:p>
    <w:p w14:paraId="533A921E" w14:textId="6EA469B0" w:rsidR="00D06D68" w:rsidRPr="00FA419E" w:rsidRDefault="00D06D68" w:rsidP="00D06D68">
      <w:pPr>
        <w:widowControl/>
        <w:rPr>
          <w:rFonts w:ascii="Arial" w:eastAsiaTheme="minorEastAsia" w:hAnsi="Arial" w:cs="Arial"/>
          <w:b/>
          <w:sz w:val="15"/>
          <w:szCs w:val="15"/>
          <w:lang w:eastAsia="zh-TW"/>
        </w:rPr>
      </w:pPr>
      <w:r w:rsidRPr="00D06D68">
        <w:rPr>
          <w:rFonts w:ascii="Arial" w:eastAsiaTheme="minorEastAsia" w:hAnsi="Arial" w:cs="Arial"/>
          <w:sz w:val="15"/>
          <w:szCs w:val="15"/>
          <w:lang w:eastAsia="zh-TW"/>
        </w:rPr>
        <w:t> </w:t>
      </w:r>
      <w:r w:rsidRPr="00FA419E">
        <w:rPr>
          <w:rFonts w:ascii="Arial" w:eastAsiaTheme="minorEastAsia" w:hAnsi="Arial" w:cs="Arial"/>
          <w:b/>
          <w:sz w:val="15"/>
          <w:szCs w:val="15"/>
          <w:lang w:eastAsia="zh-TW"/>
        </w:rPr>
        <w:t xml:space="preserve">Chia-Chieh Wu </w:t>
      </w:r>
      <w:r w:rsidR="00D72B1C" w:rsidRPr="00FA419E">
        <w:rPr>
          <w:rFonts w:ascii="Arial" w:eastAsiaTheme="minorEastAsia" w:hAnsi="Arial" w:cs="Arial"/>
          <w:b/>
          <w:sz w:val="15"/>
          <w:szCs w:val="15"/>
          <w:vertAlign w:val="superscript"/>
          <w:lang w:eastAsia="zh-TW"/>
        </w:rPr>
        <w:t>1,2,3</w:t>
      </w:r>
      <w:r w:rsidR="00D72B1C" w:rsidRPr="00FA419E">
        <w:rPr>
          <w:rFonts w:ascii="Arial" w:eastAsiaTheme="minorEastAsia" w:hAnsi="Arial" w:cs="Arial"/>
          <w:b/>
          <w:sz w:val="15"/>
          <w:szCs w:val="15"/>
          <w:lang w:eastAsia="zh-TW"/>
        </w:rPr>
        <w:t xml:space="preserve">, </w:t>
      </w:r>
      <w:r w:rsidRPr="00FA419E">
        <w:rPr>
          <w:rFonts w:ascii="Arial" w:eastAsiaTheme="minorEastAsia" w:hAnsi="Arial" w:cs="Arial"/>
          <w:b/>
          <w:sz w:val="15"/>
          <w:szCs w:val="15"/>
          <w:lang w:eastAsia="zh-TW"/>
        </w:rPr>
        <w:t xml:space="preserve">Yi-Fu Huang </w:t>
      </w:r>
      <w:r w:rsidR="000757C7" w:rsidRPr="00FA419E">
        <w:rPr>
          <w:rFonts w:ascii="Arial" w:eastAsiaTheme="minorEastAsia" w:hAnsi="Arial" w:cs="Arial"/>
          <w:b/>
          <w:sz w:val="15"/>
          <w:szCs w:val="15"/>
          <w:vertAlign w:val="superscript"/>
          <w:lang w:eastAsia="zh-TW"/>
        </w:rPr>
        <w:t>2</w:t>
      </w:r>
      <w:bookmarkStart w:id="0" w:name="_GoBack"/>
      <w:bookmarkEnd w:id="0"/>
      <w:r w:rsidRPr="00FA419E">
        <w:rPr>
          <w:rFonts w:ascii="Arial" w:eastAsiaTheme="minorEastAsia" w:hAnsi="Arial" w:cs="Arial"/>
          <w:b/>
          <w:sz w:val="15"/>
          <w:szCs w:val="15"/>
          <w:lang w:eastAsia="zh-TW"/>
        </w:rPr>
        <w:t xml:space="preserve">, Yao-Li Chen </w:t>
      </w:r>
      <w:r w:rsidR="003C70D3" w:rsidRPr="00FA419E">
        <w:rPr>
          <w:rFonts w:ascii="Arial" w:eastAsiaTheme="minorEastAsia" w:hAnsi="Arial" w:cs="Arial"/>
          <w:b/>
          <w:sz w:val="15"/>
          <w:szCs w:val="15"/>
          <w:vertAlign w:val="superscript"/>
          <w:lang w:eastAsia="zh-TW"/>
        </w:rPr>
        <w:t>4,5</w:t>
      </w:r>
      <w:r w:rsidR="00D72B1C" w:rsidRPr="00FA419E">
        <w:rPr>
          <w:rFonts w:ascii="Arial" w:eastAsiaTheme="minorEastAsia" w:hAnsi="Arial" w:cs="Arial"/>
          <w:b/>
          <w:sz w:val="11"/>
          <w:szCs w:val="11"/>
          <w:lang w:eastAsia="zh-TW"/>
        </w:rPr>
        <w:t xml:space="preserve"> </w:t>
      </w:r>
      <w:r w:rsidR="00D72B1C" w:rsidRPr="00FA419E">
        <w:rPr>
          <w:rFonts w:ascii="Arial" w:eastAsiaTheme="minorEastAsia" w:hAnsi="Arial" w:cs="Arial"/>
          <w:b/>
          <w:sz w:val="15"/>
          <w:szCs w:val="15"/>
          <w:lang w:eastAsia="zh-TW"/>
        </w:rPr>
        <w:t xml:space="preserve">and </w:t>
      </w:r>
      <w:r w:rsidRPr="00FA419E">
        <w:rPr>
          <w:rFonts w:ascii="Arial" w:eastAsiaTheme="minorEastAsia" w:hAnsi="Arial" w:cs="Arial"/>
          <w:b/>
          <w:sz w:val="15"/>
          <w:szCs w:val="15"/>
          <w:lang w:eastAsia="zh-TW"/>
        </w:rPr>
        <w:t xml:space="preserve"> </w:t>
      </w:r>
      <w:r w:rsidR="00D72B1C" w:rsidRPr="00FA419E">
        <w:rPr>
          <w:rFonts w:ascii="Arial" w:eastAsiaTheme="minorEastAsia" w:hAnsi="Arial" w:cs="Arial"/>
          <w:b/>
          <w:sz w:val="15"/>
          <w:szCs w:val="15"/>
          <w:lang w:eastAsia="zh-TW"/>
        </w:rPr>
        <w:t xml:space="preserve">Pin-Ju Chueh </w:t>
      </w:r>
      <w:r w:rsidR="00D72B1C" w:rsidRPr="00FA419E">
        <w:rPr>
          <w:rFonts w:ascii="Arial" w:eastAsiaTheme="minorEastAsia" w:hAnsi="Arial" w:cs="Arial"/>
          <w:b/>
          <w:sz w:val="15"/>
          <w:szCs w:val="15"/>
          <w:vertAlign w:val="superscript"/>
          <w:lang w:eastAsia="zh-TW"/>
        </w:rPr>
        <w:t>1</w:t>
      </w:r>
    </w:p>
    <w:p w14:paraId="7FBFDABB" w14:textId="01EC040E" w:rsidR="000757C7" w:rsidRPr="003C70D3" w:rsidRDefault="00DE5546" w:rsidP="000757C7">
      <w:pPr>
        <w:widowControl/>
        <w:rPr>
          <w:rFonts w:ascii="Arial" w:eastAsiaTheme="minorEastAsia" w:hAnsi="Arial" w:cs="Arial"/>
          <w:sz w:val="15"/>
          <w:szCs w:val="15"/>
          <w:lang w:eastAsia="zh-TW"/>
        </w:rPr>
      </w:pPr>
      <w:r w:rsidRPr="003C70D3">
        <w:rPr>
          <w:rFonts w:ascii="Arial" w:eastAsiaTheme="minorEastAsia" w:hAnsi="Arial" w:cs="Arial"/>
          <w:sz w:val="15"/>
          <w:szCs w:val="15"/>
          <w:lang w:eastAsia="zh-TW"/>
        </w:rPr>
        <w:t>1.</w:t>
      </w:r>
      <w:r w:rsidR="000757C7" w:rsidRPr="003C70D3">
        <w:rPr>
          <w:rFonts w:ascii="Arial" w:eastAsiaTheme="minorEastAsia" w:hAnsi="Arial" w:cs="Arial"/>
          <w:sz w:val="15"/>
          <w:szCs w:val="15"/>
          <w:lang w:eastAsia="zh-TW"/>
        </w:rPr>
        <w:t xml:space="preserve"> Institute of Biomedical Sciences, National Chung Hsing University, Taichung, Taiwan</w:t>
      </w:r>
    </w:p>
    <w:p w14:paraId="37FB8F50" w14:textId="1F6229DE" w:rsidR="00DE5546" w:rsidRPr="003C70D3" w:rsidRDefault="000757C7" w:rsidP="00DE5546">
      <w:pPr>
        <w:widowControl/>
        <w:rPr>
          <w:rFonts w:ascii="Arial" w:eastAsiaTheme="minorEastAsia" w:hAnsi="Arial" w:cs="Arial"/>
          <w:sz w:val="15"/>
          <w:szCs w:val="15"/>
          <w:lang w:eastAsia="zh-TW"/>
        </w:rPr>
      </w:pPr>
      <w:r w:rsidRPr="003C70D3">
        <w:rPr>
          <w:rFonts w:ascii="Arial" w:eastAsiaTheme="minorEastAsia" w:hAnsi="Arial" w:cs="Arial"/>
          <w:sz w:val="15"/>
          <w:szCs w:val="15"/>
          <w:lang w:eastAsia="zh-TW"/>
        </w:rPr>
        <w:t>2.</w:t>
      </w:r>
      <w:r w:rsidR="003C70D3">
        <w:rPr>
          <w:rFonts w:ascii="Arial" w:eastAsiaTheme="minorEastAsia" w:hAnsi="Arial" w:cs="Arial"/>
          <w:sz w:val="15"/>
          <w:szCs w:val="15"/>
          <w:lang w:eastAsia="zh-TW"/>
        </w:rPr>
        <w:t xml:space="preserve"> </w:t>
      </w:r>
      <w:r w:rsidR="00DE5546" w:rsidRPr="003C70D3">
        <w:rPr>
          <w:rFonts w:ascii="Arial" w:eastAsiaTheme="minorEastAsia" w:hAnsi="Arial" w:cs="Arial"/>
          <w:sz w:val="15"/>
          <w:szCs w:val="15"/>
          <w:lang w:eastAsia="zh-TW"/>
        </w:rPr>
        <w:t>Orthopedics &amp; Sports Medicine Laboratory, Changhua Ch</w:t>
      </w:r>
      <w:r w:rsidRPr="003C70D3">
        <w:rPr>
          <w:rFonts w:ascii="Arial" w:eastAsiaTheme="minorEastAsia" w:hAnsi="Arial" w:cs="Arial"/>
          <w:sz w:val="15"/>
          <w:szCs w:val="15"/>
          <w:lang w:eastAsia="zh-TW"/>
        </w:rPr>
        <w:t>ristian Hospital, Changhua</w:t>
      </w:r>
      <w:r w:rsidR="00DE5546" w:rsidRPr="003C70D3">
        <w:rPr>
          <w:rFonts w:ascii="Arial" w:eastAsiaTheme="minorEastAsia" w:hAnsi="Arial" w:cs="Arial"/>
          <w:sz w:val="15"/>
          <w:szCs w:val="15"/>
          <w:lang w:eastAsia="zh-TW"/>
        </w:rPr>
        <w:t>, Taiwan;</w:t>
      </w:r>
    </w:p>
    <w:p w14:paraId="14528059" w14:textId="709321D8" w:rsidR="00DE5546" w:rsidRPr="003C70D3" w:rsidRDefault="000757C7" w:rsidP="00DE5546">
      <w:pPr>
        <w:widowControl/>
        <w:rPr>
          <w:rFonts w:ascii="Arial" w:eastAsiaTheme="minorEastAsia" w:hAnsi="Arial" w:cs="Arial"/>
          <w:sz w:val="15"/>
          <w:szCs w:val="15"/>
          <w:lang w:eastAsia="zh-TW"/>
        </w:rPr>
      </w:pPr>
      <w:r w:rsidRPr="003C70D3">
        <w:rPr>
          <w:rFonts w:ascii="Arial" w:eastAsiaTheme="minorEastAsia" w:hAnsi="Arial" w:cs="Arial"/>
          <w:sz w:val="15"/>
          <w:szCs w:val="15"/>
          <w:lang w:eastAsia="zh-TW"/>
        </w:rPr>
        <w:t>3.</w:t>
      </w:r>
      <w:r w:rsidR="00DE5546" w:rsidRPr="003C70D3">
        <w:rPr>
          <w:rFonts w:ascii="Arial" w:eastAsiaTheme="minorEastAsia" w:hAnsi="Arial" w:cs="Arial"/>
          <w:sz w:val="15"/>
          <w:szCs w:val="15"/>
          <w:lang w:eastAsia="zh-TW"/>
        </w:rPr>
        <w:t xml:space="preserve"> Department of Orthopedic Surgery, Changhua Ch</w:t>
      </w:r>
      <w:r w:rsidRPr="003C70D3">
        <w:rPr>
          <w:rFonts w:ascii="Arial" w:eastAsiaTheme="minorEastAsia" w:hAnsi="Arial" w:cs="Arial"/>
          <w:sz w:val="15"/>
          <w:szCs w:val="15"/>
          <w:lang w:eastAsia="zh-TW"/>
        </w:rPr>
        <w:t>ristian Hospital, Changhua</w:t>
      </w:r>
      <w:r w:rsidR="00DE5546" w:rsidRPr="003C70D3">
        <w:rPr>
          <w:rFonts w:ascii="Arial" w:eastAsiaTheme="minorEastAsia" w:hAnsi="Arial" w:cs="Arial"/>
          <w:sz w:val="15"/>
          <w:szCs w:val="15"/>
          <w:lang w:eastAsia="zh-TW"/>
        </w:rPr>
        <w:t>, Taiwan</w:t>
      </w:r>
    </w:p>
    <w:p w14:paraId="4D1D68AB" w14:textId="7C453465" w:rsidR="009015AD" w:rsidRPr="003C70D3" w:rsidRDefault="003C70D3" w:rsidP="00DE5546">
      <w:pPr>
        <w:widowControl/>
        <w:rPr>
          <w:rFonts w:ascii="Arial" w:eastAsiaTheme="minorEastAsia" w:hAnsi="Arial" w:cs="Arial"/>
          <w:sz w:val="15"/>
          <w:szCs w:val="15"/>
          <w:lang w:eastAsia="zh-TW"/>
        </w:rPr>
      </w:pPr>
      <w:r>
        <w:rPr>
          <w:rFonts w:ascii="Arial" w:eastAsiaTheme="minorEastAsia" w:hAnsi="Arial" w:cs="Arial"/>
          <w:sz w:val="15"/>
          <w:szCs w:val="15"/>
          <w:lang w:eastAsia="zh-TW"/>
        </w:rPr>
        <w:t>4</w:t>
      </w:r>
      <w:r w:rsidR="000757C7" w:rsidRPr="003C70D3">
        <w:rPr>
          <w:rFonts w:ascii="Arial" w:eastAsiaTheme="minorEastAsia" w:hAnsi="Arial" w:cs="Arial"/>
          <w:sz w:val="15"/>
          <w:szCs w:val="15"/>
          <w:lang w:eastAsia="zh-TW"/>
        </w:rPr>
        <w:t>.</w:t>
      </w:r>
      <w:r w:rsidR="00DE5546" w:rsidRPr="003C70D3">
        <w:rPr>
          <w:rFonts w:ascii="Arial" w:eastAsiaTheme="minorEastAsia" w:hAnsi="Arial" w:cs="Arial"/>
          <w:sz w:val="15"/>
          <w:szCs w:val="15"/>
          <w:lang w:eastAsia="zh-TW"/>
        </w:rPr>
        <w:t xml:space="preserve"> Transplant Medicine &amp; Surgery Research Centre, Changhua Christian Hospital, </w:t>
      </w:r>
      <w:r>
        <w:rPr>
          <w:rFonts w:ascii="Arial" w:eastAsiaTheme="minorEastAsia" w:hAnsi="Arial" w:cs="Arial"/>
          <w:sz w:val="15"/>
          <w:szCs w:val="15"/>
          <w:lang w:eastAsia="zh-TW"/>
        </w:rPr>
        <w:t>Changhua</w:t>
      </w:r>
      <w:r w:rsidR="00DE5546" w:rsidRPr="003C70D3">
        <w:rPr>
          <w:rFonts w:ascii="Arial" w:eastAsiaTheme="minorEastAsia" w:hAnsi="Arial" w:cs="Arial"/>
          <w:sz w:val="15"/>
          <w:szCs w:val="15"/>
          <w:lang w:eastAsia="zh-TW"/>
        </w:rPr>
        <w:t>, Taiwan</w:t>
      </w:r>
    </w:p>
    <w:p w14:paraId="20320D94" w14:textId="2BA9F690" w:rsidR="00DE5546" w:rsidRPr="003C70D3" w:rsidRDefault="003C70D3" w:rsidP="00DE5546">
      <w:pPr>
        <w:widowControl/>
        <w:rPr>
          <w:rFonts w:ascii="Arial" w:eastAsiaTheme="minorEastAsia" w:hAnsi="Arial" w:cs="Arial"/>
          <w:sz w:val="15"/>
          <w:szCs w:val="15"/>
          <w:lang w:eastAsia="zh-TW"/>
        </w:rPr>
      </w:pPr>
      <w:r>
        <w:rPr>
          <w:rFonts w:ascii="Arial" w:eastAsiaTheme="minorEastAsia" w:hAnsi="Arial" w:cs="Arial"/>
          <w:sz w:val="15"/>
          <w:szCs w:val="15"/>
          <w:lang w:eastAsia="zh-TW"/>
        </w:rPr>
        <w:t>5</w:t>
      </w:r>
      <w:r w:rsidR="000757C7" w:rsidRPr="003C70D3">
        <w:rPr>
          <w:rFonts w:ascii="Arial" w:eastAsiaTheme="minorEastAsia" w:hAnsi="Arial" w:cs="Arial"/>
          <w:sz w:val="15"/>
          <w:szCs w:val="15"/>
          <w:lang w:eastAsia="zh-TW"/>
        </w:rPr>
        <w:t>.</w:t>
      </w:r>
      <w:r>
        <w:rPr>
          <w:rFonts w:ascii="Arial" w:eastAsiaTheme="minorEastAsia" w:hAnsi="Arial" w:cs="Arial"/>
          <w:sz w:val="15"/>
          <w:szCs w:val="15"/>
          <w:lang w:eastAsia="zh-TW"/>
        </w:rPr>
        <w:t xml:space="preserve"> </w:t>
      </w:r>
      <w:r w:rsidR="00DE5546" w:rsidRPr="003C70D3">
        <w:rPr>
          <w:rFonts w:ascii="Arial" w:eastAsiaTheme="minorEastAsia" w:hAnsi="Arial" w:cs="Arial"/>
          <w:sz w:val="15"/>
          <w:szCs w:val="15"/>
          <w:lang w:eastAsia="zh-TW"/>
        </w:rPr>
        <w:t>Department of Surgery, Changhua Chris</w:t>
      </w:r>
      <w:r w:rsidR="000757C7" w:rsidRPr="003C70D3">
        <w:rPr>
          <w:rFonts w:ascii="Arial" w:eastAsiaTheme="minorEastAsia" w:hAnsi="Arial" w:cs="Arial"/>
          <w:sz w:val="15"/>
          <w:szCs w:val="15"/>
          <w:lang w:eastAsia="zh-TW"/>
        </w:rPr>
        <w:t>tian Hospital, Changhua</w:t>
      </w:r>
      <w:r w:rsidR="00DE5546" w:rsidRPr="003C70D3">
        <w:rPr>
          <w:rFonts w:ascii="Arial" w:eastAsiaTheme="minorEastAsia" w:hAnsi="Arial" w:cs="Arial"/>
          <w:sz w:val="15"/>
          <w:szCs w:val="15"/>
          <w:lang w:eastAsia="zh-TW"/>
        </w:rPr>
        <w:t>, Taiwan</w:t>
      </w:r>
    </w:p>
    <w:p w14:paraId="5E4601E6" w14:textId="77777777" w:rsidR="00AE3E37" w:rsidRDefault="00AE3E37">
      <w:pPr>
        <w:rPr>
          <w:rFonts w:ascii="Arial"/>
          <w:sz w:val="21"/>
        </w:rPr>
      </w:pPr>
    </w:p>
    <w:p w14:paraId="05F80373" w14:textId="77777777" w:rsidR="009015AD" w:rsidRDefault="009015AD">
      <w:pPr>
        <w:rPr>
          <w:rFonts w:ascii="Arial"/>
          <w:sz w:val="21"/>
        </w:rPr>
        <w:sectPr w:rsidR="009015AD">
          <w:headerReference w:type="default" r:id="rId7"/>
          <w:footerReference w:type="default" r:id="rId8"/>
          <w:type w:val="continuous"/>
          <w:pgSz w:w="11910" w:h="16840"/>
          <w:pgMar w:top="1740" w:right="600" w:bottom="840" w:left="620" w:header="541" w:footer="642" w:gutter="0"/>
          <w:cols w:space="720"/>
        </w:sectPr>
      </w:pPr>
    </w:p>
    <w:p w14:paraId="3EC3B044" w14:textId="77777777" w:rsidR="00AE3E37" w:rsidRDefault="00A9710C">
      <w:pPr>
        <w:pStyle w:val="3"/>
        <w:spacing w:before="147"/>
        <w:jc w:val="both"/>
      </w:pPr>
      <w:r>
        <w:rPr>
          <w:color w:val="BF5A14"/>
        </w:rPr>
        <w:lastRenderedPageBreak/>
        <w:t>Abstract</w:t>
      </w:r>
      <w:r w:rsidR="00404E5B">
        <w:rPr>
          <w:color w:val="BF5A14"/>
        </w:rPr>
        <w:t xml:space="preserve"> (300 word limit)</w:t>
      </w:r>
    </w:p>
    <w:p w14:paraId="17063E6E" w14:textId="77C2C207" w:rsidR="00A37572" w:rsidRDefault="00DA5C30" w:rsidP="00A37572">
      <w:pPr>
        <w:widowControl/>
        <w:rPr>
          <w:rFonts w:ascii="Times New Roman" w:eastAsiaTheme="minorEastAsia" w:hAnsi="Times New Roman" w:cs="Times New Roman"/>
          <w:sz w:val="18"/>
          <w:szCs w:val="18"/>
          <w:lang w:eastAsia="zh-TW"/>
        </w:rPr>
      </w:pPr>
      <w:r>
        <w:rPr>
          <w:rFonts w:ascii="Helvetica" w:eastAsiaTheme="minorEastAsia" w:hAnsi="Helvetica" w:cs="Times New Roman"/>
          <w:sz w:val="15"/>
          <w:szCs w:val="15"/>
          <w:lang w:eastAsia="zh-TW"/>
        </w:rPr>
        <w:t xml:space="preserve">  </w:t>
      </w:r>
      <w:r w:rsidR="00A37572" w:rsidRPr="00A37572">
        <w:rPr>
          <w:rFonts w:ascii="Times New Roman" w:eastAsiaTheme="minorEastAsia" w:hAnsi="Times New Roman" w:cs="Times New Roman"/>
          <w:sz w:val="18"/>
          <w:szCs w:val="18"/>
          <w:lang w:eastAsia="zh-TW"/>
        </w:rPr>
        <w:t>Ursolic acid (UA), a naturally occurring pentacyclic triterpene acid found in many medicinal</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herbs and edible plants, triggers apoptosis in several tumor cell lines but not in human bone</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cancer cells. Most recently, we have demonstrated that UA exposure reduces the viability of</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human osteosarcoma MG-63 cells through enhanced oxidative stress and apoptosis. Interestingly,</w:t>
      </w:r>
      <w:r>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an inhibitor of osteoclast-mediated bone resorption, zoledronic acid (ZOL), also a third-generation</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nitrogen-containing bisphosphonate, is effective in the treatment of bone metastases in patients with</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various solid tumors. In this present study, we found that UA combined with ZOL to significantly</w:t>
      </w:r>
      <w:r>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suppress cell viability, colony formation, and induce apoptosis in two lines of human osteosarcoma</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cells. The pre-treatment of the antioxidant had reversed the oxidative stress and cell viability</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inhibition in the combined treatment, indicating that oxidative stress is important in the combined</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anti-tumor effects. Moreover, we demonstrated that ZOL combined with UA significantly induced</w:t>
      </w:r>
      <w:r>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autophagy and co-administration of autophagy inhibitor reduces the growth inhibitory effect of</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combined treatment. Collectively, these data shed light on the pathways involved in the combined</w:t>
      </w:r>
      <w:r w:rsidRPr="00DA5C30">
        <w:rPr>
          <w:rFonts w:ascii="Times New Roman" w:eastAsiaTheme="minorEastAsia" w:hAnsi="Times New Roman" w:cs="Times New Roman"/>
          <w:sz w:val="18"/>
          <w:szCs w:val="18"/>
          <w:lang w:eastAsia="zh-TW"/>
        </w:rPr>
        <w:t xml:space="preserve"> </w:t>
      </w:r>
      <w:r w:rsidR="00A37572" w:rsidRPr="00A37572">
        <w:rPr>
          <w:rFonts w:ascii="Times New Roman" w:eastAsiaTheme="minorEastAsia" w:hAnsi="Times New Roman" w:cs="Times New Roman"/>
          <w:sz w:val="18"/>
          <w:szCs w:val="18"/>
          <w:lang w:eastAsia="zh-TW"/>
        </w:rPr>
        <w:t>effects of ZOL and UA that might serve as a potential therapy against osteosarcoma.</w:t>
      </w:r>
    </w:p>
    <w:p w14:paraId="16DD7106" w14:textId="77777777" w:rsidR="00E948B3" w:rsidRDefault="00E948B3" w:rsidP="00A37572">
      <w:pPr>
        <w:widowControl/>
        <w:rPr>
          <w:rFonts w:ascii="Times New Roman" w:eastAsiaTheme="minorEastAsia" w:hAnsi="Times New Roman" w:cs="Times New Roman"/>
          <w:sz w:val="18"/>
          <w:szCs w:val="18"/>
          <w:lang w:eastAsia="zh-TW"/>
        </w:rPr>
      </w:pPr>
    </w:p>
    <w:p w14:paraId="7B2C5075" w14:textId="6E1781DA" w:rsidR="00E948B3" w:rsidRPr="00E948B3" w:rsidRDefault="00E948B3" w:rsidP="00A37572">
      <w:pPr>
        <w:widowControl/>
        <w:rPr>
          <w:rFonts w:ascii="Arial" w:eastAsiaTheme="minorEastAsia" w:hAnsi="Arial" w:cs="Arial"/>
          <w:sz w:val="20"/>
          <w:szCs w:val="20"/>
          <w:lang w:eastAsia="zh-TW"/>
        </w:rPr>
      </w:pPr>
      <w:r w:rsidRPr="00E948B3">
        <w:rPr>
          <w:rFonts w:ascii="Arial" w:hAnsi="Arial" w:cs="Arial"/>
          <w:color w:val="BF5A14"/>
          <w:sz w:val="20"/>
          <w:szCs w:val="20"/>
        </w:rPr>
        <w:t>Image</w:t>
      </w:r>
    </w:p>
    <w:p w14:paraId="2B7FE806" w14:textId="0A265234" w:rsidR="005973B9" w:rsidRPr="00E948B3" w:rsidRDefault="00E948B3" w:rsidP="00E948B3">
      <w:pPr>
        <w:pStyle w:val="3"/>
        <w:spacing w:before="74"/>
        <w:rPr>
          <w:color w:val="BF5A14"/>
        </w:rPr>
      </w:pPr>
      <w:r w:rsidRPr="000B78F9">
        <w:rPr>
          <w:b w:val="0"/>
          <w:noProof/>
          <w:lang w:eastAsia="zh-TW"/>
        </w:rPr>
        <w:drawing>
          <wp:inline distT="0" distB="0" distL="0" distR="0" wp14:anchorId="02CB0BF7" wp14:editId="34DA737D">
            <wp:extent cx="2792297" cy="2872397"/>
            <wp:effectExtent l="0" t="0" r="1905" b="0"/>
            <wp:docPr id="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圖片 1"/>
                    <pic:cNvPicPr>
                      <a:picLocks noChangeAspect="1"/>
                    </pic:cNvPicPr>
                  </pic:nvPicPr>
                  <pic:blipFill>
                    <a:blip r:embed="rId9"/>
                    <a:stretch>
                      <a:fillRect/>
                    </a:stretch>
                  </pic:blipFill>
                  <pic:spPr>
                    <a:xfrm>
                      <a:off x="0" y="0"/>
                      <a:ext cx="2849426" cy="2931165"/>
                    </a:xfrm>
                    <a:prstGeom prst="rect">
                      <a:avLst/>
                    </a:prstGeom>
                  </pic:spPr>
                </pic:pic>
              </a:graphicData>
            </a:graphic>
          </wp:inline>
        </w:drawing>
      </w:r>
      <w:r w:rsidR="00A9710C">
        <w:rPr>
          <w:b w:val="0"/>
        </w:rPr>
        <w:br w:type="column"/>
      </w:r>
      <w:r>
        <w:rPr>
          <w:color w:val="BF5A14"/>
        </w:rPr>
        <w:lastRenderedPageBreak/>
        <w:t xml:space="preserve"> </w:t>
      </w:r>
      <w:r w:rsidR="005973B9">
        <w:rPr>
          <w:color w:val="BF5A14"/>
        </w:rPr>
        <w:br/>
        <w:t>Recent Publications (minimum 5)</w:t>
      </w:r>
    </w:p>
    <w:p w14:paraId="405082AC" w14:textId="41E6DB68" w:rsidR="00905A37" w:rsidRPr="00004D1E" w:rsidRDefault="00905A37" w:rsidP="002E5D81">
      <w:pPr>
        <w:pStyle w:val="a5"/>
        <w:widowControl/>
        <w:numPr>
          <w:ilvl w:val="0"/>
          <w:numId w:val="4"/>
        </w:numPr>
        <w:rPr>
          <w:rFonts w:eastAsiaTheme="minorEastAsia" w:cs="Times New Roman"/>
          <w:sz w:val="18"/>
          <w:szCs w:val="18"/>
          <w:lang w:eastAsia="zh-TW"/>
        </w:rPr>
      </w:pPr>
      <w:r w:rsidRPr="00004D1E">
        <w:rPr>
          <w:rFonts w:eastAsiaTheme="minorEastAsia" w:cs="Times New Roman"/>
          <w:sz w:val="18"/>
          <w:szCs w:val="18"/>
          <w:lang w:eastAsia="zh-TW"/>
        </w:rPr>
        <w:t>Broadhead, M.L.; Clark, J.C.; Myers, D.E.; Dass, C.R.; Choong, P.F. (2011) The molecular pathogenesis of osteo</w:t>
      </w:r>
      <w:r w:rsidR="00E653A1">
        <w:rPr>
          <w:rFonts w:eastAsiaTheme="minorEastAsia" w:cs="Times New Roman"/>
          <w:sz w:val="18"/>
          <w:szCs w:val="18"/>
          <w:lang w:eastAsia="zh-TW"/>
        </w:rPr>
        <w:t>sarcoma: A review. Sarcoma</w:t>
      </w:r>
      <w:r w:rsidRPr="00004D1E">
        <w:rPr>
          <w:rFonts w:eastAsiaTheme="minorEastAsia" w:cs="Times New Roman"/>
          <w:sz w:val="18"/>
          <w:szCs w:val="18"/>
          <w:lang w:eastAsia="zh-TW"/>
        </w:rPr>
        <w:t xml:space="preserve">, </w:t>
      </w:r>
      <w:r w:rsidR="00DC1E33">
        <w:rPr>
          <w:rFonts w:eastAsiaTheme="minorEastAsia" w:cs="Times New Roman"/>
          <w:sz w:val="18"/>
          <w:szCs w:val="18"/>
          <w:lang w:eastAsia="zh-TW"/>
        </w:rPr>
        <w:t xml:space="preserve">2011, </w:t>
      </w:r>
      <w:r w:rsidRPr="00004D1E">
        <w:rPr>
          <w:rFonts w:eastAsiaTheme="minorEastAsia" w:cs="Times New Roman"/>
          <w:sz w:val="18"/>
          <w:szCs w:val="18"/>
          <w:lang w:eastAsia="zh-TW"/>
        </w:rPr>
        <w:t>959248.</w:t>
      </w:r>
    </w:p>
    <w:p w14:paraId="5999631E" w14:textId="77424B69" w:rsidR="003245F3" w:rsidRPr="00004D1E" w:rsidRDefault="003245F3" w:rsidP="003245F3">
      <w:pPr>
        <w:pStyle w:val="a5"/>
        <w:widowControl/>
        <w:numPr>
          <w:ilvl w:val="0"/>
          <w:numId w:val="4"/>
        </w:numPr>
        <w:rPr>
          <w:rFonts w:eastAsiaTheme="minorEastAsia" w:cs="Times New Roman"/>
          <w:sz w:val="18"/>
          <w:szCs w:val="18"/>
          <w:lang w:eastAsia="zh-TW"/>
        </w:rPr>
      </w:pPr>
      <w:r w:rsidRPr="00004D1E">
        <w:rPr>
          <w:rFonts w:eastAsiaTheme="minorEastAsia" w:cs="Times New Roman"/>
          <w:sz w:val="18"/>
          <w:szCs w:val="18"/>
          <w:lang w:eastAsia="zh-TW"/>
        </w:rPr>
        <w:t>Wu, C.C.; Cheng, C.H.; Lee, Y.H.; Chang, I.L.; Chen, H.Y.; Hsieh, C.P.; Chueh, P.J. (2016) Ursolic acid triggers apoptosis in human osteosarcoma cells via caspase activation and the ERK1/2 MAPK pathway. J. Agric. Food Chem.64, 4220–4226.</w:t>
      </w:r>
    </w:p>
    <w:p w14:paraId="0AC7C660" w14:textId="0594306D" w:rsidR="001513D8" w:rsidRPr="00004D1E" w:rsidRDefault="00E1760A" w:rsidP="002E5D81">
      <w:pPr>
        <w:pStyle w:val="a5"/>
        <w:widowControl/>
        <w:numPr>
          <w:ilvl w:val="0"/>
          <w:numId w:val="4"/>
        </w:numPr>
        <w:rPr>
          <w:rFonts w:eastAsiaTheme="minorEastAsia" w:cs="Times New Roman"/>
          <w:sz w:val="18"/>
          <w:szCs w:val="18"/>
          <w:lang w:eastAsia="zh-TW"/>
        </w:rPr>
      </w:pPr>
      <w:r w:rsidRPr="00004D1E">
        <w:rPr>
          <w:rFonts w:eastAsiaTheme="minorEastAsia" w:cs="Times New Roman"/>
          <w:sz w:val="18"/>
          <w:szCs w:val="18"/>
          <w:lang w:eastAsia="zh-TW"/>
        </w:rPr>
        <w:t>Chang,</w:t>
      </w:r>
      <w:r w:rsidR="001513D8" w:rsidRPr="00004D1E">
        <w:rPr>
          <w:rFonts w:eastAsiaTheme="minorEastAsia" w:cs="Times New Roman"/>
          <w:sz w:val="18"/>
          <w:szCs w:val="18"/>
          <w:lang w:eastAsia="zh-TW"/>
        </w:rPr>
        <w:t>J.;Wang,W.; Zhang, H.; Hu, Y.; Yin, Z. (2012) Bisphosphonates regulate cell proliferation, apoptosis and pro-osteoclastic expression in MG-63 human osteosarcoma cells. Oncol. Lett. 4, 299–304.</w:t>
      </w:r>
    </w:p>
    <w:p w14:paraId="5702F550" w14:textId="43B49983" w:rsidR="0079391F" w:rsidRPr="00004D1E" w:rsidRDefault="0079391F" w:rsidP="0079391F">
      <w:pPr>
        <w:pStyle w:val="p1"/>
        <w:numPr>
          <w:ilvl w:val="0"/>
          <w:numId w:val="4"/>
        </w:numPr>
        <w:rPr>
          <w:rFonts w:ascii="Calibri" w:hAnsi="Calibri"/>
          <w:sz w:val="18"/>
          <w:szCs w:val="18"/>
        </w:rPr>
      </w:pPr>
      <w:r w:rsidRPr="00004D1E">
        <w:rPr>
          <w:rFonts w:ascii="Calibri" w:hAnsi="Calibri"/>
          <w:sz w:val="18"/>
          <w:szCs w:val="18"/>
        </w:rPr>
        <w:t xml:space="preserve"> Moriceau, G.; Ory, B.; Mitrofan, L.; Riganti, C. (2010) Zoledronic acid potentiates mTOR inhibition and abolishes the resistance of osteosarcoma cells to RAD001 (everolimus): Pivotal role of the prenylation process. Cancer Res. 70, 10329–10339.</w:t>
      </w:r>
    </w:p>
    <w:p w14:paraId="511AB6AB" w14:textId="0671B398" w:rsidR="00315AEC" w:rsidRPr="00004D1E" w:rsidRDefault="00B16C6A" w:rsidP="00004D1E">
      <w:pPr>
        <w:pStyle w:val="a5"/>
        <w:widowControl/>
        <w:numPr>
          <w:ilvl w:val="0"/>
          <w:numId w:val="4"/>
        </w:numPr>
        <w:rPr>
          <w:rFonts w:eastAsiaTheme="minorEastAsia" w:cs="Times New Roman"/>
          <w:sz w:val="18"/>
          <w:szCs w:val="18"/>
          <w:lang w:eastAsia="zh-TW"/>
        </w:rPr>
      </w:pPr>
      <w:r w:rsidRPr="00004D1E">
        <w:rPr>
          <w:rFonts w:eastAsiaTheme="minorEastAsia" w:cs="Times New Roman"/>
          <w:sz w:val="18"/>
          <w:szCs w:val="18"/>
          <w:lang w:eastAsia="zh-TW"/>
        </w:rPr>
        <w:t xml:space="preserve">Wang, I.T.; Chou, S.C.; Lin, Y.C. (2014) Zoledronic acid induces apoptosis and autophagy in cervical cancer cells. </w:t>
      </w:r>
      <w:r w:rsidR="00E653A1">
        <w:rPr>
          <w:rFonts w:eastAsiaTheme="minorEastAsia" w:cs="Times New Roman"/>
          <w:sz w:val="18"/>
          <w:szCs w:val="18"/>
          <w:lang w:eastAsia="zh-TW"/>
        </w:rPr>
        <w:t>Tumour Biol.</w:t>
      </w:r>
      <w:r w:rsidRPr="00004D1E">
        <w:rPr>
          <w:rFonts w:eastAsiaTheme="minorEastAsia" w:cs="Times New Roman"/>
          <w:sz w:val="18"/>
          <w:szCs w:val="18"/>
          <w:lang w:eastAsia="zh-TW"/>
        </w:rPr>
        <w:t xml:space="preserve"> 35, 11913–11920.</w:t>
      </w:r>
    </w:p>
    <w:p w14:paraId="38D818CD" w14:textId="057D0AEB" w:rsidR="00004D1E" w:rsidRPr="00004D1E" w:rsidRDefault="00004D1E" w:rsidP="00004D1E">
      <w:pPr>
        <w:pStyle w:val="p1"/>
        <w:numPr>
          <w:ilvl w:val="0"/>
          <w:numId w:val="4"/>
        </w:numPr>
        <w:rPr>
          <w:rFonts w:ascii="Calibri" w:hAnsi="Calibri"/>
          <w:sz w:val="18"/>
          <w:szCs w:val="18"/>
        </w:rPr>
      </w:pPr>
      <w:r w:rsidRPr="00004D1E">
        <w:rPr>
          <w:rFonts w:ascii="Calibri" w:hAnsi="Calibri"/>
          <w:sz w:val="18"/>
          <w:szCs w:val="18"/>
        </w:rPr>
        <w:t xml:space="preserve">Koto, K.; Murata, H.; Kimura, S. (2013). Zoledronic acid significantly </w:t>
      </w:r>
    </w:p>
    <w:p w14:paraId="794D1101" w14:textId="530154DF" w:rsidR="00004D1E" w:rsidRPr="00004D1E" w:rsidRDefault="00004D1E" w:rsidP="00004D1E">
      <w:pPr>
        <w:pStyle w:val="p1"/>
        <w:rPr>
          <w:rFonts w:ascii="Calibri" w:hAnsi="Calibri"/>
          <w:sz w:val="18"/>
          <w:szCs w:val="18"/>
        </w:rPr>
      </w:pPr>
      <w:r w:rsidRPr="00004D1E">
        <w:rPr>
          <w:rFonts w:ascii="Calibri" w:hAnsi="Calibri"/>
          <w:sz w:val="18"/>
          <w:szCs w:val="18"/>
        </w:rPr>
        <w:t xml:space="preserve">         enhances radiation</w:t>
      </w:r>
      <w:r w:rsidR="006D76A8">
        <w:rPr>
          <w:rFonts w:ascii="Calibri" w:hAnsi="Calibri"/>
          <w:sz w:val="18"/>
          <w:szCs w:val="18"/>
        </w:rPr>
        <w:t xml:space="preserve"> </w:t>
      </w:r>
      <w:r w:rsidRPr="00004D1E">
        <w:rPr>
          <w:rFonts w:ascii="Calibri" w:hAnsi="Calibri"/>
          <w:sz w:val="18"/>
          <w:szCs w:val="18"/>
        </w:rPr>
        <w:t xml:space="preserve">induced apoptosis against human fibrosarcoma  </w:t>
      </w:r>
    </w:p>
    <w:p w14:paraId="22CFF097" w14:textId="64B859B1" w:rsidR="00004D1E" w:rsidRDefault="00004D1E" w:rsidP="00004D1E">
      <w:pPr>
        <w:pStyle w:val="p1"/>
        <w:rPr>
          <w:rFonts w:asciiTheme="minorHAnsi" w:hAnsiTheme="minorHAnsi"/>
          <w:sz w:val="18"/>
          <w:szCs w:val="18"/>
        </w:rPr>
      </w:pPr>
      <w:r w:rsidRPr="00004D1E">
        <w:rPr>
          <w:rFonts w:ascii="Calibri" w:hAnsi="Calibri"/>
          <w:sz w:val="18"/>
          <w:szCs w:val="18"/>
        </w:rPr>
        <w:t xml:space="preserve">         cells by inhibiting radioadaptive signaling. Int. J. Oncol. 42, 525–534</w:t>
      </w:r>
      <w:r w:rsidRPr="00004D1E">
        <w:rPr>
          <w:rFonts w:asciiTheme="minorHAnsi" w:hAnsiTheme="minorHAnsi"/>
          <w:sz w:val="18"/>
          <w:szCs w:val="18"/>
        </w:rPr>
        <w:t>.</w:t>
      </w:r>
    </w:p>
    <w:p w14:paraId="4018467E" w14:textId="7B241F16" w:rsidR="00625C65" w:rsidRPr="00625C65" w:rsidRDefault="00625C65" w:rsidP="00625C65">
      <w:pPr>
        <w:pStyle w:val="p1"/>
        <w:numPr>
          <w:ilvl w:val="0"/>
          <w:numId w:val="4"/>
        </w:numPr>
        <w:rPr>
          <w:rFonts w:asciiTheme="minorHAnsi" w:hAnsiTheme="minorHAnsi"/>
          <w:sz w:val="18"/>
          <w:szCs w:val="18"/>
        </w:rPr>
      </w:pPr>
      <w:r w:rsidRPr="00625C65">
        <w:rPr>
          <w:rFonts w:asciiTheme="minorHAnsi" w:hAnsiTheme="minorHAnsi"/>
          <w:sz w:val="18"/>
          <w:szCs w:val="18"/>
        </w:rPr>
        <w:t xml:space="preserve">Schumacker, P.T. </w:t>
      </w:r>
      <w:r>
        <w:rPr>
          <w:rFonts w:asciiTheme="minorHAnsi" w:hAnsiTheme="minorHAnsi"/>
          <w:sz w:val="18"/>
          <w:szCs w:val="18"/>
        </w:rPr>
        <w:t xml:space="preserve">(2015) </w:t>
      </w:r>
      <w:r w:rsidRPr="00625C65">
        <w:rPr>
          <w:rFonts w:asciiTheme="minorHAnsi" w:hAnsiTheme="minorHAnsi"/>
          <w:sz w:val="18"/>
          <w:szCs w:val="18"/>
        </w:rPr>
        <w:t xml:space="preserve">Reactive oxygen species in cancer: A dance with the devil. Cancer </w:t>
      </w:r>
      <w:r>
        <w:rPr>
          <w:rFonts w:asciiTheme="minorHAnsi" w:hAnsiTheme="minorHAnsi"/>
          <w:sz w:val="18"/>
          <w:szCs w:val="18"/>
        </w:rPr>
        <w:t>Cell</w:t>
      </w:r>
      <w:r w:rsidRPr="00625C65">
        <w:rPr>
          <w:rFonts w:asciiTheme="minorHAnsi" w:hAnsiTheme="minorHAnsi"/>
          <w:sz w:val="18"/>
          <w:szCs w:val="18"/>
        </w:rPr>
        <w:t>, 27, 156–157.</w:t>
      </w:r>
    </w:p>
    <w:p w14:paraId="3C199708" w14:textId="3CC3ECC4" w:rsidR="00004D1E" w:rsidRPr="00004D1E" w:rsidRDefault="00004D1E" w:rsidP="006919A6">
      <w:pPr>
        <w:tabs>
          <w:tab w:val="left" w:pos="384"/>
        </w:tabs>
        <w:spacing w:line="216" w:lineRule="exact"/>
        <w:ind w:right="138"/>
        <w:rPr>
          <w:rFonts w:asciiTheme="minorHAnsi" w:hAnsiTheme="minorHAnsi"/>
          <w:sz w:val="18"/>
          <w:szCs w:val="18"/>
        </w:rPr>
        <w:sectPr w:rsidR="00004D1E" w:rsidRPr="00004D1E">
          <w:type w:val="continuous"/>
          <w:pgSz w:w="11910" w:h="16840"/>
          <w:pgMar w:top="1740" w:right="600" w:bottom="840" w:left="620" w:header="720" w:footer="720" w:gutter="0"/>
          <w:cols w:num="2" w:space="720" w:equalWidth="0">
            <w:col w:w="5214" w:space="138"/>
            <w:col w:w="5338"/>
          </w:cols>
        </w:sectPr>
      </w:pPr>
    </w:p>
    <w:p w14:paraId="04B5C067" w14:textId="77777777" w:rsidR="00366013" w:rsidRDefault="00366013" w:rsidP="00E948B3">
      <w:pPr>
        <w:rPr>
          <w:rFonts w:ascii="Arial" w:hAnsi="Arial" w:cs="Arial"/>
          <w:b/>
          <w:sz w:val="15"/>
          <w:szCs w:val="15"/>
        </w:rPr>
      </w:pPr>
    </w:p>
    <w:p w14:paraId="28D38173" w14:textId="369A0C7A" w:rsidR="00E948B3" w:rsidRPr="00004D1E" w:rsidRDefault="00E948B3" w:rsidP="00E948B3">
      <w:pPr>
        <w:rPr>
          <w:rFonts w:ascii="Arial" w:hAnsi="Arial" w:cs="Arial"/>
          <w:sz w:val="16"/>
          <w:szCs w:val="16"/>
        </w:rPr>
      </w:pPr>
      <w:r w:rsidRPr="00004D1E">
        <w:rPr>
          <w:rFonts w:ascii="Arial" w:hAnsi="Arial" w:cs="Arial"/>
          <w:sz w:val="16"/>
          <w:szCs w:val="16"/>
        </w:rPr>
        <w:t>Fig. Combined use of zoledronic acid augments ursolic</w:t>
      </w:r>
    </w:p>
    <w:p w14:paraId="36A8FBE9" w14:textId="77777777" w:rsidR="00366013" w:rsidRPr="00004D1E" w:rsidRDefault="00E948B3" w:rsidP="00E948B3">
      <w:pPr>
        <w:rPr>
          <w:rFonts w:ascii="Arial" w:hAnsi="Arial" w:cs="Arial"/>
          <w:sz w:val="16"/>
          <w:szCs w:val="16"/>
        </w:rPr>
      </w:pPr>
      <w:r w:rsidRPr="00004D1E">
        <w:rPr>
          <w:rFonts w:ascii="Arial" w:hAnsi="Arial" w:cs="Arial"/>
          <w:sz w:val="16"/>
          <w:szCs w:val="16"/>
        </w:rPr>
        <w:t>acid-induced apoptosis in human osteosarcoma</w:t>
      </w:r>
      <w:r w:rsidR="00366013" w:rsidRPr="00004D1E">
        <w:rPr>
          <w:rFonts w:ascii="Arial" w:hAnsi="Arial" w:cs="Arial"/>
          <w:sz w:val="16"/>
          <w:szCs w:val="16"/>
        </w:rPr>
        <w:t xml:space="preserve"> </w:t>
      </w:r>
      <w:r w:rsidRPr="00004D1E">
        <w:rPr>
          <w:rFonts w:ascii="Arial" w:hAnsi="Arial" w:cs="Arial"/>
          <w:sz w:val="16"/>
          <w:szCs w:val="16"/>
        </w:rPr>
        <w:t xml:space="preserve">cells </w:t>
      </w:r>
    </w:p>
    <w:p w14:paraId="5D52A207" w14:textId="0BD4FB34" w:rsidR="00E948B3" w:rsidRPr="00004D1E" w:rsidRDefault="00E948B3" w:rsidP="00E948B3">
      <w:pPr>
        <w:rPr>
          <w:rFonts w:ascii="Arial" w:hAnsi="Arial" w:cs="Arial"/>
          <w:sz w:val="16"/>
          <w:szCs w:val="16"/>
        </w:rPr>
      </w:pPr>
      <w:r w:rsidRPr="00004D1E">
        <w:rPr>
          <w:rFonts w:ascii="Arial" w:hAnsi="Arial" w:cs="Arial"/>
          <w:sz w:val="16"/>
          <w:szCs w:val="16"/>
        </w:rPr>
        <w:t>through enhanced reactive oxidative stress and autophagy</w:t>
      </w:r>
    </w:p>
    <w:p w14:paraId="461EDC08" w14:textId="77777777" w:rsidR="00E948B3" w:rsidRPr="00C124A3" w:rsidRDefault="00E948B3" w:rsidP="00E948B3">
      <w:pPr>
        <w:rPr>
          <w:rFonts w:ascii="Times New Roman" w:hAnsi="Times New Roman" w:cs="Times New Roman"/>
          <w:sz w:val="28"/>
          <w:szCs w:val="28"/>
        </w:rPr>
      </w:pPr>
    </w:p>
    <w:p w14:paraId="1ED29E5B" w14:textId="4845AB27" w:rsidR="000757C7" w:rsidRDefault="000757C7">
      <w:pPr>
        <w:pStyle w:val="a3"/>
        <w:rPr>
          <w:rFonts w:ascii="Calibri"/>
          <w:sz w:val="20"/>
        </w:rPr>
      </w:pPr>
    </w:p>
    <w:p w14:paraId="3FCD99A1" w14:textId="77777777"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14:anchorId="32DFD93C" wp14:editId="509DB04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D1A3746"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ECCa3p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E33E075" w14:textId="77777777" w:rsidR="000757C7" w:rsidRDefault="008756E6" w:rsidP="00404E5B">
      <w:pPr>
        <w:spacing w:before="92"/>
        <w:ind w:right="4234"/>
        <w:rPr>
          <w:noProof/>
        </w:rPr>
      </w:pPr>
      <w:r>
        <w:rPr>
          <w:noProof/>
        </w:rPr>
        <w:lastRenderedPageBreak/>
        <w:t xml:space="preserve">         </w:t>
      </w:r>
      <w:r w:rsidR="000757C7">
        <w:rPr>
          <w:noProof/>
          <w:lang w:eastAsia="zh-TW"/>
        </w:rPr>
        <w:drawing>
          <wp:inline distT="0" distB="0" distL="0" distR="0" wp14:anchorId="715AA64B" wp14:editId="3DAA6D67">
            <wp:extent cx="741482" cy="1001790"/>
            <wp:effectExtent l="0" t="0" r="0" b="0"/>
            <wp:docPr id="2" name="圖片 2" descr="../Documents/My%20CV%20201705/201704%20CV/吳嘉傑%20拷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My%20CV%20201705/201704%20CV/吳嘉傑%20拷貝.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8791" cy="1011665"/>
                    </a:xfrm>
                    <a:prstGeom prst="rect">
                      <a:avLst/>
                    </a:prstGeom>
                    <a:noFill/>
                    <a:ln>
                      <a:noFill/>
                    </a:ln>
                  </pic:spPr>
                </pic:pic>
              </a:graphicData>
            </a:graphic>
          </wp:inline>
        </w:drawing>
      </w:r>
      <w:r>
        <w:rPr>
          <w:noProof/>
        </w:rPr>
        <w:t xml:space="preserve">    </w:t>
      </w:r>
    </w:p>
    <w:p w14:paraId="4D8B7E3E" w14:textId="3736D2C1"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14:paraId="0801500F" w14:textId="082F9E1B" w:rsidR="00AF60E8" w:rsidRPr="008E5684" w:rsidRDefault="00C56E39" w:rsidP="00AF60E8">
      <w:pPr>
        <w:pStyle w:val="p1"/>
        <w:rPr>
          <w:rFonts w:ascii="Times New Roman" w:hAnsi="Times New Roman"/>
          <w:color w:val="000000" w:themeColor="text1"/>
          <w:sz w:val="15"/>
          <w:szCs w:val="15"/>
        </w:rPr>
      </w:pPr>
      <w:r>
        <w:rPr>
          <w:rFonts w:ascii="Times New Roman" w:hAnsi="Times New Roman"/>
          <w:color w:val="000000" w:themeColor="text1"/>
          <w:sz w:val="15"/>
          <w:szCs w:val="15"/>
        </w:rPr>
        <w:t xml:space="preserve">  </w:t>
      </w:r>
      <w:r w:rsidR="00AF60E8" w:rsidRPr="008E5684">
        <w:rPr>
          <w:rFonts w:ascii="Times New Roman" w:hAnsi="Times New Roman"/>
          <w:color w:val="000000" w:themeColor="text1"/>
          <w:sz w:val="15"/>
          <w:szCs w:val="15"/>
        </w:rPr>
        <w:t xml:space="preserve">Chia-Chieh, Wu is a medical doctor specializes in orthopedics and currently working toward his PhD degree in the Institute of Biomedical Sciences, National Chung Hsing University in Taiwan. I focus on chemoprevention by natural products for their anti-growth activity against cancer cells, in particular, the apoptotic properties of dodecyl gallate and ursolic acid in human osteosarcoma cells. </w:t>
      </w:r>
    </w:p>
    <w:p w14:paraId="35690087" w14:textId="71211813" w:rsidR="00AF60E8" w:rsidRPr="008E5684" w:rsidRDefault="00AF60E8" w:rsidP="00AF60E8">
      <w:pPr>
        <w:pStyle w:val="p1"/>
        <w:rPr>
          <w:rFonts w:ascii="Times New Roman" w:hAnsi="Times New Roman"/>
          <w:color w:val="000000" w:themeColor="text1"/>
          <w:sz w:val="15"/>
          <w:szCs w:val="15"/>
        </w:rPr>
      </w:pPr>
      <w:r w:rsidRPr="008E5684">
        <w:rPr>
          <w:rFonts w:ascii="Times New Roman" w:hAnsi="Times New Roman"/>
          <w:color w:val="000000" w:themeColor="text1"/>
          <w:sz w:val="15"/>
          <w:szCs w:val="15"/>
        </w:rPr>
        <w:t xml:space="preserve">  Through these studies, I am able to explore different cellular mechanisms induced by these natural products in their varied forms. In addition, the knowledge of these mechanisms comes in handy while bridging the gap between the basic research and clinical practice.</w:t>
      </w:r>
    </w:p>
    <w:p w14:paraId="184613E9" w14:textId="3847402A" w:rsidR="00AF60E8" w:rsidRPr="008E5684" w:rsidRDefault="00AF60E8" w:rsidP="00AF60E8">
      <w:pPr>
        <w:pStyle w:val="p1"/>
        <w:rPr>
          <w:rFonts w:ascii="Times New Roman" w:hAnsi="Times New Roman"/>
          <w:color w:val="000000" w:themeColor="text1"/>
          <w:sz w:val="15"/>
          <w:szCs w:val="15"/>
        </w:rPr>
      </w:pPr>
      <w:r w:rsidRPr="008E5684">
        <w:rPr>
          <w:rFonts w:ascii="Times New Roman" w:hAnsi="Times New Roman"/>
          <w:color w:val="000000" w:themeColor="text1"/>
          <w:sz w:val="15"/>
          <w:szCs w:val="15"/>
        </w:rPr>
        <w:t xml:space="preserve">  I always believe that working hard to pursue your goals and keeping a positive attitude are important qualities that help you to success. Thus, I would like to take up new projects to study all the properties of different natural products, in the hope of finding better anticancer agents.</w:t>
      </w:r>
    </w:p>
    <w:p w14:paraId="407F07D9" w14:textId="617F4AFC" w:rsidR="00E1760A" w:rsidRPr="00E1760A" w:rsidRDefault="00E1760A" w:rsidP="004406CF">
      <w:pPr>
        <w:pStyle w:val="p1"/>
        <w:rPr>
          <w:rFonts w:ascii="Times New Roman" w:hAnsi="Times New Roman"/>
          <w:sz w:val="15"/>
          <w:szCs w:val="15"/>
        </w:rPr>
      </w:pPr>
    </w:p>
    <w:p w14:paraId="3039BD7D" w14:textId="77777777" w:rsidR="00297019" w:rsidRPr="00553A9A" w:rsidRDefault="00297019" w:rsidP="00297019">
      <w:pPr>
        <w:rPr>
          <w:rFonts w:ascii="Arial" w:hAnsi="Arial" w:cs="Arial"/>
          <w:sz w:val="15"/>
          <w:szCs w:val="15"/>
        </w:rPr>
      </w:pPr>
    </w:p>
    <w:p w14:paraId="1E2ECAC2" w14:textId="3D21C0A1" w:rsidR="00AE3E37" w:rsidRPr="00553A9A" w:rsidRDefault="00A9710C">
      <w:pPr>
        <w:spacing w:before="62"/>
        <w:ind w:left="4217" w:right="4235"/>
        <w:jc w:val="center"/>
        <w:rPr>
          <w:rFonts w:ascii="Arial" w:hAnsi="Arial" w:cs="Arial"/>
          <w:sz w:val="15"/>
          <w:szCs w:val="15"/>
        </w:rPr>
      </w:pPr>
      <w:r w:rsidRPr="00553A9A">
        <w:rPr>
          <w:rFonts w:ascii="Arial" w:hAnsi="Arial" w:cs="Arial"/>
          <w:sz w:val="15"/>
          <w:szCs w:val="15"/>
        </w:rPr>
        <w:t xml:space="preserve">Email: </w:t>
      </w:r>
      <w:r w:rsidR="00C6502F">
        <w:rPr>
          <w:rFonts w:ascii="Arial" w:hAnsi="Arial" w:cs="Arial"/>
          <w:sz w:val="15"/>
          <w:szCs w:val="15"/>
        </w:rPr>
        <w:t>cedric.jeep@gmail.com</w:t>
      </w:r>
    </w:p>
    <w:p w14:paraId="04253A17" w14:textId="77777777" w:rsidR="00AE3E37" w:rsidRPr="00553A9A" w:rsidRDefault="00292ED9">
      <w:pPr>
        <w:pStyle w:val="a3"/>
        <w:spacing w:before="2"/>
        <w:rPr>
          <w:rFonts w:ascii="Arial" w:hAnsi="Arial" w:cs="Arial"/>
          <w:sz w:val="15"/>
          <w:szCs w:val="15"/>
        </w:rPr>
      </w:pPr>
      <w:r w:rsidRPr="00553A9A">
        <w:rPr>
          <w:rFonts w:ascii="Arial" w:hAnsi="Arial" w:cs="Arial"/>
          <w:noProof/>
          <w:sz w:val="15"/>
          <w:szCs w:val="15"/>
          <w:lang w:eastAsia="zh-TW"/>
        </w:rPr>
        <mc:AlternateContent>
          <mc:Choice Requires="wps">
            <w:drawing>
              <wp:anchor distT="0" distB="0" distL="0" distR="0" simplePos="0" relativeHeight="1072" behindDoc="0" locked="0" layoutInCell="1" allowOverlap="1" wp14:anchorId="28154CB9" wp14:editId="542D0DD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6266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6E5D746F" w14:textId="77777777" w:rsidR="00AE3E37" w:rsidRPr="00553A9A" w:rsidRDefault="00AE3E37">
      <w:pPr>
        <w:pStyle w:val="a3"/>
        <w:spacing w:before="7"/>
        <w:rPr>
          <w:rFonts w:ascii="Arial" w:hAnsi="Arial" w:cs="Arial"/>
          <w:sz w:val="15"/>
          <w:szCs w:val="15"/>
        </w:rPr>
      </w:pPr>
    </w:p>
    <w:p w14:paraId="1248B033" w14:textId="77777777" w:rsidR="00AE3E37" w:rsidRPr="00553A9A" w:rsidRDefault="00A9710C">
      <w:pPr>
        <w:spacing w:before="39"/>
        <w:ind w:left="100"/>
        <w:rPr>
          <w:rFonts w:ascii="Arial" w:hAnsi="Arial" w:cs="Arial"/>
          <w:b/>
          <w:sz w:val="15"/>
          <w:szCs w:val="15"/>
        </w:rPr>
      </w:pPr>
      <w:r w:rsidRPr="00553A9A">
        <w:rPr>
          <w:rFonts w:ascii="Arial" w:hAnsi="Arial" w:cs="Arial"/>
          <w:b/>
          <w:sz w:val="15"/>
          <w:szCs w:val="15"/>
        </w:rPr>
        <w:t>Notes/Comments:</w:t>
      </w:r>
    </w:p>
    <w:p w14:paraId="099C6155" w14:textId="77777777" w:rsidR="00AE3E37" w:rsidRPr="00553A9A" w:rsidRDefault="00AE3E37">
      <w:pPr>
        <w:rPr>
          <w:rFonts w:ascii="Arial" w:hAnsi="Arial" w:cs="Arial"/>
          <w:sz w:val="15"/>
          <w:szCs w:val="15"/>
        </w:rPr>
        <w:sectPr w:rsidR="00AE3E37" w:rsidRPr="00553A9A">
          <w:type w:val="continuous"/>
          <w:pgSz w:w="11910" w:h="16840"/>
          <w:pgMar w:top="1740" w:right="600" w:bottom="840" w:left="620" w:header="720" w:footer="720" w:gutter="0"/>
          <w:cols w:space="720"/>
        </w:sectPr>
      </w:pPr>
    </w:p>
    <w:p w14:paraId="4F4EB453" w14:textId="77777777" w:rsidR="00AE3E37" w:rsidRPr="00553A9A" w:rsidRDefault="00AE3E37">
      <w:pPr>
        <w:pStyle w:val="a3"/>
        <w:spacing w:before="3"/>
        <w:rPr>
          <w:rFonts w:ascii="Arial" w:hAnsi="Arial" w:cs="Arial"/>
          <w:sz w:val="15"/>
          <w:szCs w:val="15"/>
        </w:rPr>
      </w:pPr>
    </w:p>
    <w:sectPr w:rsidR="00AE3E37" w:rsidRPr="00553A9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08F1B0" w14:textId="77777777" w:rsidR="00936404" w:rsidRDefault="00936404">
      <w:r>
        <w:separator/>
      </w:r>
    </w:p>
  </w:endnote>
  <w:endnote w:type="continuationSeparator" w:id="0">
    <w:p w14:paraId="7895042F" w14:textId="77777777" w:rsidR="00936404" w:rsidRDefault="00936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新細明體">
    <w:charset w:val="88"/>
    <w:family w:val="roman"/>
    <w:pitch w:val="variable"/>
    <w:sig w:usb0="A00002FF" w:usb1="28CFFCFA" w:usb2="00000016" w:usb3="00000000" w:csb0="00100001"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swiss"/>
    <w:pitch w:val="variable"/>
    <w:sig w:usb0="E00002FF" w:usb1="5000785B"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5EC378" w14:textId="77777777"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14:anchorId="537F08E7" wp14:editId="4B8578A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075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BE3D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F08E7"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535075A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BE3D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14:anchorId="5A71BC36" wp14:editId="584E49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D0F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5870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1BC3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99D0F1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58709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14:anchorId="4E75ADB5" wp14:editId="1395D89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0AD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C962E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5ADB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4370ADD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4C962E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2AD8BA" w14:textId="77777777" w:rsidR="00936404" w:rsidRDefault="00936404">
      <w:r>
        <w:separator/>
      </w:r>
    </w:p>
  </w:footnote>
  <w:footnote w:type="continuationSeparator" w:id="0">
    <w:p w14:paraId="5234B4F0" w14:textId="77777777" w:rsidR="00936404" w:rsidRDefault="0093640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4FDC8F" w14:textId="77777777"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14:anchorId="60D560A8" wp14:editId="74E9F3D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A2D88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560A8"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76A2D88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14:anchorId="4E3C144F" wp14:editId="71E4041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228DD"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A6922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C144F"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7FC228DD"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6A6922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DF44AFF"/>
    <w:multiLevelType w:val="hybridMultilevel"/>
    <w:tmpl w:val="2A046098"/>
    <w:lvl w:ilvl="0" w:tplc="55A86B1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rPr>
        <w:rFonts w:ascii="新細明體" w:eastAsia="新細明體" w:hAnsi="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新細明體" w:eastAsia="新細明體" w:hAnsi="新細明體"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新細明體" w:eastAsia="新細明體" w:hAnsi="新細明體" w:hint="eastAsia"/>
      </w:rPr>
    </w:lvl>
    <w:lvl w:ilvl="8" w:tplc="0409001B" w:tentative="1">
      <w:start w:val="1"/>
      <w:numFmt w:val="lowerRoman"/>
      <w:lvlText w:val="%9."/>
      <w:lvlJc w:val="right"/>
      <w:pPr>
        <w:ind w:left="4320" w:hanging="4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5"/>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D1E"/>
    <w:rsid w:val="000757C7"/>
    <w:rsid w:val="00083B7E"/>
    <w:rsid w:val="000B78F9"/>
    <w:rsid w:val="000E2911"/>
    <w:rsid w:val="001263DF"/>
    <w:rsid w:val="001513D8"/>
    <w:rsid w:val="00227D25"/>
    <w:rsid w:val="002455EC"/>
    <w:rsid w:val="002655FB"/>
    <w:rsid w:val="00292ED9"/>
    <w:rsid w:val="00297019"/>
    <w:rsid w:val="002B6542"/>
    <w:rsid w:val="002E5D81"/>
    <w:rsid w:val="00315AEC"/>
    <w:rsid w:val="003245F3"/>
    <w:rsid w:val="00365341"/>
    <w:rsid w:val="00366013"/>
    <w:rsid w:val="003945E7"/>
    <w:rsid w:val="003C70D3"/>
    <w:rsid w:val="00404E5B"/>
    <w:rsid w:val="00414F7B"/>
    <w:rsid w:val="004355DC"/>
    <w:rsid w:val="004406CF"/>
    <w:rsid w:val="004749B4"/>
    <w:rsid w:val="00494130"/>
    <w:rsid w:val="004A722E"/>
    <w:rsid w:val="004B2F7F"/>
    <w:rsid w:val="004F3523"/>
    <w:rsid w:val="00537384"/>
    <w:rsid w:val="00553A9A"/>
    <w:rsid w:val="005973B9"/>
    <w:rsid w:val="005A6245"/>
    <w:rsid w:val="005B3A56"/>
    <w:rsid w:val="006060CE"/>
    <w:rsid w:val="00606281"/>
    <w:rsid w:val="00625C65"/>
    <w:rsid w:val="0063497F"/>
    <w:rsid w:val="00680571"/>
    <w:rsid w:val="006919A6"/>
    <w:rsid w:val="006D76A8"/>
    <w:rsid w:val="0079391F"/>
    <w:rsid w:val="00856E49"/>
    <w:rsid w:val="0087059E"/>
    <w:rsid w:val="00873DF0"/>
    <w:rsid w:val="008756E6"/>
    <w:rsid w:val="008A08B6"/>
    <w:rsid w:val="008E5684"/>
    <w:rsid w:val="009015AD"/>
    <w:rsid w:val="00905A37"/>
    <w:rsid w:val="00925EA9"/>
    <w:rsid w:val="00936404"/>
    <w:rsid w:val="00994D26"/>
    <w:rsid w:val="009B2D44"/>
    <w:rsid w:val="00A07E82"/>
    <w:rsid w:val="00A37572"/>
    <w:rsid w:val="00A42496"/>
    <w:rsid w:val="00A9710C"/>
    <w:rsid w:val="00AC48CE"/>
    <w:rsid w:val="00AE3E37"/>
    <w:rsid w:val="00AF60E8"/>
    <w:rsid w:val="00B16346"/>
    <w:rsid w:val="00B16C6A"/>
    <w:rsid w:val="00B21A57"/>
    <w:rsid w:val="00B60C66"/>
    <w:rsid w:val="00BF006B"/>
    <w:rsid w:val="00C33602"/>
    <w:rsid w:val="00C56E39"/>
    <w:rsid w:val="00C6502F"/>
    <w:rsid w:val="00CD6F55"/>
    <w:rsid w:val="00D06D68"/>
    <w:rsid w:val="00D72B1C"/>
    <w:rsid w:val="00DA5C30"/>
    <w:rsid w:val="00DC1E33"/>
    <w:rsid w:val="00DE3104"/>
    <w:rsid w:val="00DE5546"/>
    <w:rsid w:val="00E1760A"/>
    <w:rsid w:val="00E26B10"/>
    <w:rsid w:val="00E45FCB"/>
    <w:rsid w:val="00E653A1"/>
    <w:rsid w:val="00E948B3"/>
    <w:rsid w:val="00EA1A19"/>
    <w:rsid w:val="00F37092"/>
    <w:rsid w:val="00F72EEA"/>
    <w:rsid w:val="00F84CAE"/>
    <w:rsid w:val="00FA419E"/>
    <w:rsid w:val="00FC55FC"/>
  </w:rsids>
  <m:mathPr>
    <m:mathFont m:val="Cambria Math"/>
    <m:brkBin m:val="before"/>
    <m:brkBinSub m:val="--"/>
    <m:smallFrac/>
    <m:dispDef/>
    <m:lMargin m:val="0"/>
    <m:rMargin m:val="0"/>
    <m:defJc m:val="centerGroup"/>
    <m:wrapIndent m:val="1440"/>
    <m:intLim m:val="subSup"/>
    <m:naryLim m:val="undOvr"/>
  </m:mathPr>
  <w:themeFontLang w:val="en-US" w:eastAsia="zh-TW"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FCB6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paragraph" w:customStyle="1" w:styleId="p1">
    <w:name w:val="p1"/>
    <w:basedOn w:val="a"/>
    <w:rsid w:val="002B6542"/>
    <w:pPr>
      <w:widowControl/>
    </w:pPr>
    <w:rPr>
      <w:rFonts w:ascii="Helvetica" w:eastAsiaTheme="minorEastAsia" w:hAnsi="Helvetica" w:cs="Times New Roman"/>
      <w:sz w:val="27"/>
      <w:szCs w:val="27"/>
      <w:lang w:eastAsia="zh-TW"/>
    </w:rPr>
  </w:style>
  <w:style w:type="character" w:customStyle="1" w:styleId="apple-converted-space">
    <w:name w:val="apple-converted-space"/>
    <w:basedOn w:val="a0"/>
    <w:rsid w:val="00A37572"/>
  </w:style>
  <w:style w:type="character" w:customStyle="1" w:styleId="s1">
    <w:name w:val="s1"/>
    <w:basedOn w:val="a0"/>
    <w:rsid w:val="00D06D68"/>
    <w:rPr>
      <w:rFonts w:ascii="Helvetica" w:hAnsi="Helvetica" w:hint="default"/>
      <w:sz w:val="11"/>
      <w:szCs w:val="11"/>
    </w:rPr>
  </w:style>
  <w:style w:type="character" w:styleId="ad">
    <w:name w:val="FollowedHyperlink"/>
    <w:basedOn w:val="a0"/>
    <w:uiPriority w:val="99"/>
    <w:semiHidden/>
    <w:unhideWhenUsed/>
    <w:rsid w:val="00C650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23350">
      <w:bodyDiv w:val="1"/>
      <w:marLeft w:val="0"/>
      <w:marRight w:val="0"/>
      <w:marTop w:val="0"/>
      <w:marBottom w:val="0"/>
      <w:divBdr>
        <w:top w:val="none" w:sz="0" w:space="0" w:color="auto"/>
        <w:left w:val="none" w:sz="0" w:space="0" w:color="auto"/>
        <w:bottom w:val="none" w:sz="0" w:space="0" w:color="auto"/>
        <w:right w:val="none" w:sz="0" w:space="0" w:color="auto"/>
      </w:divBdr>
    </w:div>
    <w:div w:id="28863005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3834754">
      <w:bodyDiv w:val="1"/>
      <w:marLeft w:val="0"/>
      <w:marRight w:val="0"/>
      <w:marTop w:val="0"/>
      <w:marBottom w:val="0"/>
      <w:divBdr>
        <w:top w:val="none" w:sz="0" w:space="0" w:color="auto"/>
        <w:left w:val="none" w:sz="0" w:space="0" w:color="auto"/>
        <w:bottom w:val="none" w:sz="0" w:space="0" w:color="auto"/>
        <w:right w:val="none" w:sz="0" w:space="0" w:color="auto"/>
      </w:divBdr>
    </w:div>
    <w:div w:id="641931748">
      <w:bodyDiv w:val="1"/>
      <w:marLeft w:val="0"/>
      <w:marRight w:val="0"/>
      <w:marTop w:val="0"/>
      <w:marBottom w:val="0"/>
      <w:divBdr>
        <w:top w:val="none" w:sz="0" w:space="0" w:color="auto"/>
        <w:left w:val="none" w:sz="0" w:space="0" w:color="auto"/>
        <w:bottom w:val="none" w:sz="0" w:space="0" w:color="auto"/>
        <w:right w:val="none" w:sz="0" w:space="0" w:color="auto"/>
      </w:divBdr>
    </w:div>
    <w:div w:id="761073304">
      <w:bodyDiv w:val="1"/>
      <w:marLeft w:val="0"/>
      <w:marRight w:val="0"/>
      <w:marTop w:val="0"/>
      <w:marBottom w:val="0"/>
      <w:divBdr>
        <w:top w:val="none" w:sz="0" w:space="0" w:color="auto"/>
        <w:left w:val="none" w:sz="0" w:space="0" w:color="auto"/>
        <w:bottom w:val="none" w:sz="0" w:space="0" w:color="auto"/>
        <w:right w:val="none" w:sz="0" w:space="0" w:color="auto"/>
      </w:divBdr>
    </w:div>
    <w:div w:id="812407540">
      <w:bodyDiv w:val="1"/>
      <w:marLeft w:val="0"/>
      <w:marRight w:val="0"/>
      <w:marTop w:val="0"/>
      <w:marBottom w:val="0"/>
      <w:divBdr>
        <w:top w:val="none" w:sz="0" w:space="0" w:color="auto"/>
        <w:left w:val="none" w:sz="0" w:space="0" w:color="auto"/>
        <w:bottom w:val="none" w:sz="0" w:space="0" w:color="auto"/>
        <w:right w:val="none" w:sz="0" w:space="0" w:color="auto"/>
      </w:divBdr>
    </w:div>
    <w:div w:id="926235849">
      <w:bodyDiv w:val="1"/>
      <w:marLeft w:val="0"/>
      <w:marRight w:val="0"/>
      <w:marTop w:val="0"/>
      <w:marBottom w:val="0"/>
      <w:divBdr>
        <w:top w:val="none" w:sz="0" w:space="0" w:color="auto"/>
        <w:left w:val="none" w:sz="0" w:space="0" w:color="auto"/>
        <w:bottom w:val="none" w:sz="0" w:space="0" w:color="auto"/>
        <w:right w:val="none" w:sz="0" w:space="0" w:color="auto"/>
      </w:divBdr>
    </w:div>
    <w:div w:id="1203788463">
      <w:bodyDiv w:val="1"/>
      <w:marLeft w:val="0"/>
      <w:marRight w:val="0"/>
      <w:marTop w:val="0"/>
      <w:marBottom w:val="0"/>
      <w:divBdr>
        <w:top w:val="none" w:sz="0" w:space="0" w:color="auto"/>
        <w:left w:val="none" w:sz="0" w:space="0" w:color="auto"/>
        <w:bottom w:val="none" w:sz="0" w:space="0" w:color="auto"/>
        <w:right w:val="none" w:sz="0" w:space="0" w:color="auto"/>
      </w:divBdr>
    </w:div>
    <w:div w:id="128176463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18815227">
      <w:bodyDiv w:val="1"/>
      <w:marLeft w:val="0"/>
      <w:marRight w:val="0"/>
      <w:marTop w:val="0"/>
      <w:marBottom w:val="0"/>
      <w:divBdr>
        <w:top w:val="none" w:sz="0" w:space="0" w:color="auto"/>
        <w:left w:val="none" w:sz="0" w:space="0" w:color="auto"/>
        <w:bottom w:val="none" w:sz="0" w:space="0" w:color="auto"/>
        <w:right w:val="none" w:sz="0" w:space="0" w:color="auto"/>
      </w:divBdr>
    </w:div>
    <w:div w:id="205102993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686</Words>
  <Characters>3916</Characters>
  <Application>Microsoft Macintosh Word</Application>
  <DocSecurity>0</DocSecurity>
  <Lines>32</Lines>
  <Paragraphs>9</Paragraphs>
  <ScaleCrop>false</ScaleCrop>
  <HeadingPairs>
    <vt:vector size="2" baseType="variant">
      <vt:variant>
        <vt:lpstr>標題</vt:lpstr>
      </vt:variant>
      <vt:variant>
        <vt:i4>1</vt:i4>
      </vt:variant>
    </vt:vector>
  </HeadingPairs>
  <TitlesOfParts>
    <vt:vector size="1" baseType="lpstr">
      <vt:lpstr/>
    </vt:vector>
  </TitlesOfParts>
  <Company>Microsoft</Company>
  <LinksUpToDate>false</LinksUpToDate>
  <CharactersWithSpaces>4593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Chia Chieh Wu</cp:lastModifiedBy>
  <cp:revision>37</cp:revision>
  <dcterms:created xsi:type="dcterms:W3CDTF">2017-07-15T10:40:00Z</dcterms:created>
  <dcterms:modified xsi:type="dcterms:W3CDTF">2017-08-02T05:30:00Z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