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C31" w:rsidRDefault="00516C31" w:rsidP="00516C31">
      <w:pPr>
        <w:pStyle w:val="Heading1"/>
        <w:spacing w:before="170"/>
        <w:ind w:left="0"/>
        <w:rPr>
          <w:color w:val="337AB7"/>
        </w:rPr>
      </w:pPr>
    </w:p>
    <w:p w:rsidR="00516C31" w:rsidRPr="009078B4" w:rsidRDefault="00516C31" w:rsidP="009078B4">
      <w:pPr>
        <w:pStyle w:val="Heading1"/>
        <w:spacing w:before="170"/>
        <w:ind w:left="0"/>
        <w:jc w:val="both"/>
        <w:rPr>
          <w:color w:val="0070C0"/>
          <w:sz w:val="48"/>
        </w:rPr>
      </w:pPr>
      <w:bookmarkStart w:id="0" w:name="_GoBack"/>
      <w:bookmarkEnd w:id="0"/>
      <w:r w:rsidRPr="004B55B4">
        <w:rPr>
          <w:rFonts w:eastAsiaTheme="majorEastAsia" w:cs="Times New Roman"/>
          <w:color w:val="0070C0"/>
          <w:szCs w:val="18"/>
        </w:rPr>
        <w:t>Novel and validated spectrophotometric estimation of Indomethacin in bulk</w:t>
      </w:r>
      <w:r w:rsidR="006E65A9" w:rsidRPr="004B55B4">
        <w:rPr>
          <w:rFonts w:eastAsiaTheme="majorEastAsia" w:cs="Times New Roman"/>
          <w:color w:val="0070C0"/>
          <w:szCs w:val="18"/>
        </w:rPr>
        <w:t xml:space="preserve"> and solid dosage formulation using </w:t>
      </w:r>
      <w:r w:rsidRPr="004B55B4">
        <w:rPr>
          <w:rFonts w:eastAsiaTheme="majorEastAsia" w:cs="Times New Roman"/>
          <w:color w:val="0070C0"/>
          <w:szCs w:val="18"/>
        </w:rPr>
        <w:t xml:space="preserve">mixed hydrotropic solubilisation technique  </w:t>
      </w:r>
    </w:p>
    <w:p w:rsidR="004B55B4" w:rsidRPr="004B55B4" w:rsidRDefault="00516C31" w:rsidP="004B55B4">
      <w:pPr>
        <w:rPr>
          <w:rFonts w:ascii="Arial"/>
          <w:sz w:val="18"/>
          <w:szCs w:val="18"/>
        </w:rPr>
        <w:sectPr w:rsidR="004B55B4" w:rsidRPr="004B55B4">
          <w:headerReference w:type="default" r:id="rId7"/>
          <w:footerReference w:type="default" r:id="rId8"/>
          <w:type w:val="continuous"/>
          <w:pgSz w:w="11910" w:h="16840"/>
          <w:pgMar w:top="1740" w:right="600" w:bottom="840" w:left="620" w:header="541" w:footer="642" w:gutter="0"/>
          <w:cols w:space="720"/>
        </w:sectPr>
      </w:pPr>
      <w:r w:rsidRPr="004B55B4">
        <w:rPr>
          <w:rFonts w:ascii="Arial"/>
          <w:sz w:val="18"/>
          <w:szCs w:val="18"/>
        </w:rPr>
        <w:t xml:space="preserve">Nisar Ahmad Khan, </w:t>
      </w:r>
      <w:r w:rsidR="004B55B4" w:rsidRPr="004B55B4">
        <w:rPr>
          <w:rFonts w:ascii="Arial"/>
          <w:sz w:val="18"/>
          <w:szCs w:val="18"/>
        </w:rPr>
        <w:t>Department of Pharmaceutical</w:t>
      </w:r>
      <w:r w:rsidR="009078B4">
        <w:rPr>
          <w:rFonts w:ascii="Arial"/>
          <w:sz w:val="18"/>
          <w:szCs w:val="18"/>
        </w:rPr>
        <w:t xml:space="preserve"> S</w:t>
      </w:r>
      <w:r w:rsidR="004B55B4" w:rsidRPr="004B55B4">
        <w:rPr>
          <w:rFonts w:ascii="Arial"/>
          <w:sz w:val="18"/>
          <w:szCs w:val="18"/>
        </w:rPr>
        <w:t>ciences, University of Kashmir, India</w:t>
      </w:r>
    </w:p>
    <w:p w:rsidR="00474ED2" w:rsidRPr="00474ED2" w:rsidRDefault="00516C31" w:rsidP="00474ED2">
      <w:pPr>
        <w:pStyle w:val="BodyText"/>
        <w:spacing w:before="3"/>
        <w:rPr>
          <w:rFonts w:ascii="Arial"/>
        </w:rPr>
      </w:pPr>
      <w:r w:rsidRPr="004B55B4">
        <w:rPr>
          <w:rFonts w:ascii="Arial"/>
        </w:rPr>
        <w:lastRenderedPageBreak/>
        <w:t xml:space="preserve">Jameela Rasool, </w:t>
      </w:r>
      <w:r w:rsidR="004B55B4" w:rsidRPr="004B55B4">
        <w:rPr>
          <w:rFonts w:ascii="Arial"/>
        </w:rPr>
        <w:t>Department of Pharma</w:t>
      </w:r>
      <w:r w:rsidR="004B55B4">
        <w:rPr>
          <w:rFonts w:ascii="Arial"/>
        </w:rPr>
        <w:t>ceutical</w:t>
      </w:r>
      <w:r w:rsidR="009078B4">
        <w:rPr>
          <w:rFonts w:ascii="Arial"/>
        </w:rPr>
        <w:t xml:space="preserve"> Sciences</w:t>
      </w:r>
      <w:r w:rsidR="00474ED2" w:rsidRPr="00474ED2">
        <w:rPr>
          <w:rFonts w:ascii="Arial"/>
        </w:rPr>
        <w:t xml:space="preserve"> </w:t>
      </w:r>
      <w:r w:rsidR="00474ED2" w:rsidRPr="004B55B4">
        <w:rPr>
          <w:rFonts w:ascii="Arial"/>
        </w:rPr>
        <w:t>University of Kashmir, India</w:t>
      </w:r>
      <w:r w:rsidR="009078B4">
        <w:rPr>
          <w:rFonts w:ascii="Arial"/>
        </w:rPr>
        <w:t xml:space="preserve">, </w:t>
      </w:r>
    </w:p>
    <w:p w:rsidR="00724C47" w:rsidRPr="007E4F27" w:rsidRDefault="00516C31" w:rsidP="009078B4">
      <w:pPr>
        <w:pStyle w:val="Heading3"/>
        <w:spacing w:before="147"/>
        <w:ind w:left="0"/>
        <w:jc w:val="both"/>
      </w:pPr>
      <w:r>
        <w:rPr>
          <w:color w:val="BF5A14"/>
        </w:rPr>
        <w:t>Abstract (300 word limit)</w:t>
      </w:r>
    </w:p>
    <w:p w:rsidR="00516C31" w:rsidRPr="00724C47" w:rsidRDefault="00516C31" w:rsidP="00516C31">
      <w:pPr>
        <w:spacing w:line="360" w:lineRule="auto"/>
        <w:ind w:right="141"/>
        <w:jc w:val="both"/>
        <w:rPr>
          <w:rFonts w:ascii="Times New Roman" w:hAnsi="Times New Roman" w:cs="Times New Roman"/>
          <w:sz w:val="12"/>
          <w:szCs w:val="24"/>
        </w:rPr>
      </w:pPr>
    </w:p>
    <w:p w:rsidR="007E4F27" w:rsidRPr="004D297E" w:rsidRDefault="007E4F27" w:rsidP="004D297E">
      <w:pPr>
        <w:autoSpaceDE w:val="0"/>
        <w:autoSpaceDN w:val="0"/>
        <w:adjustRightInd w:val="0"/>
        <w:spacing w:line="276" w:lineRule="auto"/>
        <w:jc w:val="both"/>
        <w:rPr>
          <w:rFonts w:cs="Times New Roman"/>
          <w:b/>
          <w:bCs/>
        </w:rPr>
      </w:pPr>
      <w:r w:rsidRPr="004D297E">
        <w:rPr>
          <w:rFonts w:cs="Times New Roman"/>
          <w:b/>
          <w:sz w:val="18"/>
        </w:rPr>
        <w:t>Statement of the Problem</w:t>
      </w:r>
      <w:r w:rsidRPr="004D297E">
        <w:rPr>
          <w:rFonts w:cs="Times New Roman"/>
          <w:sz w:val="18"/>
        </w:rPr>
        <w:t>:</w:t>
      </w:r>
      <w:r w:rsidR="004D297E">
        <w:rPr>
          <w:rFonts w:cs="Times New Roman"/>
          <w:b/>
          <w:bCs/>
        </w:rPr>
        <w:t xml:space="preserve"> </w:t>
      </w:r>
      <w:r w:rsidRPr="004D297E">
        <w:rPr>
          <w:rFonts w:cs="Times New Roman"/>
          <w:noProof/>
          <w:sz w:val="18"/>
          <w:szCs w:val="24"/>
        </w:rPr>
        <w:t>Around 40% of new chemical entities (NCE’s) are poorly water soluble and not well absorbed after oral administration. To overcome the problems associated with oral absorption   and bioavailability of these poorly soluble drugs, various strategies have been utilized out of which hydrotropic solubilization has shown promising results. The present study was undertaken on  Indomethacin - a water insoluble</w:t>
      </w:r>
      <w:r w:rsidR="00885BD0">
        <w:rPr>
          <w:rFonts w:cs="Times New Roman"/>
          <w:noProof/>
          <w:sz w:val="18"/>
          <w:szCs w:val="24"/>
        </w:rPr>
        <w:t xml:space="preserve"> drug</w:t>
      </w:r>
      <w:r w:rsidRPr="004D297E">
        <w:rPr>
          <w:rFonts w:cs="Times New Roman"/>
          <w:noProof/>
          <w:sz w:val="18"/>
          <w:szCs w:val="24"/>
        </w:rPr>
        <w:t xml:space="preserve"> </w:t>
      </w:r>
      <w:r w:rsidRPr="004D297E">
        <w:rPr>
          <w:rFonts w:cs="Times New Roman"/>
          <w:sz w:val="18"/>
          <w:szCs w:val="24"/>
        </w:rPr>
        <w:t>to enhance its solubil</w:t>
      </w:r>
      <w:r w:rsidR="00885BD0">
        <w:rPr>
          <w:rFonts w:cs="Times New Roman"/>
          <w:sz w:val="18"/>
          <w:szCs w:val="24"/>
        </w:rPr>
        <w:t>i</w:t>
      </w:r>
      <w:r w:rsidRPr="004D297E">
        <w:rPr>
          <w:rFonts w:cs="Times New Roman"/>
          <w:sz w:val="18"/>
          <w:szCs w:val="24"/>
        </w:rPr>
        <w:t>ty using mixed hydrotropic solubilization technique followed by development and validation of UV spectrophotometric method for quantitative estimation of Indomethacin in bulk and pharmaceutical dosage forms</w:t>
      </w:r>
      <w:r w:rsidR="009078B4">
        <w:rPr>
          <w:rFonts w:cs="Times New Roman"/>
          <w:sz w:val="18"/>
          <w:szCs w:val="24"/>
        </w:rPr>
        <w:t>.</w:t>
      </w:r>
      <w:r w:rsidRPr="004D297E">
        <w:rPr>
          <w:rFonts w:cs="Times New Roman"/>
          <w:b/>
          <w:bCs/>
          <w:sz w:val="16"/>
        </w:rPr>
        <w:t xml:space="preserve"> </w:t>
      </w:r>
    </w:p>
    <w:p w:rsidR="007E4F27" w:rsidRPr="004D297E" w:rsidRDefault="007E4F27" w:rsidP="004D297E">
      <w:pPr>
        <w:autoSpaceDE w:val="0"/>
        <w:autoSpaceDN w:val="0"/>
        <w:adjustRightInd w:val="0"/>
        <w:spacing w:line="276" w:lineRule="auto"/>
        <w:jc w:val="both"/>
        <w:rPr>
          <w:rFonts w:cs="Times New Roman"/>
          <w:b/>
          <w:bCs/>
          <w:sz w:val="18"/>
        </w:rPr>
      </w:pPr>
      <w:r w:rsidRPr="004D297E">
        <w:rPr>
          <w:rFonts w:cs="Times New Roman"/>
          <w:b/>
          <w:bCs/>
          <w:sz w:val="18"/>
        </w:rPr>
        <w:t>Methodology</w:t>
      </w:r>
      <w:r w:rsidR="004D297E">
        <w:rPr>
          <w:rFonts w:cs="Times New Roman"/>
          <w:b/>
          <w:bCs/>
          <w:sz w:val="18"/>
        </w:rPr>
        <w:t xml:space="preserve">: </w:t>
      </w:r>
      <w:r w:rsidRPr="004D297E">
        <w:rPr>
          <w:rFonts w:cs="Times New Roman"/>
          <w:sz w:val="18"/>
          <w:szCs w:val="24"/>
        </w:rPr>
        <w:t>Preliminary solubility studies were carried out with different m</w:t>
      </w:r>
      <w:r w:rsidR="009559B1">
        <w:rPr>
          <w:rFonts w:cs="Times New Roman"/>
          <w:sz w:val="18"/>
          <w:szCs w:val="24"/>
        </w:rPr>
        <w:t>olars of hydrotropic agents and</w:t>
      </w:r>
      <w:r w:rsidRPr="004D297E">
        <w:rPr>
          <w:rFonts w:cs="Times New Roman"/>
          <w:sz w:val="18"/>
          <w:szCs w:val="24"/>
        </w:rPr>
        <w:t xml:space="preserve"> from the solubility studies performed, proper blend (1.5 M Sodium citrate and 1.5 M Sodium benzoate) of hydrotropic agents was selected for further study.</w:t>
      </w:r>
    </w:p>
    <w:p w:rsidR="007E4F27" w:rsidRPr="004D297E" w:rsidRDefault="007E4F27" w:rsidP="004D297E">
      <w:pPr>
        <w:spacing w:line="276" w:lineRule="auto"/>
        <w:jc w:val="both"/>
        <w:rPr>
          <w:rFonts w:cs="Times New Roman"/>
          <w:sz w:val="18"/>
          <w:szCs w:val="24"/>
        </w:rPr>
      </w:pPr>
      <w:r w:rsidRPr="004D297E">
        <w:rPr>
          <w:rFonts w:cs="Times New Roman"/>
          <w:sz w:val="18"/>
          <w:szCs w:val="24"/>
        </w:rPr>
        <w:t xml:space="preserve">UV spectrum and calibration curve of Indomethacin was established in selected blend of hydrotropic agents and it was found to exhibit </w:t>
      </w:r>
      <w:r w:rsidRPr="004D297E">
        <w:rPr>
          <w:rFonts w:ascii="Times New Roman" w:hAnsi="Times New Roman" w:cs="Times New Roman"/>
          <w:sz w:val="18"/>
          <w:szCs w:val="24"/>
        </w:rPr>
        <w:t>λ</w:t>
      </w:r>
      <w:r w:rsidRPr="004D297E">
        <w:rPr>
          <w:rFonts w:cs="Times New Roman"/>
          <w:sz w:val="18"/>
          <w:szCs w:val="24"/>
          <w:vertAlign w:val="subscript"/>
        </w:rPr>
        <w:t xml:space="preserve">max </w:t>
      </w:r>
      <w:r w:rsidRPr="004D297E">
        <w:rPr>
          <w:rFonts w:cs="Times New Roman"/>
          <w:sz w:val="18"/>
          <w:szCs w:val="24"/>
        </w:rPr>
        <w:t>of 320 nm. Analysis of bulk drug of Indomethacin and marketed samples in chosen blend of hydrotropic agents was done and total drug content was calculated. The developed method was then validated as per ICH guidelines for Linearity and range, Accuracy, Precision, Limit of detection (LOD) and limit of quantification (LOQ)</w:t>
      </w:r>
      <w:r w:rsidR="009078B4">
        <w:rPr>
          <w:rFonts w:cs="Times New Roman"/>
          <w:sz w:val="18"/>
          <w:szCs w:val="24"/>
        </w:rPr>
        <w:t>.</w:t>
      </w:r>
    </w:p>
    <w:p w:rsidR="007E4F27" w:rsidRPr="004D297E" w:rsidRDefault="007E4F27" w:rsidP="004D297E">
      <w:pPr>
        <w:spacing w:line="276" w:lineRule="auto"/>
        <w:ind w:right="237"/>
        <w:jc w:val="both"/>
        <w:rPr>
          <w:rFonts w:cs="Times New Roman"/>
          <w:sz w:val="18"/>
          <w:szCs w:val="24"/>
        </w:rPr>
      </w:pPr>
      <w:r w:rsidRPr="004D297E">
        <w:rPr>
          <w:rFonts w:cs="Times New Roman"/>
          <w:b/>
          <w:sz w:val="18"/>
          <w:szCs w:val="24"/>
        </w:rPr>
        <w:t>Findings</w:t>
      </w:r>
      <w:r w:rsidR="004D297E">
        <w:rPr>
          <w:rFonts w:cs="Times New Roman"/>
          <w:sz w:val="18"/>
          <w:szCs w:val="24"/>
        </w:rPr>
        <w:t xml:space="preserve">: </w:t>
      </w:r>
      <w:r w:rsidRPr="004D297E">
        <w:rPr>
          <w:rFonts w:cs="Times New Roman"/>
          <w:sz w:val="18"/>
          <w:szCs w:val="24"/>
        </w:rPr>
        <w:t xml:space="preserve">From the results, it was clear that there was significant increase in solubility of Indomethacin with increase in molarity of hydrotropic agents and a blend of 1.5 M Sodium citrate and 1.5 M Sodium benzoate showed good results. </w:t>
      </w:r>
    </w:p>
    <w:p w:rsidR="007E4F27" w:rsidRPr="004D297E" w:rsidRDefault="007E4F27" w:rsidP="004D297E">
      <w:pPr>
        <w:tabs>
          <w:tab w:val="left" w:pos="2266"/>
        </w:tabs>
        <w:spacing w:line="276" w:lineRule="auto"/>
        <w:jc w:val="both"/>
        <w:rPr>
          <w:rFonts w:cs="Times New Roman"/>
          <w:b/>
          <w:sz w:val="18"/>
          <w:szCs w:val="24"/>
        </w:rPr>
      </w:pPr>
      <w:r w:rsidRPr="004D297E">
        <w:rPr>
          <w:rFonts w:cs="Times New Roman"/>
          <w:b/>
          <w:sz w:val="18"/>
          <w:szCs w:val="24"/>
        </w:rPr>
        <w:t>Conclusion and significance</w:t>
      </w:r>
      <w:r w:rsidR="004D297E">
        <w:rPr>
          <w:rFonts w:cs="Times New Roman"/>
          <w:b/>
          <w:sz w:val="18"/>
          <w:szCs w:val="24"/>
        </w:rPr>
        <w:t xml:space="preserve">: </w:t>
      </w:r>
      <w:r w:rsidRPr="004D297E">
        <w:rPr>
          <w:rFonts w:cs="Times New Roman"/>
          <w:sz w:val="18"/>
          <w:szCs w:val="24"/>
        </w:rPr>
        <w:t xml:space="preserve">Thus it was concluded mixed hydrotropic solubilisation can be effectively used for solubility enhancement of poorly water soluble drugs </w:t>
      </w:r>
      <w:r w:rsidR="009559B1">
        <w:rPr>
          <w:rFonts w:cs="Times New Roman"/>
          <w:sz w:val="18"/>
          <w:szCs w:val="24"/>
        </w:rPr>
        <w:t>and</w:t>
      </w:r>
      <w:r w:rsidRPr="004D297E">
        <w:rPr>
          <w:rFonts w:cs="Times New Roman"/>
          <w:sz w:val="18"/>
          <w:szCs w:val="24"/>
        </w:rPr>
        <w:t xml:space="preserve"> the proposed</w:t>
      </w:r>
      <w:r w:rsidR="009559B1">
        <w:rPr>
          <w:rFonts w:cs="Times New Roman"/>
          <w:sz w:val="18"/>
          <w:szCs w:val="24"/>
        </w:rPr>
        <w:t xml:space="preserve"> UV</w:t>
      </w:r>
      <w:r w:rsidRPr="004D297E">
        <w:rPr>
          <w:rFonts w:cs="Times New Roman"/>
          <w:sz w:val="18"/>
          <w:szCs w:val="24"/>
        </w:rPr>
        <w:t xml:space="preserve"> method </w:t>
      </w:r>
      <w:r w:rsidR="009559B1">
        <w:rPr>
          <w:rFonts w:cs="Times New Roman"/>
          <w:sz w:val="18"/>
          <w:szCs w:val="24"/>
        </w:rPr>
        <w:t xml:space="preserve">which is new, simple, accurate and </w:t>
      </w:r>
      <w:r w:rsidRPr="004D297E">
        <w:rPr>
          <w:rFonts w:cs="Times New Roman"/>
          <w:sz w:val="18"/>
          <w:szCs w:val="24"/>
        </w:rPr>
        <w:t>reproducible can be successfully employed for the routine analysis of Indomethacin in bulk samples as well as other pharmaceutical dosage forms.</w:t>
      </w:r>
    </w:p>
    <w:p w:rsidR="004B55B4" w:rsidRDefault="00516C31" w:rsidP="00516C31">
      <w:pPr>
        <w:pStyle w:val="Heading3"/>
        <w:spacing w:before="74"/>
        <w:rPr>
          <w:b w:val="0"/>
          <w:sz w:val="8"/>
        </w:rPr>
      </w:pPr>
      <w:r w:rsidRPr="00724C47">
        <w:rPr>
          <w:b w:val="0"/>
          <w:sz w:val="8"/>
        </w:rPr>
        <w:br w:type="column"/>
      </w:r>
    </w:p>
    <w:p w:rsidR="004B55B4" w:rsidRDefault="004B55B4" w:rsidP="00516C31">
      <w:pPr>
        <w:pStyle w:val="Heading3"/>
        <w:spacing w:before="74"/>
        <w:rPr>
          <w:b w:val="0"/>
          <w:sz w:val="8"/>
        </w:rPr>
      </w:pPr>
    </w:p>
    <w:p w:rsidR="004B55B4" w:rsidRDefault="004B55B4" w:rsidP="00516C31">
      <w:pPr>
        <w:pStyle w:val="Heading3"/>
        <w:spacing w:before="74"/>
        <w:rPr>
          <w:b w:val="0"/>
          <w:sz w:val="8"/>
        </w:rPr>
      </w:pPr>
    </w:p>
    <w:p w:rsidR="004B55B4" w:rsidRDefault="004B55B4" w:rsidP="009078B4">
      <w:pPr>
        <w:pStyle w:val="Heading3"/>
        <w:spacing w:before="74"/>
        <w:ind w:left="0"/>
        <w:rPr>
          <w:b w:val="0"/>
          <w:sz w:val="8"/>
        </w:rPr>
      </w:pPr>
    </w:p>
    <w:p w:rsidR="004B55B4" w:rsidRDefault="004B55B4" w:rsidP="00516C31">
      <w:pPr>
        <w:pStyle w:val="Heading3"/>
        <w:spacing w:before="74"/>
        <w:rPr>
          <w:b w:val="0"/>
          <w:sz w:val="8"/>
        </w:rPr>
      </w:pPr>
    </w:p>
    <w:p w:rsidR="004B55B4" w:rsidRDefault="004B55B4" w:rsidP="00516C31">
      <w:pPr>
        <w:pStyle w:val="Heading3"/>
        <w:spacing w:before="74"/>
        <w:rPr>
          <w:color w:val="BF5A14"/>
        </w:rPr>
      </w:pPr>
    </w:p>
    <w:p w:rsidR="00516C31" w:rsidRDefault="00516C31" w:rsidP="00516C31">
      <w:pPr>
        <w:pStyle w:val="Heading3"/>
        <w:spacing w:before="74"/>
      </w:pPr>
      <w:r>
        <w:rPr>
          <w:color w:val="BF5A14"/>
        </w:rPr>
        <w:t>Image</w:t>
      </w:r>
    </w:p>
    <w:p w:rsidR="00516C31" w:rsidRDefault="00BE7136" w:rsidP="00BE7136">
      <w:pPr>
        <w:pStyle w:val="BodyText"/>
        <w:spacing w:before="2"/>
        <w:ind w:left="720"/>
        <w:rPr>
          <w:rFonts w:ascii="Arial"/>
          <w:b/>
          <w:sz w:val="16"/>
        </w:rPr>
      </w:pPr>
      <w:r>
        <w:rPr>
          <w:rFonts w:ascii="Arial"/>
          <w:b/>
          <w:noProof/>
          <w:sz w:val="16"/>
        </w:rPr>
        <w:drawing>
          <wp:inline distT="0" distB="0" distL="0" distR="0">
            <wp:extent cx="2234032" cy="1348869"/>
            <wp:effectExtent l="19050" t="0" r="0" b="0"/>
            <wp:docPr id="8" name="Picture 5" descr="C:\Users\admin\Desktop\StructureOfHydrotropicAg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StructureOfHydrotropicAgent.jpg"/>
                    <pic:cNvPicPr>
                      <a:picLocks noChangeAspect="1" noChangeArrowheads="1"/>
                    </pic:cNvPicPr>
                  </pic:nvPicPr>
                  <pic:blipFill>
                    <a:blip r:embed="rId9"/>
                    <a:srcRect/>
                    <a:stretch>
                      <a:fillRect/>
                    </a:stretch>
                  </pic:blipFill>
                  <pic:spPr bwMode="auto">
                    <a:xfrm>
                      <a:off x="0" y="0"/>
                      <a:ext cx="2236398" cy="1350298"/>
                    </a:xfrm>
                    <a:prstGeom prst="rect">
                      <a:avLst/>
                    </a:prstGeom>
                    <a:noFill/>
                    <a:ln w="9525">
                      <a:noFill/>
                      <a:miter lim="800000"/>
                      <a:headEnd/>
                      <a:tailEnd/>
                    </a:ln>
                  </pic:spPr>
                </pic:pic>
              </a:graphicData>
            </a:graphic>
          </wp:inline>
        </w:drawing>
      </w:r>
    </w:p>
    <w:p w:rsidR="009078B4" w:rsidRDefault="00B46777" w:rsidP="00BE7136">
      <w:pPr>
        <w:spacing w:line="204" w:lineRule="exact"/>
        <w:ind w:left="383" w:firstLine="720"/>
        <w:rPr>
          <w:rFonts w:ascii="Arial"/>
          <w:b/>
          <w:color w:val="BF5A14"/>
          <w:sz w:val="20"/>
        </w:rPr>
      </w:pPr>
      <w:r>
        <w:rPr>
          <w:sz w:val="18"/>
        </w:rPr>
        <w:t>Fig.1</w:t>
      </w:r>
      <w:r w:rsidR="00606651">
        <w:rPr>
          <w:sz w:val="18"/>
        </w:rPr>
        <w:t xml:space="preserve">: </w:t>
      </w:r>
      <w:r w:rsidR="00BE7136" w:rsidRPr="00B46777">
        <w:rPr>
          <w:sz w:val="18"/>
        </w:rPr>
        <w:t>Structure of hydrotropic agent</w:t>
      </w:r>
      <w:r w:rsidR="00BE7136" w:rsidRPr="00B46777">
        <w:rPr>
          <w:rFonts w:ascii="Arial"/>
          <w:b/>
          <w:color w:val="BF5A14"/>
          <w:sz w:val="18"/>
        </w:rPr>
        <w:t xml:space="preserve"> </w:t>
      </w:r>
      <w:r w:rsidR="00516C31">
        <w:rPr>
          <w:rFonts w:ascii="Arial"/>
          <w:b/>
          <w:color w:val="BF5A14"/>
          <w:sz w:val="20"/>
        </w:rPr>
        <w:br/>
      </w:r>
    </w:p>
    <w:p w:rsidR="00516C31" w:rsidRPr="00BE7136" w:rsidRDefault="009078B4" w:rsidP="009078B4">
      <w:pPr>
        <w:spacing w:line="204" w:lineRule="exact"/>
        <w:rPr>
          <w:rFonts w:ascii="Arial"/>
          <w:b/>
          <w:color w:val="BF5A14"/>
          <w:sz w:val="20"/>
        </w:rPr>
      </w:pPr>
      <w:r>
        <w:rPr>
          <w:rFonts w:ascii="Arial"/>
          <w:b/>
          <w:color w:val="BF5A14"/>
          <w:sz w:val="20"/>
        </w:rPr>
        <w:t xml:space="preserve">   </w:t>
      </w:r>
      <w:r w:rsidR="00516C31">
        <w:rPr>
          <w:rFonts w:ascii="Arial"/>
          <w:b/>
          <w:color w:val="BF5A14"/>
          <w:sz w:val="20"/>
        </w:rPr>
        <w:t>Recent Publications (minimum 5)</w:t>
      </w:r>
    </w:p>
    <w:p w:rsidR="006E65A9" w:rsidRPr="00FA3CC1" w:rsidRDefault="006E65A9" w:rsidP="00FA3CC1">
      <w:pPr>
        <w:pStyle w:val="ListParagraph"/>
        <w:numPr>
          <w:ilvl w:val="0"/>
          <w:numId w:val="3"/>
        </w:numPr>
        <w:autoSpaceDE w:val="0"/>
        <w:autoSpaceDN w:val="0"/>
        <w:adjustRightInd w:val="0"/>
        <w:spacing w:line="240" w:lineRule="auto"/>
        <w:ind w:right="113"/>
        <w:rPr>
          <w:rFonts w:asciiTheme="minorHAnsi" w:hAnsiTheme="minorHAnsi" w:cstheme="minorHAnsi"/>
          <w:color w:val="000000" w:themeColor="text1"/>
          <w:sz w:val="18"/>
          <w:szCs w:val="24"/>
        </w:rPr>
      </w:pPr>
      <w:r w:rsidRPr="00FA3CC1">
        <w:rPr>
          <w:rFonts w:asciiTheme="minorHAnsi" w:hAnsiTheme="minorHAnsi" w:cstheme="minorHAnsi"/>
          <w:color w:val="000000" w:themeColor="text1"/>
          <w:sz w:val="18"/>
          <w:szCs w:val="24"/>
        </w:rPr>
        <w:t xml:space="preserve">Andeep SC, Madgulkar AR, Kshirsagar SJ, Bhalekar MR, Amrita D,Pranjali G. (2012) </w:t>
      </w:r>
      <w:r w:rsidRPr="00FA3CC1">
        <w:rPr>
          <w:rFonts w:asciiTheme="minorHAnsi" w:hAnsiTheme="minorHAnsi" w:cstheme="minorHAnsi"/>
          <w:bCs/>
          <w:color w:val="000000" w:themeColor="text1"/>
          <w:sz w:val="18"/>
          <w:szCs w:val="24"/>
        </w:rPr>
        <w:t>Amorphous nanoparticles for solubility enhancement</w:t>
      </w:r>
      <w:r w:rsidRPr="00FA3CC1">
        <w:rPr>
          <w:rFonts w:asciiTheme="minorHAnsi" w:hAnsiTheme="minorHAnsi" w:cstheme="minorHAnsi"/>
          <w:color w:val="000000" w:themeColor="text1"/>
          <w:sz w:val="18"/>
          <w:szCs w:val="24"/>
        </w:rPr>
        <w:t xml:space="preserve">. </w:t>
      </w:r>
      <w:r w:rsidRPr="00FA3CC1">
        <w:rPr>
          <w:rFonts w:asciiTheme="minorHAnsi" w:hAnsiTheme="minorHAnsi" w:cstheme="minorHAnsi"/>
          <w:bCs/>
          <w:color w:val="000000" w:themeColor="text1"/>
          <w:sz w:val="18"/>
          <w:szCs w:val="24"/>
        </w:rPr>
        <w:t>Journal of Advanced Pharmaceutical Sciences.</w:t>
      </w:r>
      <w:r w:rsidRPr="00FA3CC1">
        <w:rPr>
          <w:rFonts w:asciiTheme="minorHAnsi" w:hAnsiTheme="minorHAnsi" w:cstheme="minorHAnsi"/>
          <w:color w:val="000000" w:themeColor="text1"/>
          <w:sz w:val="18"/>
          <w:szCs w:val="24"/>
        </w:rPr>
        <w:t xml:space="preserve"> 2(1): 167-178.</w:t>
      </w:r>
    </w:p>
    <w:p w:rsidR="006E65A9" w:rsidRPr="00AB1B67" w:rsidRDefault="006E65A9" w:rsidP="00FA3CC1">
      <w:pPr>
        <w:pStyle w:val="Default"/>
        <w:numPr>
          <w:ilvl w:val="0"/>
          <w:numId w:val="3"/>
        </w:numPr>
        <w:ind w:right="113"/>
        <w:jc w:val="both"/>
        <w:rPr>
          <w:rFonts w:asciiTheme="minorHAnsi" w:hAnsiTheme="minorHAnsi" w:cstheme="minorHAnsi"/>
          <w:bCs/>
          <w:color w:val="000000" w:themeColor="text1"/>
          <w:sz w:val="18"/>
        </w:rPr>
      </w:pPr>
      <w:r w:rsidRPr="00FA3CC1">
        <w:rPr>
          <w:rFonts w:asciiTheme="minorHAnsi" w:hAnsiTheme="minorHAnsi" w:cstheme="minorHAnsi"/>
          <w:bCs/>
          <w:color w:val="000000" w:themeColor="text1"/>
          <w:sz w:val="18"/>
        </w:rPr>
        <w:t>Anish SN,  Deveswaran R, Barath S, Basavaraj BV, Madhavan V. (2011) Spectrophotometric estimation  and validation of  Atenolol in tablets by hydrotropic solubilization. Current pharma research. 2(1): 385-388.</w:t>
      </w:r>
    </w:p>
    <w:p w:rsidR="006E65A9" w:rsidRPr="00AB1B67" w:rsidRDefault="006E65A9" w:rsidP="00AB1B67">
      <w:pPr>
        <w:pStyle w:val="Default"/>
        <w:numPr>
          <w:ilvl w:val="0"/>
          <w:numId w:val="3"/>
        </w:numPr>
        <w:ind w:right="113"/>
        <w:jc w:val="both"/>
        <w:rPr>
          <w:rFonts w:asciiTheme="minorHAnsi" w:hAnsiTheme="minorHAnsi" w:cstheme="minorHAnsi"/>
          <w:color w:val="000000" w:themeColor="text1"/>
          <w:sz w:val="18"/>
        </w:rPr>
      </w:pPr>
      <w:r w:rsidRPr="00FA3CC1">
        <w:rPr>
          <w:rFonts w:asciiTheme="minorHAnsi" w:hAnsiTheme="minorHAnsi" w:cstheme="minorHAnsi"/>
          <w:bCs/>
          <w:color w:val="000000" w:themeColor="text1"/>
          <w:sz w:val="18"/>
        </w:rPr>
        <w:t>Ashwini EP, Shila VD, Manoj MB, Shashikant DB. (</w:t>
      </w:r>
      <w:r w:rsidRPr="00FA3CC1">
        <w:rPr>
          <w:rFonts w:asciiTheme="minorHAnsi" w:hAnsiTheme="minorHAnsi" w:cstheme="minorHAnsi"/>
          <w:color w:val="000000" w:themeColor="text1"/>
          <w:sz w:val="18"/>
        </w:rPr>
        <w:t xml:space="preserve">2013) </w:t>
      </w:r>
      <w:r w:rsidRPr="00FA3CC1">
        <w:rPr>
          <w:rFonts w:asciiTheme="minorHAnsi" w:hAnsiTheme="minorHAnsi" w:cstheme="minorHAnsi"/>
          <w:bCs/>
          <w:color w:val="000000" w:themeColor="text1"/>
          <w:sz w:val="18"/>
        </w:rPr>
        <w:t xml:space="preserve">A review on novel solubility enhancement technique. Indo American Journal of pharm research. </w:t>
      </w:r>
      <w:r w:rsidRPr="00FA3CC1">
        <w:rPr>
          <w:rFonts w:asciiTheme="minorHAnsi" w:hAnsiTheme="minorHAnsi" w:cstheme="minorHAnsi"/>
          <w:color w:val="000000" w:themeColor="text1"/>
          <w:sz w:val="18"/>
        </w:rPr>
        <w:t xml:space="preserve"> 3(6): 4670-4679.</w:t>
      </w:r>
    </w:p>
    <w:p w:rsidR="006E65A9" w:rsidRPr="00FA3CC1" w:rsidRDefault="006E65A9" w:rsidP="00FA3CC1">
      <w:pPr>
        <w:pStyle w:val="Default"/>
        <w:numPr>
          <w:ilvl w:val="0"/>
          <w:numId w:val="3"/>
        </w:numPr>
        <w:ind w:right="113"/>
        <w:jc w:val="both"/>
        <w:rPr>
          <w:rFonts w:asciiTheme="minorHAnsi" w:hAnsiTheme="minorHAnsi" w:cstheme="minorHAnsi"/>
          <w:color w:val="000000" w:themeColor="text1"/>
          <w:sz w:val="18"/>
        </w:rPr>
      </w:pPr>
      <w:r w:rsidRPr="00FA3CC1">
        <w:rPr>
          <w:rFonts w:asciiTheme="minorHAnsi" w:hAnsiTheme="minorHAnsi" w:cstheme="minorHAnsi"/>
          <w:bCs/>
          <w:color w:val="000000" w:themeColor="text1"/>
          <w:sz w:val="18"/>
        </w:rPr>
        <w:t xml:space="preserve">Ashwini EP, Shila VD, Manoj MB, Shashikant DB. </w:t>
      </w:r>
      <w:r w:rsidR="0050019C" w:rsidRPr="00FA3CC1">
        <w:rPr>
          <w:rFonts w:asciiTheme="minorHAnsi" w:hAnsiTheme="minorHAnsi" w:cstheme="minorHAnsi"/>
          <w:bCs/>
          <w:color w:val="000000" w:themeColor="text1"/>
          <w:sz w:val="18"/>
        </w:rPr>
        <w:t xml:space="preserve">(2013) </w:t>
      </w:r>
      <w:r w:rsidRPr="00FA3CC1">
        <w:rPr>
          <w:rFonts w:asciiTheme="minorHAnsi" w:hAnsiTheme="minorHAnsi" w:cstheme="minorHAnsi"/>
          <w:bCs/>
          <w:color w:val="000000" w:themeColor="text1"/>
          <w:sz w:val="18"/>
        </w:rPr>
        <w:t>Spectrophotometric estimation of Lamotrigine in tablet dosage form by using mixed hydrotropy an eco-friendly method. Indo American journal of pharmaceutical research. 3(3): 2655-2661.</w:t>
      </w:r>
    </w:p>
    <w:p w:rsidR="006E65A9" w:rsidRPr="00FA3CC1" w:rsidRDefault="006E65A9" w:rsidP="00FA3CC1">
      <w:pPr>
        <w:pStyle w:val="Default"/>
        <w:numPr>
          <w:ilvl w:val="0"/>
          <w:numId w:val="3"/>
        </w:numPr>
        <w:ind w:right="113"/>
        <w:jc w:val="both"/>
        <w:rPr>
          <w:rFonts w:asciiTheme="minorHAnsi" w:hAnsiTheme="minorHAnsi" w:cstheme="minorHAnsi"/>
          <w:color w:val="000000" w:themeColor="text1"/>
          <w:sz w:val="18"/>
        </w:rPr>
      </w:pPr>
      <w:r w:rsidRPr="00FA3CC1">
        <w:rPr>
          <w:rFonts w:asciiTheme="minorHAnsi" w:hAnsiTheme="minorHAnsi" w:cstheme="minorHAnsi"/>
          <w:bCs/>
          <w:color w:val="000000" w:themeColor="text1"/>
          <w:sz w:val="18"/>
        </w:rPr>
        <w:t xml:space="preserve">Ashwini PG, Nilesh VK, Saptrishi D. </w:t>
      </w:r>
      <w:r w:rsidR="0092739E" w:rsidRPr="00FA3CC1">
        <w:rPr>
          <w:rFonts w:asciiTheme="minorHAnsi" w:hAnsiTheme="minorHAnsi" w:cstheme="minorHAnsi"/>
          <w:bCs/>
          <w:color w:val="000000" w:themeColor="text1"/>
          <w:sz w:val="18"/>
        </w:rPr>
        <w:t>(</w:t>
      </w:r>
      <w:r w:rsidR="0092739E" w:rsidRPr="00FA3CC1">
        <w:rPr>
          <w:rFonts w:asciiTheme="minorHAnsi" w:hAnsiTheme="minorHAnsi" w:cstheme="minorHAnsi"/>
          <w:color w:val="000000" w:themeColor="text1"/>
          <w:sz w:val="18"/>
        </w:rPr>
        <w:t xml:space="preserve">2013) </w:t>
      </w:r>
      <w:r w:rsidRPr="00FA3CC1">
        <w:rPr>
          <w:rFonts w:asciiTheme="minorHAnsi" w:hAnsiTheme="minorHAnsi" w:cstheme="minorHAnsi"/>
          <w:bCs/>
          <w:color w:val="000000" w:themeColor="text1"/>
          <w:sz w:val="18"/>
        </w:rPr>
        <w:t>Review on Enhancement of Solubilisation process.</w:t>
      </w:r>
      <w:r w:rsidRPr="00FA3CC1">
        <w:rPr>
          <w:rFonts w:asciiTheme="minorHAnsi" w:hAnsiTheme="minorHAnsi" w:cstheme="minorHAnsi"/>
          <w:bCs/>
          <w:iCs/>
          <w:color w:val="000000" w:themeColor="text1"/>
          <w:sz w:val="18"/>
        </w:rPr>
        <w:t>Journal of Pharmacy and Phytotherapeutics</w:t>
      </w:r>
      <w:r w:rsidRPr="00FA3CC1">
        <w:rPr>
          <w:rFonts w:asciiTheme="minorHAnsi" w:hAnsiTheme="minorHAnsi" w:cstheme="minorHAnsi"/>
          <w:color w:val="000000" w:themeColor="text1"/>
          <w:sz w:val="18"/>
        </w:rPr>
        <w:t>. 2(1): 28-38.</w:t>
      </w:r>
    </w:p>
    <w:p w:rsidR="00516C31" w:rsidRDefault="00516C31" w:rsidP="00516C31">
      <w:pPr>
        <w:spacing w:line="200" w:lineRule="exact"/>
        <w:jc w:val="both"/>
        <w:rPr>
          <w:rFonts w:ascii="Calibri" w:hAnsi="Calibri"/>
        </w:rPr>
        <w:sectPr w:rsidR="00516C31">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p>
    <w:p w:rsidR="00516C31" w:rsidRDefault="00516C31" w:rsidP="00516C31">
      <w:pPr>
        <w:pStyle w:val="BodyText"/>
        <w:rPr>
          <w:rFonts w:ascii="Calibri"/>
          <w:sz w:val="20"/>
        </w:rPr>
      </w:pPr>
    </w:p>
    <w:p w:rsidR="00516C31" w:rsidRDefault="00790236" w:rsidP="00516C31">
      <w:pPr>
        <w:pStyle w:val="BodyText"/>
        <w:spacing w:line="40" w:lineRule="exact"/>
        <w:ind w:left="2202"/>
        <w:rPr>
          <w:rFonts w:ascii="Calibri"/>
          <w:sz w:val="4"/>
        </w:rPr>
      </w:pPr>
      <w:r w:rsidRPr="00790236">
        <w:rPr>
          <w:rFonts w:ascii="Calibri"/>
          <w:noProof/>
          <w:sz w:val="4"/>
          <w:lang w:val="en-IN" w:eastAsia="en-IN"/>
        </w:rPr>
      </w:r>
      <w:r w:rsidRPr="00790236">
        <w:rPr>
          <w:rFonts w:ascii="Calibri"/>
          <w:noProof/>
          <w:sz w:val="4"/>
          <w:lang w:val="en-IN" w:eastAsia="en-IN"/>
        </w:rPr>
        <w:pict>
          <v:group id="Group 4" o:spid="_x0000_s1032"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3"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16C31" w:rsidRDefault="00474ED2" w:rsidP="00516C31">
      <w:pPr>
        <w:spacing w:before="92"/>
        <w:ind w:right="4234"/>
        <w:rPr>
          <w:rFonts w:ascii="Arial"/>
        </w:rPr>
      </w:pPr>
      <w:r>
        <w:rPr>
          <w:noProof/>
        </w:rPr>
        <w:drawing>
          <wp:inline distT="0" distB="0" distL="0" distR="0">
            <wp:extent cx="675894" cy="846502"/>
            <wp:effectExtent l="19050" t="0" r="0" b="0"/>
            <wp:docPr id="9" name="Picture 6" descr="C:\Users\admin\Desktop\DrNisar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DrNisarPP.jpg"/>
                    <pic:cNvPicPr>
                      <a:picLocks noChangeAspect="1" noChangeArrowheads="1"/>
                    </pic:cNvPicPr>
                  </pic:nvPicPr>
                  <pic:blipFill>
                    <a:blip r:embed="rId12" cstate="print"/>
                    <a:srcRect/>
                    <a:stretch>
                      <a:fillRect/>
                    </a:stretch>
                  </pic:blipFill>
                  <pic:spPr bwMode="auto">
                    <a:xfrm>
                      <a:off x="0" y="0"/>
                      <a:ext cx="675949" cy="846571"/>
                    </a:xfrm>
                    <a:prstGeom prst="rect">
                      <a:avLst/>
                    </a:prstGeom>
                    <a:noFill/>
                    <a:ln w="9525">
                      <a:noFill/>
                      <a:miter lim="800000"/>
                      <a:headEnd/>
                      <a:tailEnd/>
                    </a:ln>
                  </pic:spPr>
                </pic:pic>
              </a:graphicData>
            </a:graphic>
          </wp:inline>
        </w:drawing>
      </w:r>
      <w:r w:rsidRPr="00474ED2">
        <w:rPr>
          <w:noProof/>
        </w:rPr>
        <w:t xml:space="preserve"> </w:t>
      </w:r>
      <w:r w:rsidR="00516C31">
        <w:rPr>
          <w:rFonts w:ascii="Arial"/>
          <w:color w:val="BF5A14"/>
        </w:rPr>
        <w:t>Biography (150 word limit)</w:t>
      </w:r>
    </w:p>
    <w:p w:rsidR="00C00612" w:rsidRDefault="004D297E" w:rsidP="00516C31">
      <w:pPr>
        <w:spacing w:before="41" w:line="154" w:lineRule="exact"/>
        <w:ind w:left="213" w:right="231"/>
        <w:jc w:val="both"/>
        <w:rPr>
          <w:rFonts w:ascii="Arial"/>
          <w:sz w:val="14"/>
        </w:rPr>
      </w:pPr>
      <w:r>
        <w:rPr>
          <w:rFonts w:ascii="Arial"/>
          <w:sz w:val="14"/>
        </w:rPr>
        <w:t>Dr.  Nisar Ahmad Khan</w:t>
      </w:r>
      <w:r w:rsidR="00C00612">
        <w:rPr>
          <w:rFonts w:ascii="Arial"/>
          <w:sz w:val="14"/>
        </w:rPr>
        <w:t xml:space="preserve"> presently working as Sr. Asst Professor in the Department of Pharmaceutical sciences, University of K</w:t>
      </w:r>
      <w:r w:rsidR="004D0E70">
        <w:rPr>
          <w:rFonts w:ascii="Arial"/>
          <w:sz w:val="14"/>
        </w:rPr>
        <w:t>a</w:t>
      </w:r>
      <w:r w:rsidR="00C00612">
        <w:rPr>
          <w:rFonts w:ascii="Arial"/>
          <w:sz w:val="14"/>
        </w:rPr>
        <w:t>shmir, India, obtained  B</w:t>
      </w:r>
      <w:r>
        <w:rPr>
          <w:rFonts w:ascii="Arial"/>
          <w:sz w:val="14"/>
        </w:rPr>
        <w:t xml:space="preserve">achelors degree in pharmacy from </w:t>
      </w:r>
      <w:r w:rsidR="004D0E70">
        <w:rPr>
          <w:rFonts w:ascii="Arial"/>
          <w:sz w:val="14"/>
        </w:rPr>
        <w:t xml:space="preserve">university of </w:t>
      </w:r>
      <w:r>
        <w:rPr>
          <w:rFonts w:ascii="Arial"/>
          <w:sz w:val="14"/>
        </w:rPr>
        <w:t xml:space="preserve">Kashmir </w:t>
      </w:r>
      <w:r w:rsidR="00C00612">
        <w:rPr>
          <w:rFonts w:ascii="Arial"/>
          <w:sz w:val="14"/>
        </w:rPr>
        <w:t xml:space="preserve">and </w:t>
      </w:r>
      <w:r w:rsidR="006B30DD">
        <w:rPr>
          <w:rFonts w:ascii="Arial"/>
          <w:sz w:val="14"/>
        </w:rPr>
        <w:t>M</w:t>
      </w:r>
      <w:r w:rsidR="00C00612">
        <w:rPr>
          <w:rFonts w:ascii="Arial"/>
          <w:sz w:val="14"/>
        </w:rPr>
        <w:t>aster degree</w:t>
      </w:r>
      <w:r w:rsidR="004D0E70">
        <w:rPr>
          <w:rFonts w:ascii="Arial"/>
          <w:sz w:val="14"/>
        </w:rPr>
        <w:t xml:space="preserve"> in P</w:t>
      </w:r>
      <w:r w:rsidR="006B30DD">
        <w:rPr>
          <w:rFonts w:ascii="Arial"/>
          <w:sz w:val="14"/>
        </w:rPr>
        <w:t>harmaceutics from</w:t>
      </w:r>
      <w:r w:rsidR="00C00612">
        <w:rPr>
          <w:rFonts w:ascii="Arial"/>
          <w:sz w:val="14"/>
        </w:rPr>
        <w:t xml:space="preserve"> SGSITS Indore</w:t>
      </w:r>
      <w:r w:rsidR="006B30DD">
        <w:rPr>
          <w:rFonts w:ascii="Arial"/>
          <w:sz w:val="14"/>
        </w:rPr>
        <w:t xml:space="preserve">, MP in the year 2002. </w:t>
      </w:r>
      <w:r w:rsidR="00C00612">
        <w:rPr>
          <w:rFonts w:ascii="Arial"/>
          <w:sz w:val="14"/>
        </w:rPr>
        <w:t>Dr K</w:t>
      </w:r>
      <w:r w:rsidR="006B30DD">
        <w:rPr>
          <w:rFonts w:ascii="Arial"/>
          <w:sz w:val="14"/>
        </w:rPr>
        <w:t xml:space="preserve">han </w:t>
      </w:r>
      <w:r w:rsidR="00C00612">
        <w:rPr>
          <w:rFonts w:ascii="Arial"/>
          <w:sz w:val="14"/>
        </w:rPr>
        <w:t>was awarded Doctorate</w:t>
      </w:r>
      <w:r w:rsidR="006B30DD">
        <w:rPr>
          <w:rFonts w:ascii="Arial"/>
          <w:sz w:val="14"/>
        </w:rPr>
        <w:t xml:space="preserve"> in Pharm</w:t>
      </w:r>
      <w:r w:rsidR="00C00612">
        <w:rPr>
          <w:rFonts w:ascii="Arial"/>
          <w:sz w:val="14"/>
        </w:rPr>
        <w:t>a</w:t>
      </w:r>
      <w:r w:rsidR="006B30DD">
        <w:rPr>
          <w:rFonts w:ascii="Arial"/>
          <w:sz w:val="14"/>
        </w:rPr>
        <w:t>ceutics</w:t>
      </w:r>
      <w:r w:rsidR="004D0E70">
        <w:rPr>
          <w:rFonts w:ascii="Arial"/>
          <w:sz w:val="14"/>
        </w:rPr>
        <w:t xml:space="preserve"> from University of Kashmir during the year 2010 </w:t>
      </w:r>
      <w:r w:rsidR="006B30DD">
        <w:rPr>
          <w:rFonts w:ascii="Arial"/>
          <w:sz w:val="14"/>
        </w:rPr>
        <w:t xml:space="preserve"> in the field </w:t>
      </w:r>
      <w:r w:rsidR="00C00612">
        <w:rPr>
          <w:rFonts w:ascii="Arial"/>
          <w:sz w:val="14"/>
        </w:rPr>
        <w:t xml:space="preserve">of </w:t>
      </w:r>
      <w:r w:rsidR="006B30DD">
        <w:rPr>
          <w:rFonts w:ascii="Arial"/>
          <w:sz w:val="14"/>
        </w:rPr>
        <w:t>Novel Drug delivery systems</w:t>
      </w:r>
      <w:r w:rsidR="004D0E70">
        <w:rPr>
          <w:rFonts w:ascii="Arial"/>
          <w:sz w:val="14"/>
        </w:rPr>
        <w:t>. Dr Khan has expertise in</w:t>
      </w:r>
      <w:r w:rsidR="006B30DD">
        <w:rPr>
          <w:rFonts w:ascii="Arial"/>
          <w:sz w:val="14"/>
        </w:rPr>
        <w:t xml:space="preserve"> </w:t>
      </w:r>
      <w:r w:rsidR="004D0E70">
        <w:rPr>
          <w:rFonts w:ascii="Arial"/>
          <w:sz w:val="14"/>
        </w:rPr>
        <w:t>formulation of hydrodynamically balanced drug delivery systems</w:t>
      </w:r>
      <w:r w:rsidR="006B30DD">
        <w:rPr>
          <w:rFonts w:ascii="Arial"/>
          <w:sz w:val="14"/>
        </w:rPr>
        <w:t xml:space="preserve"> </w:t>
      </w:r>
      <w:r w:rsidR="004D0E70">
        <w:rPr>
          <w:rFonts w:ascii="Arial"/>
          <w:sz w:val="14"/>
        </w:rPr>
        <w:t>in the form of single unit or multiple units</w:t>
      </w:r>
      <w:r w:rsidR="00C00612">
        <w:rPr>
          <w:rFonts w:ascii="Arial"/>
          <w:sz w:val="14"/>
        </w:rPr>
        <w:t xml:space="preserve">. </w:t>
      </w:r>
      <w:r w:rsidR="004D0E70">
        <w:rPr>
          <w:rFonts w:ascii="Arial"/>
          <w:sz w:val="14"/>
        </w:rPr>
        <w:t xml:space="preserve">Presently </w:t>
      </w:r>
      <w:r w:rsidR="00C00612">
        <w:rPr>
          <w:rFonts w:ascii="Arial"/>
          <w:sz w:val="14"/>
        </w:rPr>
        <w:t xml:space="preserve">Dr Nisar </w:t>
      </w:r>
      <w:r w:rsidR="004D0E70">
        <w:rPr>
          <w:rFonts w:ascii="Arial"/>
          <w:sz w:val="14"/>
        </w:rPr>
        <w:t xml:space="preserve">has 6 PhD scholars under his supervision and has produced </w:t>
      </w:r>
      <w:r w:rsidR="00C00612">
        <w:rPr>
          <w:rFonts w:ascii="Arial"/>
          <w:sz w:val="14"/>
        </w:rPr>
        <w:t xml:space="preserve">as many as 14 M. Pharm. students till date. </w:t>
      </w:r>
      <w:r w:rsidR="004D0E70">
        <w:rPr>
          <w:rFonts w:ascii="Arial"/>
          <w:sz w:val="14"/>
        </w:rPr>
        <w:t xml:space="preserve">Recently, he has been appointed as Deputy Coordinator SAP phase II awarded to Department of pharmaceutical sciences by the UGC. Besides expertise in the Gastroretentive drug delivery systems (GRDDS) Dr. Nisar has also worked in the </w:t>
      </w:r>
      <w:r w:rsidR="00C21C55">
        <w:rPr>
          <w:rFonts w:ascii="Arial"/>
          <w:sz w:val="14"/>
        </w:rPr>
        <w:t xml:space="preserve">field of solid dispersion technology, hydrotropic solubilization and cosmetology. </w:t>
      </w:r>
    </w:p>
    <w:p w:rsidR="00C00612" w:rsidRDefault="00C00612" w:rsidP="00516C31">
      <w:pPr>
        <w:spacing w:before="41" w:line="154" w:lineRule="exact"/>
        <w:ind w:left="213" w:right="231"/>
        <w:jc w:val="both"/>
        <w:rPr>
          <w:rFonts w:ascii="Arial"/>
          <w:sz w:val="14"/>
        </w:rPr>
      </w:pPr>
    </w:p>
    <w:p w:rsidR="00516C31" w:rsidRDefault="009078B4" w:rsidP="00BE7136">
      <w:pPr>
        <w:spacing w:before="62"/>
        <w:ind w:right="4235"/>
        <w:rPr>
          <w:rFonts w:ascii="Arial"/>
          <w:sz w:val="14"/>
        </w:rPr>
      </w:pPr>
      <w:r>
        <w:rPr>
          <w:rFonts w:ascii="Arial"/>
          <w:sz w:val="14"/>
        </w:rPr>
        <w:t xml:space="preserve">     </w:t>
      </w:r>
      <w:hyperlink r:id="rId13" w:history="1">
        <w:r w:rsidRPr="0010403F">
          <w:rPr>
            <w:rStyle w:val="Hyperlink"/>
            <w:rFonts w:ascii="Arial"/>
            <w:sz w:val="14"/>
          </w:rPr>
          <w:t>Email: nakhan2008@gmail.com</w:t>
        </w:r>
      </w:hyperlink>
      <w:r w:rsidR="00BE7136">
        <w:rPr>
          <w:rFonts w:ascii="Arial"/>
          <w:sz w:val="14"/>
        </w:rPr>
        <w:t xml:space="preserve"> </w:t>
      </w:r>
    </w:p>
    <w:p w:rsidR="00AE3E37" w:rsidRPr="00284593" w:rsidRDefault="00790236" w:rsidP="00284593">
      <w:pPr>
        <w:pStyle w:val="BodyText"/>
        <w:spacing w:before="2"/>
        <w:rPr>
          <w:rFonts w:ascii="Arial"/>
          <w:sz w:val="19"/>
        </w:rPr>
        <w:sectPr w:rsidR="00AE3E37" w:rsidRPr="00284593">
          <w:headerReference w:type="default" r:id="rId14"/>
          <w:footerReference w:type="default" r:id="rId15"/>
          <w:type w:val="continuous"/>
          <w:pgSz w:w="11910" w:h="16840"/>
          <w:pgMar w:top="1740" w:right="600" w:bottom="840" w:left="620" w:header="541" w:footer="642" w:gutter="0"/>
          <w:cols w:space="720"/>
        </w:sectPr>
      </w:pPr>
      <w:r w:rsidRPr="00790236">
        <w:rPr>
          <w:noProof/>
          <w:lang w:val="en-IN" w:eastAsia="en-IN"/>
        </w:rPr>
        <w:pict>
          <v:line id="_x0000_s1034" style="position:absolute;z-index:25166336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183DC7" w:rsidRDefault="00AE3E37">
      <w:pPr>
        <w:spacing w:line="200" w:lineRule="exact"/>
        <w:jc w:val="both"/>
        <w:rPr>
          <w:rFonts w:ascii="Calibri" w:hAnsi="Calibri"/>
          <w:b/>
        </w:rPr>
        <w:sectPr w:rsidR="00AE3E37" w:rsidRPr="00183DC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516C31" w:rsidRDefault="00516C31">
      <w:pPr>
        <w:pStyle w:val="BodyText"/>
        <w:spacing w:before="3"/>
        <w:rPr>
          <w:rFonts w:ascii="Minion Pro"/>
          <w:sz w:val="26"/>
        </w:rPr>
      </w:pPr>
    </w:p>
    <w:sectPr w:rsidR="00516C3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F56" w:rsidRDefault="00786F56">
      <w:r>
        <w:separator/>
      </w:r>
    </w:p>
  </w:endnote>
  <w:endnote w:type="continuationSeparator" w:id="1">
    <w:p w:rsidR="00786F56" w:rsidRDefault="00786F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4"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_x0000_s4116" type="#_x0000_t202" style="position:absolute;margin-left:35pt;margin-top:798.8pt;width:168.2pt;height:19.6pt;z-index:-251663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B55B4" w:rsidRPr="005B3A56" w:rsidRDefault="004B55B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B55B4" w:rsidRPr="005B3A56" w:rsidRDefault="004B55B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90236">
      <w:rPr>
        <w:noProof/>
        <w:lang w:val="en-IN" w:eastAsia="en-IN"/>
      </w:rPr>
      <w:pict>
        <v:shape id="_x0000_s4117" type="#_x0000_t202" style="position:absolute;margin-left:252.1pt;margin-top:799.05pt;width:91.9pt;height:24.95pt;z-index:-251662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B55B4" w:rsidRPr="005B3A56" w:rsidRDefault="004B55B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B55B4" w:rsidRPr="005B3A56" w:rsidRDefault="004B55B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90236">
      <w:rPr>
        <w:noProof/>
        <w:lang w:val="en-IN" w:eastAsia="en-IN"/>
      </w:rPr>
      <w:pict>
        <v:shape id="_x0000_s4118" type="#_x0000_t202" style="position:absolute;margin-left:468.9pt;margin-top:798.8pt;width:91.4pt;height:26.05pt;z-index:-25166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B55B4" w:rsidRPr="005B3A56" w:rsidRDefault="004B55B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B55B4" w:rsidRPr="005B3A56" w:rsidRDefault="004B55B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31"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_x0000_s4111" type="#_x0000_t202" style="position:absolute;margin-left:35pt;margin-top:798.8pt;width:168.2pt;height:19.6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16C31" w:rsidRPr="005B3A56" w:rsidRDefault="00516C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16C31" w:rsidRPr="005B3A56" w:rsidRDefault="00516C31">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90236">
      <w:rPr>
        <w:noProof/>
        <w:lang w:val="en-IN" w:eastAsia="en-IN"/>
      </w:rPr>
      <w:pict>
        <v:shape id="_x0000_s4112" type="#_x0000_t202" style="position:absolute;margin-left:252.1pt;margin-top:799.05pt;width:91.9pt;height:24.95pt;z-index:-251652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16C31" w:rsidRPr="005B3A56" w:rsidRDefault="00516C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16C31" w:rsidRPr="005B3A56" w:rsidRDefault="00516C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90236">
      <w:rPr>
        <w:noProof/>
        <w:lang w:val="en-IN" w:eastAsia="en-IN"/>
      </w:rPr>
      <w:pict>
        <v:shape id="_x0000_s4113" type="#_x0000_t202" style="position:absolute;margin-left:468.9pt;margin-top:798.8pt;width:91.4pt;height:26.05pt;z-index:-251651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16C31" w:rsidRPr="005B3A56" w:rsidRDefault="00516C3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516C31" w:rsidRPr="005B3A56" w:rsidRDefault="00516C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90236">
      <w:rPr>
        <w:noProof/>
        <w:lang w:val="en-IN" w:eastAsia="en-IN"/>
      </w:rPr>
      <w:pict>
        <v:shape id="Text Box 2" o:spid="_x0000_s4098"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90236">
      <w:rPr>
        <w:noProof/>
        <w:lang w:val="en-IN" w:eastAsia="en-IN"/>
      </w:rPr>
      <w:pict>
        <v:shape id="Text Box 1" o:spid="_x0000_s4097"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F56" w:rsidRDefault="00786F56">
      <w:r>
        <w:separator/>
      </w:r>
    </w:p>
  </w:footnote>
  <w:footnote w:type="continuationSeparator" w:id="1">
    <w:p w:rsidR="00786F56" w:rsidRDefault="00786F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4"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_x0000_s4114" type="#_x0000_t202" style="position:absolute;margin-left:416pt;margin-top:26.05pt;width:144.3pt;height:17.4pt;z-index:-251665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B55B4" w:rsidRPr="005B3A56" w:rsidRDefault="004B55B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90236">
      <w:rPr>
        <w:noProof/>
        <w:lang w:val="en-IN" w:eastAsia="en-IN"/>
      </w:rPr>
      <w:pict>
        <v:shape id="_x0000_s4115" type="#_x0000_t202" style="position:absolute;margin-left:35pt;margin-top:48.3pt;width:515.95pt;height:40.1pt;z-index:-251664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B55B4" w:rsidRPr="005B3A56" w:rsidRDefault="004B55B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B55B4" w:rsidRPr="005B3A56" w:rsidRDefault="004B55B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31"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_x0000_s4109" type="#_x0000_t202" style="position:absolute;margin-left:416pt;margin-top:26.05pt;width:144.3pt;height:17.4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16C31" w:rsidRPr="005B3A56" w:rsidRDefault="00516C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90236">
      <w:rPr>
        <w:noProof/>
        <w:lang w:val="en-IN" w:eastAsia="en-IN"/>
      </w:rPr>
      <w:pict>
        <v:shape id="_x0000_s4110" type="#_x0000_t202" style="position:absolute;margin-left:35pt;margin-top:48.3pt;width:515.95pt;height:40.1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16C31" w:rsidRPr="005B3A56" w:rsidRDefault="00516C3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16C31" w:rsidRPr="005B3A56" w:rsidRDefault="00516C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0236">
    <w:pPr>
      <w:pStyle w:val="BodyText"/>
      <w:spacing w:line="14" w:lineRule="auto"/>
      <w:rPr>
        <w:sz w:val="20"/>
      </w:rPr>
    </w:pPr>
    <w:r w:rsidRPr="0079023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90236">
      <w:rPr>
        <w:noProof/>
        <w:lang w:val="en-IN" w:eastAsia="en-IN"/>
      </w:rPr>
      <w:pict>
        <v:shape id="Text Box 4" o:spid="_x0000_s4100"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C3B19"/>
    <w:rsid w:val="000E2911"/>
    <w:rsid w:val="001263DF"/>
    <w:rsid w:val="001349C6"/>
    <w:rsid w:val="00183DC7"/>
    <w:rsid w:val="002249F8"/>
    <w:rsid w:val="002455EC"/>
    <w:rsid w:val="00284593"/>
    <w:rsid w:val="00292ED9"/>
    <w:rsid w:val="00404E5B"/>
    <w:rsid w:val="00414F7B"/>
    <w:rsid w:val="004355DC"/>
    <w:rsid w:val="004749B4"/>
    <w:rsid w:val="00474ED2"/>
    <w:rsid w:val="00494130"/>
    <w:rsid w:val="004B552D"/>
    <w:rsid w:val="004B55B4"/>
    <w:rsid w:val="004D0E70"/>
    <w:rsid w:val="004D297E"/>
    <w:rsid w:val="004F3523"/>
    <w:rsid w:val="0050019C"/>
    <w:rsid w:val="00516C31"/>
    <w:rsid w:val="005973B9"/>
    <w:rsid w:val="005B3A56"/>
    <w:rsid w:val="006060CE"/>
    <w:rsid w:val="00606651"/>
    <w:rsid w:val="0063497F"/>
    <w:rsid w:val="006B30DD"/>
    <w:rsid w:val="006E65A9"/>
    <w:rsid w:val="00724C47"/>
    <w:rsid w:val="00786F56"/>
    <w:rsid w:val="00790236"/>
    <w:rsid w:val="007A6245"/>
    <w:rsid w:val="007D572A"/>
    <w:rsid w:val="007E4F27"/>
    <w:rsid w:val="008145BD"/>
    <w:rsid w:val="00873DF0"/>
    <w:rsid w:val="008756E6"/>
    <w:rsid w:val="00885BD0"/>
    <w:rsid w:val="008A08B6"/>
    <w:rsid w:val="008A3B9A"/>
    <w:rsid w:val="009078B4"/>
    <w:rsid w:val="0092739E"/>
    <w:rsid w:val="009559B1"/>
    <w:rsid w:val="009B2D44"/>
    <w:rsid w:val="00A07E82"/>
    <w:rsid w:val="00A9710C"/>
    <w:rsid w:val="00AB1B67"/>
    <w:rsid w:val="00AE3E37"/>
    <w:rsid w:val="00B21A57"/>
    <w:rsid w:val="00B46777"/>
    <w:rsid w:val="00B5585D"/>
    <w:rsid w:val="00B952EC"/>
    <w:rsid w:val="00BA198A"/>
    <w:rsid w:val="00BE7136"/>
    <w:rsid w:val="00C00612"/>
    <w:rsid w:val="00C05E8E"/>
    <w:rsid w:val="00C21C55"/>
    <w:rsid w:val="00C33602"/>
    <w:rsid w:val="00CD6F55"/>
    <w:rsid w:val="00DE3104"/>
    <w:rsid w:val="00E26B10"/>
    <w:rsid w:val="00F61BAF"/>
    <w:rsid w:val="00F72EEA"/>
    <w:rsid w:val="00F84CAE"/>
    <w:rsid w:val="00FA3CC1"/>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E65A9"/>
    <w:pPr>
      <w:widowControl/>
      <w:autoSpaceDE w:val="0"/>
      <w:autoSpaceDN w:val="0"/>
      <w:adjustRightInd w:val="0"/>
    </w:pPr>
    <w:rPr>
      <w:rFonts w:ascii="Times New Roman" w:hAnsi="Times New Roman" w:cs="Times New Roman"/>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mail:%20nakhan2008@gmail.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30</cp:revision>
  <dcterms:created xsi:type="dcterms:W3CDTF">2016-12-06T11:19:00Z</dcterms:created>
  <dcterms:modified xsi:type="dcterms:W3CDTF">2017-05-29T12:37:00Z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