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776" w:rsidRDefault="00550DAD" w:rsidP="005B6776">
      <w:pPr>
        <w:pStyle w:val="Heading1"/>
        <w:spacing w:before="170"/>
        <w:ind w:left="0"/>
        <w:rPr>
          <w:color w:val="337AB7"/>
        </w:rPr>
      </w:pPr>
      <w:r>
        <w:rPr>
          <w:color w:val="337AB7"/>
        </w:rPr>
        <w:t>Nanotechnology-</w:t>
      </w:r>
      <w:bookmarkStart w:id="0" w:name="_GoBack"/>
      <w:bookmarkEnd w:id="0"/>
      <w:r w:rsidR="005B6776" w:rsidRPr="005B6776">
        <w:rPr>
          <w:color w:val="337AB7"/>
        </w:rPr>
        <w:t>based Combinational drug delivery</w:t>
      </w:r>
      <w:r>
        <w:rPr>
          <w:color w:val="337AB7"/>
        </w:rPr>
        <w:t xml:space="preserve"> systems</w:t>
      </w:r>
      <w:r w:rsidR="005B6776" w:rsidRPr="005B6776">
        <w:rPr>
          <w:color w:val="337AB7"/>
        </w:rPr>
        <w:t xml:space="preserve"> for breast cancer treatment</w:t>
      </w:r>
    </w:p>
    <w:p w:rsidR="005B6776" w:rsidRPr="005B6776" w:rsidRDefault="005B6776" w:rsidP="005B6776">
      <w:pPr>
        <w:pStyle w:val="Heading1"/>
        <w:spacing w:before="170"/>
        <w:ind w:left="0"/>
        <w:rPr>
          <w:color w:val="337AB7"/>
        </w:rPr>
      </w:pPr>
    </w:p>
    <w:p w:rsidR="005B6776" w:rsidRPr="00177B95" w:rsidRDefault="005B6776" w:rsidP="005B6776">
      <w:pPr>
        <w:spacing w:after="160" w:line="192" w:lineRule="auto"/>
        <w:jc w:val="both"/>
        <w:rPr>
          <w:rFonts w:asciiTheme="majorBidi" w:hAnsiTheme="majorBidi" w:cstheme="majorBidi"/>
          <w:sz w:val="20"/>
          <w:szCs w:val="20"/>
          <w:shd w:val="clear" w:color="auto" w:fill="FFFFFF"/>
        </w:rPr>
      </w:pPr>
      <w:proofErr w:type="spellStart"/>
      <w:r w:rsidRPr="00177B95">
        <w:rPr>
          <w:rFonts w:asciiTheme="majorBidi" w:hAnsiTheme="majorBidi" w:cstheme="majorBidi"/>
          <w:sz w:val="20"/>
          <w:szCs w:val="20"/>
          <w:shd w:val="clear" w:color="auto" w:fill="FFFFFF"/>
        </w:rPr>
        <w:t>Jafari</w:t>
      </w:r>
      <w:proofErr w:type="spellEnd"/>
      <w:r w:rsidRPr="00177B95">
        <w:rPr>
          <w:rFonts w:asciiTheme="majorBidi" w:hAnsiTheme="majorBidi" w:cstheme="majorBidi"/>
          <w:sz w:val="20"/>
          <w:szCs w:val="20"/>
          <w:shd w:val="clear" w:color="auto" w:fill="FFFFFF"/>
        </w:rPr>
        <w:t xml:space="preserve"> S., </w:t>
      </w:r>
      <w:r w:rsidRPr="00177B95">
        <w:rPr>
          <w:rFonts w:asciiTheme="majorBidi" w:hAnsiTheme="majorBidi" w:cstheme="majorBidi"/>
          <w:sz w:val="20"/>
          <w:szCs w:val="20"/>
        </w:rPr>
        <w:t>Chemistry Department, Faculty of Science, IKIU, Qazvin, Iran</w:t>
      </w:r>
    </w:p>
    <w:p w:rsidR="005B6776" w:rsidRPr="00177B95" w:rsidRDefault="005B6776" w:rsidP="005B6776">
      <w:pPr>
        <w:spacing w:line="192" w:lineRule="auto"/>
        <w:jc w:val="both"/>
        <w:rPr>
          <w:rFonts w:asciiTheme="majorBidi" w:hAnsiTheme="majorBidi" w:cstheme="majorBidi"/>
          <w:sz w:val="20"/>
          <w:szCs w:val="20"/>
          <w:shd w:val="clear" w:color="auto" w:fill="FFFFFF"/>
        </w:rPr>
      </w:pPr>
      <w:proofErr w:type="spellStart"/>
      <w:r w:rsidRPr="00177B95">
        <w:rPr>
          <w:rFonts w:asciiTheme="majorBidi" w:hAnsiTheme="majorBidi" w:cstheme="majorBidi"/>
          <w:sz w:val="20"/>
          <w:szCs w:val="20"/>
          <w:shd w:val="clear" w:color="auto" w:fill="FFFFFF"/>
        </w:rPr>
        <w:t>Salehi</w:t>
      </w:r>
      <w:proofErr w:type="spellEnd"/>
      <w:r w:rsidRPr="00177B95">
        <w:rPr>
          <w:rFonts w:asciiTheme="majorBidi" w:hAnsiTheme="majorBidi" w:cstheme="majorBidi"/>
          <w:sz w:val="20"/>
          <w:szCs w:val="20"/>
          <w:shd w:val="clear" w:color="auto" w:fill="FFFFFF"/>
        </w:rPr>
        <w:t xml:space="preserve"> R.,</w:t>
      </w:r>
      <w:r w:rsidRPr="00177B95">
        <w:rPr>
          <w:rFonts w:asciiTheme="majorBidi" w:hAnsiTheme="majorBidi" w:cstheme="majorBidi"/>
          <w:sz w:val="20"/>
          <w:szCs w:val="20"/>
        </w:rPr>
        <w:t xml:space="preserve"> Drug Applied Research Center, Tabriz University of Medical Sciences, Iran</w:t>
      </w:r>
    </w:p>
    <w:p w:rsidR="005B6776" w:rsidRPr="00177B95" w:rsidRDefault="005B6776" w:rsidP="005B6776">
      <w:pPr>
        <w:spacing w:after="160" w:line="192" w:lineRule="auto"/>
        <w:jc w:val="both"/>
        <w:rPr>
          <w:rFonts w:asciiTheme="majorBidi" w:hAnsiTheme="majorBidi" w:cstheme="majorBidi"/>
          <w:sz w:val="20"/>
          <w:szCs w:val="20"/>
          <w:shd w:val="clear" w:color="auto" w:fill="FFFFFF"/>
        </w:rPr>
      </w:pPr>
      <w:proofErr w:type="spellStart"/>
      <w:r w:rsidRPr="00177B95">
        <w:rPr>
          <w:rFonts w:asciiTheme="majorBidi" w:hAnsiTheme="majorBidi" w:cstheme="majorBidi"/>
          <w:sz w:val="20"/>
          <w:szCs w:val="20"/>
          <w:shd w:val="clear" w:color="auto" w:fill="FFFFFF"/>
        </w:rPr>
        <w:t>Soleimani</w:t>
      </w:r>
      <w:proofErr w:type="spellEnd"/>
      <w:r w:rsidRPr="00177B95">
        <w:rPr>
          <w:rFonts w:asciiTheme="majorBidi" w:hAnsiTheme="majorBidi" w:cstheme="majorBidi"/>
          <w:sz w:val="20"/>
          <w:szCs w:val="20"/>
          <w:shd w:val="clear" w:color="auto" w:fill="FFFFFF"/>
        </w:rPr>
        <w:t xml:space="preserve"> M.,</w:t>
      </w:r>
      <w:r w:rsidRPr="00177B95">
        <w:rPr>
          <w:rFonts w:asciiTheme="majorBidi" w:hAnsiTheme="majorBidi" w:cstheme="majorBidi"/>
          <w:sz w:val="20"/>
          <w:szCs w:val="20"/>
        </w:rPr>
        <w:t xml:space="preserve"> Chemistry Department, Faculty of Science, IKIU, Qazvin, Iran</w:t>
      </w:r>
    </w:p>
    <w:p w:rsidR="005B6776" w:rsidRDefault="005B6776" w:rsidP="00494130">
      <w:pPr>
        <w:pStyle w:val="Heading1"/>
        <w:spacing w:before="170"/>
        <w:ind w:left="0"/>
        <w:rPr>
          <w:color w:val="337AB7"/>
        </w:rPr>
      </w:pPr>
    </w:p>
    <w:p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93F70" w:rsidRPr="006E6B49" w:rsidRDefault="00493F70" w:rsidP="00493F70">
      <w:pPr>
        <w:pStyle w:val="BodyText"/>
        <w:spacing w:before="90" w:line="280" w:lineRule="auto"/>
        <w:ind w:left="100"/>
        <w:jc w:val="both"/>
      </w:pPr>
    </w:p>
    <w:p w:rsidR="00493F70" w:rsidRPr="006E6B49" w:rsidRDefault="00493F70" w:rsidP="00493F70">
      <w:pPr>
        <w:pStyle w:val="BodyText"/>
        <w:spacing w:before="90" w:line="280" w:lineRule="auto"/>
        <w:ind w:left="100"/>
        <w:jc w:val="both"/>
      </w:pPr>
      <w:r w:rsidRPr="006E6B49">
        <w:t xml:space="preserve">Breast cancer is arguably the most common cancer faced by females today and the second most common cause of death in women in the world.  Indeed, this illness has garnered much attention in the field of pharmacology research.  Modern chemotherapeutic anticancer treatments have come a long way in the fight against breast cancer, thus bringing science closer to a cure.  However, the nature of these drugs is to attack both cancerous and non-cancerous cells at the same time.  With this current approach, a patient’s health, in addition to the cancer, can succumb to chemotherapies. To counter this problem, and increase the efficacy of cancer treatment, methods to customize therapeutic anti-cancer drugs have emerged in the form of targeted drug delivery systems.  In our studies, we present a method of a drug delivery using magnetic polyurethane.   Here, we describe a biocompatible magnetic polymer that can be used to direct chemotherapeutic drugs to cancerous regions in a body using an external magnet.  We show how a co precipitation method with magnetic </w:t>
      </w:r>
      <w:proofErr w:type="spellStart"/>
      <w:r w:rsidRPr="006E6B49">
        <w:t>nano</w:t>
      </w:r>
      <w:proofErr w:type="spellEnd"/>
      <w:r w:rsidRPr="006E6B49">
        <w:t>-particles (MNPs) followed by a silica coating process and an in situ polymerization yields the magnetic polyurethanes used in this study. Verification of synthesis for the drug carrier is shown using the characterization techniques of scanning electron microscopy (SEM), Fourier transform infrared spectroscopy (FTIR), thermal gravimetric analysis (TGA), and a vibrating sample magnetometer (VSM).  The efficiency with drug loading and release of chemotherapeutic medications to the synthesized magnetic polyurethanes is monitored using an HPLC-UV detector.  Our findings present a new biocompatible drug delivery system with a high capacity for loading and directing tow various chemotherapeutic drugs simultaneously to cancer sites with little to no toxicity to the surrounding non-cancerous cells. </w:t>
      </w:r>
    </w:p>
    <w:p w:rsidR="00AE3E37" w:rsidRDefault="00A9710C" w:rsidP="00493F70">
      <w:pPr>
        <w:pStyle w:val="Heading3"/>
        <w:spacing w:before="74"/>
      </w:pPr>
      <w:r>
        <w:rPr>
          <w:b w:val="0"/>
        </w:rPr>
        <w:br w:type="column"/>
      </w:r>
    </w:p>
    <w:p w:rsidR="00493F70" w:rsidRDefault="00493F70" w:rsidP="00493F70">
      <w:pPr>
        <w:pStyle w:val="Heading3"/>
        <w:spacing w:before="74"/>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Recent Publications (minimum 5)</w:t>
      </w:r>
    </w:p>
    <w:p w:rsidR="00493F70" w:rsidRPr="004F6ED5" w:rsidRDefault="00493F70" w:rsidP="00493F70">
      <w:pPr>
        <w:pStyle w:val="BodyText"/>
        <w:numPr>
          <w:ilvl w:val="0"/>
          <w:numId w:val="4"/>
        </w:numPr>
        <w:spacing w:before="90" w:line="280" w:lineRule="auto"/>
        <w:jc w:val="both"/>
      </w:pPr>
      <w:r w:rsidRPr="004F6ED5">
        <w:t xml:space="preserve">Barbara Haley, M.D., Eugene </w:t>
      </w:r>
      <w:proofErr w:type="spellStart"/>
      <w:r w:rsidRPr="004F6ED5">
        <w:t>Frenkel</w:t>
      </w:r>
      <w:proofErr w:type="spellEnd"/>
      <w:r w:rsidRPr="004F6ED5">
        <w:t>, M.D. 2008, Urologic Oncology: Seminars and Original Investigations, 26: 57–64</w:t>
      </w:r>
    </w:p>
    <w:p w:rsidR="00493F70" w:rsidRPr="004F6ED5" w:rsidRDefault="00493F70" w:rsidP="00493F70">
      <w:pPr>
        <w:pStyle w:val="BodyText"/>
        <w:numPr>
          <w:ilvl w:val="0"/>
          <w:numId w:val="4"/>
        </w:numPr>
        <w:spacing w:before="90" w:line="280" w:lineRule="auto"/>
        <w:jc w:val="both"/>
      </w:pPr>
      <w:proofErr w:type="spellStart"/>
      <w:r w:rsidRPr="004F6ED5">
        <w:t>Priyambada</w:t>
      </w:r>
      <w:proofErr w:type="spellEnd"/>
      <w:r w:rsidRPr="004F6ED5">
        <w:t xml:space="preserve"> P., </w:t>
      </w:r>
      <w:proofErr w:type="spellStart"/>
      <w:r w:rsidRPr="004F6ED5">
        <w:t>Chandana</w:t>
      </w:r>
      <w:proofErr w:type="spellEnd"/>
      <w:r w:rsidRPr="004F6ED5">
        <w:t xml:space="preserve"> M. and </w:t>
      </w:r>
      <w:proofErr w:type="spellStart"/>
      <w:r w:rsidRPr="004F6ED5">
        <w:t>Sanjeeb</w:t>
      </w:r>
      <w:proofErr w:type="spellEnd"/>
      <w:r w:rsidRPr="004F6ED5">
        <w:t xml:space="preserve"> K. S., 2012, Drug discovery today, 17: 1044-1052.</w:t>
      </w:r>
    </w:p>
    <w:p w:rsidR="00493F70" w:rsidRPr="004F6ED5" w:rsidRDefault="00493F70" w:rsidP="00493F70">
      <w:pPr>
        <w:pStyle w:val="BodyText"/>
        <w:numPr>
          <w:ilvl w:val="0"/>
          <w:numId w:val="4"/>
        </w:numPr>
        <w:spacing w:before="90" w:line="280" w:lineRule="auto"/>
        <w:jc w:val="both"/>
      </w:pPr>
      <w:r w:rsidRPr="004F6ED5">
        <w:t xml:space="preserve">Abbas M., Mehdi B. and Mohammad B., 2013, </w:t>
      </w:r>
      <w:proofErr w:type="spellStart"/>
      <w:r w:rsidRPr="004F6ED5">
        <w:t>Polym</w:t>
      </w:r>
      <w:proofErr w:type="spellEnd"/>
      <w:r w:rsidRPr="004F6ED5">
        <w:t>. Adv. Technol., 24 978</w:t>
      </w:r>
      <w:r w:rsidRPr="004F6ED5">
        <w:rPr>
          <w:rFonts w:hint="eastAsia"/>
        </w:rPr>
        <w:t>–</w:t>
      </w:r>
      <w:r w:rsidRPr="004F6ED5">
        <w:t>985.</w:t>
      </w:r>
    </w:p>
    <w:p w:rsidR="00493F70" w:rsidRPr="004F6ED5" w:rsidRDefault="00493F70" w:rsidP="00493F70">
      <w:pPr>
        <w:pStyle w:val="BodyText"/>
        <w:numPr>
          <w:ilvl w:val="0"/>
          <w:numId w:val="4"/>
        </w:numPr>
        <w:spacing w:before="90" w:line="280" w:lineRule="auto"/>
        <w:jc w:val="both"/>
      </w:pPr>
      <w:r w:rsidRPr="004F6ED5">
        <w:t xml:space="preserve">Manuel A., Rodrigo F. P., M. Ricardo I., and </w:t>
      </w:r>
      <w:proofErr w:type="spellStart"/>
      <w:r w:rsidRPr="004F6ED5">
        <w:t>Jes</w:t>
      </w:r>
      <w:proofErr w:type="spellEnd"/>
      <w:r w:rsidRPr="004F6ED5">
        <w:t xml:space="preserve"> S., 2007, </w:t>
      </w:r>
      <w:proofErr w:type="spellStart"/>
      <w:r w:rsidRPr="004F6ED5">
        <w:t>nanotoday</w:t>
      </w:r>
      <w:proofErr w:type="spellEnd"/>
      <w:r w:rsidRPr="004F6ED5">
        <w:t>, 2: 22-37.</w:t>
      </w:r>
    </w:p>
    <w:p w:rsidR="00493F70" w:rsidRPr="004F6ED5" w:rsidRDefault="00493F70" w:rsidP="00493F70">
      <w:pPr>
        <w:pStyle w:val="BodyText"/>
        <w:numPr>
          <w:ilvl w:val="0"/>
          <w:numId w:val="4"/>
        </w:numPr>
        <w:spacing w:before="90" w:line="280" w:lineRule="auto"/>
        <w:jc w:val="both"/>
      </w:pPr>
      <w:proofErr w:type="spellStart"/>
      <w:r w:rsidRPr="004F6ED5">
        <w:t>Cem</w:t>
      </w:r>
      <w:proofErr w:type="spellEnd"/>
      <w:r w:rsidRPr="004F6ED5">
        <w:t xml:space="preserve"> </w:t>
      </w:r>
      <w:proofErr w:type="spellStart"/>
      <w:r w:rsidRPr="004F6ED5">
        <w:t>Varan</w:t>
      </w:r>
      <w:proofErr w:type="spellEnd"/>
      <w:r w:rsidRPr="004F6ED5">
        <w:t xml:space="preserve"> </w:t>
      </w:r>
      <w:r w:rsidRPr="004F6ED5">
        <w:rPr>
          <w:rFonts w:hint="cs"/>
        </w:rPr>
        <w:t>•</w:t>
      </w:r>
      <w:r w:rsidRPr="004F6ED5">
        <w:t xml:space="preserve"> </w:t>
      </w:r>
      <w:proofErr w:type="spellStart"/>
      <w:r w:rsidRPr="004F6ED5">
        <w:t>Erem</w:t>
      </w:r>
      <w:proofErr w:type="spellEnd"/>
      <w:r w:rsidRPr="004F6ED5">
        <w:t xml:space="preserve"> </w:t>
      </w:r>
      <w:proofErr w:type="spellStart"/>
      <w:r w:rsidRPr="004F6ED5">
        <w:t>Bilensoy</w:t>
      </w:r>
      <w:proofErr w:type="spellEnd"/>
      <w:r w:rsidRPr="004F6ED5">
        <w:t xml:space="preserve">, 2014, J </w:t>
      </w:r>
      <w:proofErr w:type="spellStart"/>
      <w:r w:rsidRPr="004F6ED5">
        <w:t>Incl</w:t>
      </w:r>
      <w:proofErr w:type="spellEnd"/>
      <w:r w:rsidRPr="004F6ED5">
        <w:t xml:space="preserve"> </w:t>
      </w:r>
      <w:proofErr w:type="spellStart"/>
      <w:r w:rsidRPr="004F6ED5">
        <w:t>Phenom</w:t>
      </w:r>
      <w:proofErr w:type="spellEnd"/>
      <w:r w:rsidRPr="004F6ED5">
        <w:t xml:space="preserve"> </w:t>
      </w:r>
      <w:proofErr w:type="spellStart"/>
      <w:r w:rsidRPr="004F6ED5">
        <w:t>Macrocycl</w:t>
      </w:r>
      <w:proofErr w:type="spellEnd"/>
      <w:r w:rsidRPr="004F6ED5">
        <w:t xml:space="preserve"> </w:t>
      </w:r>
      <w:proofErr w:type="spellStart"/>
      <w:r w:rsidRPr="004F6ED5">
        <w:t>Chem</w:t>
      </w:r>
      <w:proofErr w:type="spellEnd"/>
      <w:r w:rsidRPr="004F6ED5">
        <w:t xml:space="preserve">, 80:9–15. </w:t>
      </w:r>
    </w:p>
    <w:p w:rsidR="00493F70" w:rsidRPr="004F6ED5" w:rsidRDefault="00493F70" w:rsidP="00493F70">
      <w:pPr>
        <w:pStyle w:val="BodyText"/>
        <w:numPr>
          <w:ilvl w:val="0"/>
          <w:numId w:val="4"/>
        </w:numPr>
        <w:spacing w:before="90" w:line="280" w:lineRule="auto"/>
        <w:jc w:val="both"/>
      </w:pPr>
      <w:proofErr w:type="spellStart"/>
      <w:r w:rsidRPr="004F6ED5">
        <w:t>Nikje</w:t>
      </w:r>
      <w:proofErr w:type="spellEnd"/>
      <w:r w:rsidRPr="004F6ED5">
        <w:t xml:space="preserve"> A. &amp; </w:t>
      </w:r>
      <w:proofErr w:type="spellStart"/>
      <w:r w:rsidRPr="004F6ED5">
        <w:t>Mazaheri</w:t>
      </w:r>
      <w:proofErr w:type="spellEnd"/>
      <w:r w:rsidRPr="004F6ED5">
        <w:t xml:space="preserve"> Z., 2010, Designed Monomers and Polymers, 13: 249–260.</w:t>
      </w:r>
    </w:p>
    <w:p w:rsidR="00493F70" w:rsidRDefault="00493F70" w:rsidP="00493F70">
      <w:pPr>
        <w:pStyle w:val="BodyText"/>
        <w:numPr>
          <w:ilvl w:val="0"/>
          <w:numId w:val="4"/>
        </w:numPr>
        <w:spacing w:before="90" w:line="280" w:lineRule="auto"/>
        <w:jc w:val="both"/>
      </w:pPr>
      <w:proofErr w:type="spellStart"/>
      <w:r w:rsidRPr="004F6ED5">
        <w:t>Kiasat</w:t>
      </w:r>
      <w:proofErr w:type="spellEnd"/>
      <w:r w:rsidRPr="004F6ED5">
        <w:t xml:space="preserve"> A. R</w:t>
      </w:r>
      <w:proofErr w:type="gramStart"/>
      <w:r w:rsidRPr="004F6ED5">
        <w:t>. ,</w:t>
      </w:r>
      <w:proofErr w:type="gramEnd"/>
      <w:r w:rsidRPr="004F6ED5">
        <w:t xml:space="preserve"> </w:t>
      </w:r>
      <w:proofErr w:type="spellStart"/>
      <w:r w:rsidRPr="004F6ED5">
        <w:t>Nazari</w:t>
      </w:r>
      <w:proofErr w:type="spellEnd"/>
      <w:r w:rsidRPr="004F6ED5">
        <w:t xml:space="preserve"> S., 2012, Journal of Molecular Catalysis A: Chemical 365:80</w:t>
      </w:r>
      <w:r w:rsidRPr="004F6ED5">
        <w:rPr>
          <w:rFonts w:hint="cs"/>
        </w:rPr>
        <w:t>–</w:t>
      </w:r>
      <w:r w:rsidRPr="004F6ED5">
        <w:t xml:space="preserve"> 86</w:t>
      </w:r>
      <w:r w:rsidR="005B6776">
        <w:t>.</w:t>
      </w:r>
    </w:p>
    <w:p w:rsidR="005B6776" w:rsidRPr="005B6776" w:rsidRDefault="005B6776" w:rsidP="005B6776">
      <w:pPr>
        <w:pStyle w:val="BodyText"/>
        <w:numPr>
          <w:ilvl w:val="0"/>
          <w:numId w:val="4"/>
        </w:numPr>
        <w:spacing w:before="90" w:line="280" w:lineRule="auto"/>
        <w:jc w:val="both"/>
        <w:rPr>
          <w:rFonts w:asciiTheme="majorBidi" w:hAnsiTheme="majorBidi" w:cstheme="majorBidi"/>
          <w:sz w:val="28"/>
          <w:szCs w:val="28"/>
          <w:shd w:val="clear" w:color="auto" w:fill="FFFFFF"/>
        </w:rPr>
      </w:pPr>
      <w:proofErr w:type="spellStart"/>
      <w:r w:rsidRPr="005B6776">
        <w:t>Alavi</w:t>
      </w:r>
      <w:proofErr w:type="spellEnd"/>
      <w:r w:rsidRPr="005B6776">
        <w:t xml:space="preserve"> </w:t>
      </w:r>
      <w:proofErr w:type="spellStart"/>
      <w:r w:rsidRPr="005B6776">
        <w:t>Nikje</w:t>
      </w:r>
      <w:proofErr w:type="spellEnd"/>
      <w:r w:rsidRPr="005B6776">
        <w:t xml:space="preserve"> M. M, </w:t>
      </w:r>
      <w:proofErr w:type="spellStart"/>
      <w:r w:rsidRPr="005B6776">
        <w:t>Tamaddoni</w:t>
      </w:r>
      <w:proofErr w:type="spellEnd"/>
      <w:r w:rsidRPr="005B6776">
        <w:t xml:space="preserve"> </w:t>
      </w:r>
      <w:proofErr w:type="spellStart"/>
      <w:r w:rsidRPr="005B6776">
        <w:t>Moghaddam</w:t>
      </w:r>
      <w:proofErr w:type="spellEnd"/>
      <w:r w:rsidRPr="005B6776">
        <w:t xml:space="preserve"> S. , </w:t>
      </w:r>
      <w:proofErr w:type="spellStart"/>
      <w:r w:rsidRPr="005B6776">
        <w:t>Noruzian</w:t>
      </w:r>
      <w:proofErr w:type="spellEnd"/>
      <w:r w:rsidRPr="005B6776">
        <w:t xml:space="preserve"> M., </w:t>
      </w:r>
      <w:proofErr w:type="spellStart"/>
      <w:r w:rsidRPr="005B6776">
        <w:t>Farahmand</w:t>
      </w:r>
      <w:proofErr w:type="spellEnd"/>
      <w:r w:rsidRPr="005B6776">
        <w:t xml:space="preserve"> </w:t>
      </w:r>
      <w:proofErr w:type="spellStart"/>
      <w:r w:rsidRPr="005B6776">
        <w:t>Nejad</w:t>
      </w:r>
      <w:proofErr w:type="spellEnd"/>
      <w:r w:rsidRPr="005B6776">
        <w:t xml:space="preserve"> M. A. , </w:t>
      </w:r>
      <w:proofErr w:type="spellStart"/>
      <w:r w:rsidRPr="005B6776">
        <w:t>Shabani</w:t>
      </w:r>
      <w:proofErr w:type="spellEnd"/>
      <w:r w:rsidRPr="005B6776">
        <w:t xml:space="preserve"> K., </w:t>
      </w:r>
      <w:proofErr w:type="spellStart"/>
      <w:r w:rsidRPr="005B6776">
        <w:t>Haghshenas</w:t>
      </w:r>
      <w:proofErr w:type="spellEnd"/>
      <w:r w:rsidRPr="005B6776">
        <w:t xml:space="preserve"> M.  </w:t>
      </w:r>
      <w:proofErr w:type="gramStart"/>
      <w:r w:rsidRPr="005B6776">
        <w:t>and</w:t>
      </w:r>
      <w:proofErr w:type="gramEnd"/>
      <w:r w:rsidRPr="005B6776">
        <w:t xml:space="preserve"> </w:t>
      </w:r>
      <w:proofErr w:type="spellStart"/>
      <w:r w:rsidRPr="005B6776">
        <w:t>Shakhesi</w:t>
      </w:r>
      <w:proofErr w:type="spellEnd"/>
      <w:r w:rsidRPr="005B6776">
        <w:t xml:space="preserve"> S.</w:t>
      </w:r>
      <w:r w:rsidRPr="005B6776">
        <w:t>,2013,</w:t>
      </w:r>
      <w:r>
        <w:rPr>
          <w:rFonts w:asciiTheme="majorBidi" w:hAnsiTheme="majorBidi" w:cstheme="majorBidi"/>
          <w:sz w:val="28"/>
          <w:szCs w:val="28"/>
          <w:shd w:val="clear" w:color="auto" w:fill="FFFFFF"/>
        </w:rPr>
        <w:t xml:space="preserve"> </w:t>
      </w:r>
      <w:r>
        <w:rPr>
          <w:rFonts w:ascii="AdvTT3713a231" w:eastAsiaTheme="minorHAnsi" w:hAnsi="AdvTT3713a231" w:cs="AdvTT3713a231"/>
          <w:color w:val="131413"/>
          <w:sz w:val="17"/>
          <w:szCs w:val="17"/>
          <w:lang w:bidi="fa-IR"/>
        </w:rPr>
        <w:t xml:space="preserve">Colloid </w:t>
      </w:r>
      <w:proofErr w:type="spellStart"/>
      <w:r>
        <w:rPr>
          <w:rFonts w:ascii="AdvTT3713a231" w:eastAsiaTheme="minorHAnsi" w:hAnsi="AdvTT3713a231" w:cs="AdvTT3713a231"/>
          <w:color w:val="131413"/>
          <w:sz w:val="17"/>
          <w:szCs w:val="17"/>
          <w:lang w:bidi="fa-IR"/>
        </w:rPr>
        <w:t>Polym</w:t>
      </w:r>
      <w:proofErr w:type="spellEnd"/>
      <w:r>
        <w:rPr>
          <w:rFonts w:ascii="AdvTT3713a231" w:eastAsiaTheme="minorHAnsi" w:hAnsi="AdvTT3713a231" w:cs="AdvTT3713a231"/>
          <w:color w:val="131413"/>
          <w:sz w:val="17"/>
          <w:szCs w:val="17"/>
          <w:lang w:bidi="fa-IR"/>
        </w:rPr>
        <w:t xml:space="preserve"> </w:t>
      </w:r>
      <w:proofErr w:type="spellStart"/>
      <w:r>
        <w:rPr>
          <w:rFonts w:ascii="AdvTT3713a231" w:eastAsiaTheme="minorHAnsi" w:hAnsi="AdvTT3713a231" w:cs="AdvTT3713a231"/>
          <w:color w:val="131413"/>
          <w:sz w:val="17"/>
          <w:szCs w:val="17"/>
          <w:lang w:bidi="fa-IR"/>
        </w:rPr>
        <w:t>Sci</w:t>
      </w:r>
      <w:proofErr w:type="spellEnd"/>
      <w:r>
        <w:rPr>
          <w:rFonts w:ascii="AdvTT3713a231" w:eastAsiaTheme="minorHAnsi" w:hAnsi="AdvTT3713a231" w:cs="AdvTT3713a231"/>
          <w:color w:val="131413"/>
          <w:sz w:val="17"/>
          <w:szCs w:val="17"/>
          <w:lang w:bidi="fa-IR"/>
        </w:rPr>
        <w:t>, 1-16.</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3ED2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493F70">
      <w:pPr>
        <w:spacing w:before="92"/>
        <w:ind w:right="4234"/>
        <w:rPr>
          <w:rFonts w:ascii="Arial"/>
        </w:rPr>
      </w:pPr>
      <w:r>
        <w:rPr>
          <w:noProof/>
        </w:rPr>
        <w:t xml:space="preserve">         </w:t>
      </w:r>
      <w:r w:rsidR="00493F70">
        <w:rPr>
          <w:rFonts w:cs="B Lotus" w:hint="cs"/>
          <w:b/>
          <w:bCs/>
          <w:noProof/>
          <w:sz w:val="24"/>
          <w:szCs w:val="24"/>
          <w:lang w:bidi="fa-IR"/>
        </w:rPr>
        <w:drawing>
          <wp:inline distT="0" distB="0" distL="0" distR="0" wp14:anchorId="789B4561" wp14:editId="77C185FB">
            <wp:extent cx="670563" cy="669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426" cy="688117"/>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493F70" w:rsidRPr="004F6ED5" w:rsidRDefault="00493F70" w:rsidP="00493F70">
      <w:pPr>
        <w:pStyle w:val="BodyText"/>
        <w:spacing w:before="90" w:line="280" w:lineRule="auto"/>
        <w:ind w:left="100"/>
        <w:jc w:val="both"/>
      </w:pPr>
      <w:r w:rsidRPr="004F6ED5">
        <w:t xml:space="preserve">Samira </w:t>
      </w:r>
      <w:proofErr w:type="spellStart"/>
      <w:r w:rsidRPr="004F6ED5">
        <w:t>Jafari</w:t>
      </w:r>
      <w:proofErr w:type="spellEnd"/>
      <w:r w:rsidRPr="004F6ED5">
        <w:t> received her master’s degree in analytical chemistry from the University of Tabriz and is currently pursuing her doctorate of chemistry in the analytical area at Imam Khomeini International University.  In addition to her master’s degree, Samira is well travelled in her schooling and as such has acquired a wide range of different chemistry styles.  With this experience, she gleaned and culminated a wide scope of techniques to develop a novel method for targeting various cancers efficiently with relatively low costs as compared to customized patient medicines.  With a generic customized cancer drug delivery system as described in her work, a new field of focus is presented that can make large strides in the fight against breast cancer.</w:t>
      </w:r>
    </w:p>
    <w:p w:rsidR="00493F70" w:rsidRPr="004F6ED5" w:rsidRDefault="00493F70" w:rsidP="00493F70">
      <w:pPr>
        <w:pStyle w:val="BodyText"/>
        <w:spacing w:before="90" w:line="280" w:lineRule="auto"/>
        <w:ind w:left="100"/>
        <w:jc w:val="both"/>
      </w:pPr>
    </w:p>
    <w:p w:rsidR="00AE3E37" w:rsidRDefault="00A9710C">
      <w:pPr>
        <w:spacing w:before="41" w:line="154" w:lineRule="exact"/>
        <w:ind w:left="213" w:right="231"/>
        <w:jc w:val="both"/>
        <w:rPr>
          <w:rFonts w:ascii="Arial"/>
          <w:sz w:val="14"/>
        </w:rPr>
      </w:pPr>
      <w:r>
        <w:rPr>
          <w:rFonts w:ascii="Arial"/>
          <w:sz w:val="14"/>
        </w:rPr>
        <w:t>.</w:t>
      </w:r>
    </w:p>
    <w:p w:rsidR="00AE3E37" w:rsidRPr="00493F70" w:rsidRDefault="00A9710C" w:rsidP="00493F70">
      <w:pPr>
        <w:spacing w:before="62"/>
        <w:ind w:left="4217" w:right="4235"/>
        <w:jc w:val="center"/>
        <w:rPr>
          <w:rFonts w:ascii="Arial"/>
          <w:sz w:val="20"/>
          <w:szCs w:val="20"/>
        </w:rPr>
      </w:pPr>
      <w:r w:rsidRPr="00493F70">
        <w:rPr>
          <w:rFonts w:ascii="Arial"/>
          <w:sz w:val="20"/>
          <w:szCs w:val="20"/>
        </w:rPr>
        <w:t xml:space="preserve">Email: </w:t>
      </w:r>
      <w:r w:rsidR="00493F70" w:rsidRPr="00493F70">
        <w:rPr>
          <w:sz w:val="20"/>
          <w:szCs w:val="20"/>
        </w:rPr>
        <w:t>sjafari.chem@gmail.com</w:t>
      </w:r>
      <w:hyperlink r:id="rId9" w:history="1"/>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rsidSect="005B6776">
          <w:type w:val="continuous"/>
          <w:pgSz w:w="11910" w:h="16840"/>
          <w:pgMar w:top="1741" w:right="601" w:bottom="839" w:left="618"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CE7" w:rsidRDefault="00284CE7">
      <w:r>
        <w:separator/>
      </w:r>
    </w:p>
  </w:endnote>
  <w:endnote w:type="continuationSeparator" w:id="0">
    <w:p w:rsidR="00284CE7" w:rsidRDefault="0028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dvTT3713a231">
    <w:altName w:val="Times New Roman"/>
    <w:panose1 w:val="00000000000000000000"/>
    <w:charset w:val="00"/>
    <w:family w:val="roman"/>
    <w:notTrueType/>
    <w:pitch w:val="default"/>
    <w:sig w:usb0="00000003" w:usb1="00000000" w:usb2="00000000" w:usb3="00000000" w:csb0="00000001" w:csb1="00000000"/>
  </w:font>
  <w:font w:name="B Lotus">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5B6776">
                          <w:pPr>
                            <w:spacing w:line="184" w:lineRule="exact"/>
                            <w:ind w:left="20" w:right="-12"/>
                            <w:rPr>
                              <w:rFonts w:ascii="Arial"/>
                              <w:color w:val="FFFFFF" w:themeColor="background1"/>
                              <w:sz w:val="16"/>
                            </w:rPr>
                          </w:pPr>
                          <w:r w:rsidRPr="005B3A56">
                            <w:rPr>
                              <w:rFonts w:ascii="Arial"/>
                              <w:color w:val="FFFFFF" w:themeColor="background1"/>
                              <w:sz w:val="16"/>
                            </w:rPr>
                            <w:t xml:space="preserve">J Pain </w:t>
                          </w:r>
                          <w:proofErr w:type="spellStart"/>
                          <w:r w:rsidRPr="005B3A56">
                            <w:rPr>
                              <w:rFonts w:ascii="Arial"/>
                              <w:color w:val="FFFFFF" w:themeColor="background1"/>
                              <w:sz w:val="16"/>
                            </w:rPr>
                            <w:t>Relif</w:t>
                          </w:r>
                          <w:proofErr w:type="spellEnd"/>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rsidP="005B6776">
                    <w:pPr>
                      <w:spacing w:line="184" w:lineRule="exact"/>
                      <w:ind w:left="20" w:right="-12"/>
                      <w:rPr>
                        <w:rFonts w:ascii="Arial"/>
                        <w:color w:val="FFFFFF" w:themeColor="background1"/>
                        <w:sz w:val="16"/>
                      </w:rPr>
                    </w:pPr>
                    <w:r w:rsidRPr="005B3A56">
                      <w:rPr>
                        <w:rFonts w:ascii="Arial"/>
                        <w:color w:val="FFFFFF" w:themeColor="background1"/>
                        <w:sz w:val="16"/>
                      </w:rPr>
                      <w:t xml:space="preserve">J Pain </w:t>
                    </w:r>
                    <w:proofErr w:type="spellStart"/>
                    <w:r w:rsidRPr="005B3A56">
                      <w:rPr>
                        <w:rFonts w:ascii="Arial"/>
                        <w:color w:val="FFFFFF" w:themeColor="background1"/>
                        <w:sz w:val="16"/>
                      </w:rPr>
                      <w:t>Relif</w:t>
                    </w:r>
                    <w:proofErr w:type="spellEnd"/>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CE7" w:rsidRDefault="00284CE7">
      <w:r>
        <w:separator/>
      </w:r>
    </w:p>
  </w:footnote>
  <w:footnote w:type="continuationSeparator" w:id="0">
    <w:p w:rsidR="00284CE7" w:rsidRDefault="00284C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721B5"/>
    <w:multiLevelType w:val="hybridMultilevel"/>
    <w:tmpl w:val="39C0C6FA"/>
    <w:lvl w:ilvl="0" w:tplc="0FEE7700">
      <w:start w:val="1"/>
      <w:numFmt w:val="decimal"/>
      <w:lvlText w:val="%1."/>
      <w:lvlJc w:val="left"/>
      <w:pPr>
        <w:ind w:left="560" w:hanging="360"/>
      </w:pPr>
      <w:rPr>
        <w:rFonts w:hint="default"/>
        <w:sz w:val="22"/>
        <w:szCs w:val="22"/>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84CE7"/>
    <w:rsid w:val="00292ED9"/>
    <w:rsid w:val="00404E5B"/>
    <w:rsid w:val="00414F7B"/>
    <w:rsid w:val="004355DC"/>
    <w:rsid w:val="004749B4"/>
    <w:rsid w:val="00493F70"/>
    <w:rsid w:val="00494130"/>
    <w:rsid w:val="004F3523"/>
    <w:rsid w:val="00550DAD"/>
    <w:rsid w:val="005973B9"/>
    <w:rsid w:val="005B3A56"/>
    <w:rsid w:val="005B6776"/>
    <w:rsid w:val="006060CE"/>
    <w:rsid w:val="0063497F"/>
    <w:rsid w:val="006D3EAE"/>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8D93B3-E8BA-4166-AB3A-46C21B842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Samira</cp:lastModifiedBy>
  <cp:revision>2</cp:revision>
  <dcterms:created xsi:type="dcterms:W3CDTF">2017-02-05T14:14:00Z</dcterms:created>
  <dcterms:modified xsi:type="dcterms:W3CDTF">2017-02-05T14:14:00Z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