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E0B" w:rsidRPr="00570E17" w:rsidRDefault="00A15E0B" w:rsidP="00A15E0B">
      <w:pPr>
        <w:autoSpaceDE w:val="0"/>
        <w:autoSpaceDN w:val="0"/>
        <w:adjustRightInd w:val="0"/>
        <w:spacing w:after="0" w:line="360" w:lineRule="auto"/>
        <w:jc w:val="both"/>
        <w:rPr>
          <w:rFonts w:cstheme="minorHAnsi"/>
          <w:b/>
          <w:bCs/>
          <w:sz w:val="20"/>
          <w:szCs w:val="20"/>
        </w:rPr>
      </w:pPr>
      <w:r w:rsidRPr="00570E17">
        <w:rPr>
          <w:rFonts w:cstheme="minorHAnsi"/>
          <w:b/>
          <w:bCs/>
          <w:sz w:val="20"/>
          <w:szCs w:val="20"/>
        </w:rPr>
        <w:t>TOXICITY TESTING OF RIFAMPICIN LOADED SOLID LIPID NANOPARTICLES IN WISTAR RATS AS PER OECD GUIDELINES</w:t>
      </w:r>
    </w:p>
    <w:p w:rsidR="00A15E0B" w:rsidRPr="00570E17" w:rsidRDefault="00A15E0B" w:rsidP="00A15E0B">
      <w:pPr>
        <w:tabs>
          <w:tab w:val="left" w:pos="7142"/>
        </w:tabs>
        <w:spacing w:after="0" w:line="360" w:lineRule="auto"/>
        <w:rPr>
          <w:rFonts w:cstheme="minorHAnsi"/>
          <w:bCs/>
          <w:sz w:val="20"/>
          <w:szCs w:val="20"/>
        </w:rPr>
      </w:pPr>
      <w:r w:rsidRPr="00570E17">
        <w:rPr>
          <w:rFonts w:cstheme="minorHAnsi"/>
          <w:bCs/>
          <w:sz w:val="20"/>
          <w:szCs w:val="20"/>
        </w:rPr>
        <w:t>Sa</w:t>
      </w:r>
      <w:r w:rsidR="00DC4B7C" w:rsidRPr="00570E17">
        <w:rPr>
          <w:rFonts w:cstheme="minorHAnsi"/>
          <w:bCs/>
          <w:sz w:val="20"/>
          <w:szCs w:val="20"/>
        </w:rPr>
        <w:t>hil Jindal</w:t>
      </w:r>
      <w:r w:rsidR="00DC4B7C" w:rsidRPr="00570E17">
        <w:rPr>
          <w:rFonts w:cstheme="minorHAnsi"/>
          <w:bCs/>
          <w:sz w:val="20"/>
          <w:szCs w:val="20"/>
          <w:vertAlign w:val="superscript"/>
        </w:rPr>
        <w:t>1</w:t>
      </w:r>
      <w:r w:rsidR="00DC4B7C" w:rsidRPr="00570E17">
        <w:rPr>
          <w:rFonts w:cstheme="minorHAnsi"/>
          <w:bCs/>
          <w:sz w:val="20"/>
          <w:szCs w:val="20"/>
        </w:rPr>
        <w:t xml:space="preserve">, </w:t>
      </w:r>
      <w:proofErr w:type="spellStart"/>
      <w:r w:rsidR="00DC4B7C" w:rsidRPr="00570E17">
        <w:rPr>
          <w:rFonts w:cstheme="minorHAnsi"/>
          <w:bCs/>
          <w:sz w:val="20"/>
          <w:szCs w:val="20"/>
        </w:rPr>
        <w:t>Indu</w:t>
      </w:r>
      <w:proofErr w:type="spellEnd"/>
      <w:r w:rsidR="00DC4B7C" w:rsidRPr="00570E17">
        <w:rPr>
          <w:rFonts w:cstheme="minorHAnsi"/>
          <w:bCs/>
          <w:sz w:val="20"/>
          <w:szCs w:val="20"/>
        </w:rPr>
        <w:t xml:space="preserve"> Pal Kau</w:t>
      </w:r>
      <w:r w:rsidR="00570E17">
        <w:rPr>
          <w:rFonts w:cstheme="minorHAnsi"/>
          <w:bCs/>
          <w:sz w:val="20"/>
          <w:szCs w:val="20"/>
        </w:rPr>
        <w:t>r</w:t>
      </w:r>
      <w:r w:rsidR="00DC4B7C" w:rsidRPr="00570E17">
        <w:rPr>
          <w:rFonts w:cstheme="minorHAnsi"/>
          <w:bCs/>
          <w:sz w:val="20"/>
          <w:szCs w:val="20"/>
          <w:vertAlign w:val="superscript"/>
        </w:rPr>
        <w:t>2</w:t>
      </w:r>
    </w:p>
    <w:p w:rsidR="00A15E0B" w:rsidRPr="00570E17" w:rsidRDefault="00DC4B7C" w:rsidP="00A15E0B">
      <w:pPr>
        <w:tabs>
          <w:tab w:val="left" w:pos="7142"/>
        </w:tabs>
        <w:spacing w:after="0" w:line="360" w:lineRule="auto"/>
        <w:rPr>
          <w:rFonts w:cstheme="minorHAnsi"/>
          <w:bCs/>
          <w:sz w:val="20"/>
          <w:szCs w:val="20"/>
        </w:rPr>
      </w:pPr>
      <w:r w:rsidRPr="00570E17">
        <w:rPr>
          <w:rFonts w:cstheme="minorHAnsi"/>
          <w:bCs/>
          <w:sz w:val="20"/>
          <w:szCs w:val="20"/>
          <w:vertAlign w:val="superscript"/>
        </w:rPr>
        <w:t>1,2</w:t>
      </w:r>
      <w:r w:rsidR="00A15E0B" w:rsidRPr="00570E17">
        <w:rPr>
          <w:rFonts w:cstheme="minorHAnsi"/>
          <w:bCs/>
          <w:sz w:val="20"/>
          <w:szCs w:val="20"/>
        </w:rPr>
        <w:t xml:space="preserve">University Institute of Pharmaceutical Sciences, Panjab University, Chandigarh-160014, India. </w:t>
      </w:r>
    </w:p>
    <w:p w:rsidR="00DC4B7C" w:rsidRPr="00570E17" w:rsidRDefault="00DC4B7C" w:rsidP="00570E17">
      <w:pPr>
        <w:spacing w:before="120" w:after="120" w:line="360" w:lineRule="auto"/>
        <w:jc w:val="both"/>
        <w:rPr>
          <w:rFonts w:cstheme="minorHAnsi"/>
          <w:sz w:val="20"/>
          <w:szCs w:val="20"/>
        </w:rPr>
      </w:pPr>
      <w:r w:rsidRPr="00570E17">
        <w:rPr>
          <w:rFonts w:cstheme="minorHAnsi"/>
          <w:b/>
          <w:bCs/>
          <w:sz w:val="20"/>
          <w:szCs w:val="20"/>
        </w:rPr>
        <w:t xml:space="preserve">Keywords: </w:t>
      </w:r>
      <w:r w:rsidRPr="00570E17">
        <w:rPr>
          <w:rFonts w:cstheme="minorHAnsi"/>
          <w:sz w:val="20"/>
          <w:szCs w:val="20"/>
        </w:rPr>
        <w:t>Acute Oral Toxicity, Repeated dose-</w:t>
      </w:r>
      <w:r w:rsidR="00570E17" w:rsidRPr="00570E17">
        <w:rPr>
          <w:rFonts w:cstheme="minorHAnsi"/>
          <w:sz w:val="20"/>
          <w:szCs w:val="20"/>
        </w:rPr>
        <w:t>28-day</w:t>
      </w:r>
      <w:r w:rsidRPr="00570E17">
        <w:rPr>
          <w:rFonts w:cstheme="minorHAnsi"/>
          <w:sz w:val="20"/>
          <w:szCs w:val="20"/>
        </w:rPr>
        <w:t xml:space="preserve"> oral toxicity, OECD Guideline 425 </w:t>
      </w:r>
      <w:bookmarkStart w:id="0" w:name="_GoBack"/>
      <w:bookmarkEnd w:id="0"/>
      <w:r w:rsidRPr="00570E17">
        <w:rPr>
          <w:rFonts w:cstheme="minorHAnsi"/>
          <w:sz w:val="20"/>
          <w:szCs w:val="20"/>
        </w:rPr>
        <w:t xml:space="preserve">and 407, LD50, </w:t>
      </w:r>
      <w:r w:rsidRPr="00570E17">
        <w:rPr>
          <w:rFonts w:cstheme="minorHAnsi"/>
          <w:iCs/>
          <w:sz w:val="20"/>
          <w:szCs w:val="20"/>
        </w:rPr>
        <w:t xml:space="preserve">rifampicin, solid lipid nanoparticles, </w:t>
      </w:r>
    </w:p>
    <w:p w:rsidR="00DC4B7C" w:rsidRPr="00570E17" w:rsidRDefault="00DC4B7C" w:rsidP="00570E17">
      <w:pPr>
        <w:pStyle w:val="ListParagraph"/>
        <w:numPr>
          <w:ilvl w:val="0"/>
          <w:numId w:val="1"/>
        </w:numPr>
        <w:autoSpaceDE w:val="0"/>
        <w:autoSpaceDN w:val="0"/>
        <w:adjustRightInd w:val="0"/>
        <w:spacing w:after="0" w:line="360" w:lineRule="auto"/>
        <w:jc w:val="center"/>
        <w:rPr>
          <w:rFonts w:cstheme="minorHAnsi"/>
          <w:b/>
          <w:sz w:val="20"/>
          <w:szCs w:val="20"/>
        </w:rPr>
      </w:pPr>
      <w:r w:rsidRPr="00570E17">
        <w:rPr>
          <w:rFonts w:cstheme="minorHAnsi"/>
          <w:b/>
          <w:sz w:val="20"/>
          <w:szCs w:val="20"/>
        </w:rPr>
        <w:t>Abstract Body</w:t>
      </w:r>
    </w:p>
    <w:p w:rsidR="00DC4B7C" w:rsidRPr="00570E17" w:rsidRDefault="00A15E0B" w:rsidP="00DC4B7C">
      <w:pPr>
        <w:autoSpaceDE w:val="0"/>
        <w:autoSpaceDN w:val="0"/>
        <w:adjustRightInd w:val="0"/>
        <w:spacing w:after="0" w:line="360" w:lineRule="auto"/>
        <w:jc w:val="both"/>
        <w:rPr>
          <w:rFonts w:cstheme="minorHAnsi"/>
          <w:sz w:val="20"/>
          <w:szCs w:val="20"/>
        </w:rPr>
      </w:pPr>
      <w:r w:rsidRPr="00570E17">
        <w:rPr>
          <w:rFonts w:cstheme="minorHAnsi"/>
          <w:sz w:val="20"/>
          <w:szCs w:val="20"/>
        </w:rPr>
        <w:t>Rifampicin (R) is indicated in the treatment of all forms of tuberculosis and is recommended on daily basis for a prolonged period (sometimes up to 3 years).</w:t>
      </w:r>
      <w:r w:rsidRPr="00570E17">
        <w:rPr>
          <w:rFonts w:cstheme="minorHAnsi"/>
          <w:spacing w:val="2"/>
          <w:sz w:val="20"/>
          <w:szCs w:val="20"/>
        </w:rPr>
        <w:t xml:space="preserve"> It has low </w:t>
      </w:r>
      <w:r w:rsidRPr="00570E17">
        <w:rPr>
          <w:rFonts w:cstheme="minorHAnsi"/>
          <w:color w:val="000000" w:themeColor="text1"/>
          <w:sz w:val="20"/>
          <w:szCs w:val="20"/>
        </w:rPr>
        <w:t>experimental aqueous solubility (0.60 mg/mL),</w:t>
      </w:r>
      <w:r w:rsidRPr="00570E17">
        <w:rPr>
          <w:rFonts w:cstheme="minorHAnsi"/>
          <w:spacing w:val="2"/>
          <w:sz w:val="20"/>
          <w:szCs w:val="20"/>
        </w:rPr>
        <w:t xml:space="preserve"> </w:t>
      </w:r>
      <w:r w:rsidRPr="00570E17">
        <w:rPr>
          <w:rFonts w:cstheme="minorHAnsi"/>
          <w:color w:val="000000" w:themeColor="text1"/>
          <w:sz w:val="20"/>
          <w:szCs w:val="20"/>
        </w:rPr>
        <w:t>good lipid solubility (log P of 3.72) and as such has poor bioavailability from its dosage forms.</w:t>
      </w:r>
      <w:r w:rsidRPr="00570E17">
        <w:rPr>
          <w:rFonts w:cstheme="minorHAnsi"/>
          <w:spacing w:val="2"/>
          <w:sz w:val="20"/>
          <w:szCs w:val="20"/>
        </w:rPr>
        <w:t xml:space="preserve"> </w:t>
      </w:r>
      <w:proofErr w:type="gramStart"/>
      <w:r w:rsidRPr="00570E17">
        <w:rPr>
          <w:rFonts w:cstheme="minorHAnsi"/>
          <w:spacing w:val="2"/>
          <w:sz w:val="20"/>
          <w:szCs w:val="20"/>
        </w:rPr>
        <w:t>So</w:t>
      </w:r>
      <w:proofErr w:type="gramEnd"/>
      <w:r w:rsidRPr="00570E17">
        <w:rPr>
          <w:rFonts w:cstheme="minorHAnsi"/>
          <w:spacing w:val="2"/>
          <w:sz w:val="20"/>
          <w:szCs w:val="20"/>
        </w:rPr>
        <w:t xml:space="preserve"> the solid lipid nanoparticles (SLNs) were prepared to increase the bioavailability of free drug.</w:t>
      </w:r>
      <w:r w:rsidRPr="00570E17">
        <w:rPr>
          <w:rFonts w:cstheme="minorHAnsi"/>
          <w:sz w:val="20"/>
          <w:szCs w:val="20"/>
        </w:rPr>
        <w:t xml:space="preserve"> The present study was aimed to determine LD50 of R and R-SLNs (improved bioavailability) as per OECD 425 and to establish the safety of R-SLNs on repeated exposure as per OECD 407 in Wistar rats. All the animals were individually studied for mortality, wellness parameters and body weight for 14 days in acute study and 28 days in repeated dose study. There were no significant changes in body weight and wellness parameters at all doses in both studies. The LD50 value (calculated from AOT software 425) in R-SLN form was the same (1570mg/Kg body weight) as corresponding free drug and hence classifies into the same class </w:t>
      </w:r>
      <w:proofErr w:type="spellStart"/>
      <w:r w:rsidRPr="00570E17">
        <w:rPr>
          <w:rFonts w:cstheme="minorHAnsi"/>
          <w:sz w:val="20"/>
          <w:szCs w:val="20"/>
        </w:rPr>
        <w:t>i.e</w:t>
      </w:r>
      <w:proofErr w:type="spellEnd"/>
      <w:r w:rsidRPr="00570E17">
        <w:rPr>
          <w:rFonts w:cstheme="minorHAnsi"/>
          <w:sz w:val="20"/>
          <w:szCs w:val="20"/>
        </w:rPr>
        <w:t xml:space="preserve"> class III drug as per GHSC. The histopathology and biochemistry tests also revealed safety of R-SLNs on repeated exposure. The study establishes that </w:t>
      </w:r>
      <w:proofErr w:type="spellStart"/>
      <w:r w:rsidRPr="00570E17">
        <w:rPr>
          <w:rFonts w:cstheme="minorHAnsi"/>
          <w:sz w:val="20"/>
          <w:szCs w:val="20"/>
        </w:rPr>
        <w:t>nano</w:t>
      </w:r>
      <w:proofErr w:type="spellEnd"/>
      <w:r w:rsidRPr="00570E17">
        <w:rPr>
          <w:rFonts w:cstheme="minorHAnsi"/>
          <w:sz w:val="20"/>
          <w:szCs w:val="20"/>
        </w:rPr>
        <w:t xml:space="preserve"> nature of the developed system does not impart any toxicity to R as there were no significant changes observed in body weight, wellness parameters and LD50.</w:t>
      </w:r>
    </w:p>
    <w:p w:rsidR="00DC4B7C" w:rsidRPr="00570E17" w:rsidRDefault="00DC4B7C" w:rsidP="00570E17">
      <w:pPr>
        <w:pStyle w:val="ListParagraph"/>
        <w:numPr>
          <w:ilvl w:val="0"/>
          <w:numId w:val="1"/>
        </w:numPr>
        <w:autoSpaceDE w:val="0"/>
        <w:autoSpaceDN w:val="0"/>
        <w:adjustRightInd w:val="0"/>
        <w:spacing w:after="0" w:line="360" w:lineRule="auto"/>
        <w:jc w:val="center"/>
        <w:rPr>
          <w:rFonts w:cstheme="minorHAnsi"/>
          <w:b/>
          <w:sz w:val="20"/>
          <w:szCs w:val="20"/>
        </w:rPr>
      </w:pPr>
      <w:r w:rsidRPr="00570E17">
        <w:rPr>
          <w:rFonts w:cstheme="minorHAnsi"/>
          <w:b/>
          <w:sz w:val="20"/>
          <w:szCs w:val="20"/>
        </w:rPr>
        <w:t>References</w:t>
      </w:r>
    </w:p>
    <w:p w:rsidR="00570E17" w:rsidRPr="00570E17" w:rsidRDefault="00DC4B7C" w:rsidP="00570E17">
      <w:pPr>
        <w:pStyle w:val="ListParagraph"/>
        <w:numPr>
          <w:ilvl w:val="0"/>
          <w:numId w:val="3"/>
        </w:numPr>
        <w:spacing w:after="0" w:line="360" w:lineRule="auto"/>
        <w:jc w:val="both"/>
        <w:rPr>
          <w:rFonts w:cstheme="minorHAnsi"/>
          <w:sz w:val="20"/>
          <w:szCs w:val="20"/>
        </w:rPr>
      </w:pPr>
      <w:r w:rsidRPr="00570E17">
        <w:rPr>
          <w:rFonts w:cstheme="minorHAnsi"/>
          <w:sz w:val="20"/>
          <w:szCs w:val="20"/>
        </w:rPr>
        <w:t>OECD. (2008) OECD guidelines for the testing of chemicals. test number 407: repeated dose 28-day oral toxicity</w:t>
      </w:r>
    </w:p>
    <w:p w:rsidR="00570E17" w:rsidRPr="00570E17" w:rsidRDefault="00DC4B7C" w:rsidP="00570E17">
      <w:pPr>
        <w:pStyle w:val="ListParagraph"/>
        <w:numPr>
          <w:ilvl w:val="0"/>
          <w:numId w:val="1"/>
        </w:numPr>
        <w:spacing w:after="0" w:line="360" w:lineRule="auto"/>
        <w:jc w:val="center"/>
        <w:rPr>
          <w:rFonts w:cstheme="minorHAnsi"/>
          <w:sz w:val="20"/>
          <w:szCs w:val="20"/>
        </w:rPr>
      </w:pPr>
      <w:r w:rsidRPr="00570E17">
        <w:rPr>
          <w:rFonts w:cstheme="minorHAnsi"/>
          <w:b/>
          <w:sz w:val="20"/>
          <w:szCs w:val="20"/>
          <w:lang w:val="en-IN" w:eastAsia="en-IN"/>
        </w:rPr>
        <w:t>Biography</w:t>
      </w:r>
    </w:p>
    <w:p w:rsidR="00570E17" w:rsidRDefault="00DC4B7C" w:rsidP="00570E17">
      <w:pPr>
        <w:spacing w:after="0" w:line="360" w:lineRule="auto"/>
        <w:ind w:left="360"/>
        <w:jc w:val="both"/>
        <w:rPr>
          <w:rFonts w:cstheme="minorHAnsi"/>
          <w:sz w:val="20"/>
          <w:szCs w:val="20"/>
        </w:rPr>
      </w:pPr>
      <w:r w:rsidRPr="00570E17">
        <w:rPr>
          <w:rFonts w:cstheme="minorHAnsi"/>
          <w:sz w:val="20"/>
          <w:szCs w:val="20"/>
          <w:lang w:val="en-IN" w:eastAsia="en-IN"/>
        </w:rPr>
        <w:t>Sa</w:t>
      </w:r>
      <w:r w:rsidR="00570E17" w:rsidRPr="00570E17">
        <w:rPr>
          <w:rFonts w:cstheme="minorHAnsi"/>
          <w:sz w:val="20"/>
          <w:szCs w:val="20"/>
          <w:lang w:val="en-IN" w:eastAsia="en-IN"/>
        </w:rPr>
        <w:t>h</w:t>
      </w:r>
      <w:r w:rsidRPr="00570E17">
        <w:rPr>
          <w:rFonts w:cstheme="minorHAnsi"/>
          <w:sz w:val="20"/>
          <w:szCs w:val="20"/>
          <w:lang w:val="en-IN" w:eastAsia="en-IN"/>
        </w:rPr>
        <w:t>il Jindal</w:t>
      </w:r>
      <w:r w:rsidRPr="00570E17">
        <w:rPr>
          <w:rFonts w:cstheme="minorHAnsi"/>
          <w:sz w:val="20"/>
          <w:szCs w:val="20"/>
        </w:rPr>
        <w:t xml:space="preserve"> has completed his </w:t>
      </w:r>
      <w:r w:rsidR="00570E17" w:rsidRPr="00570E17">
        <w:rPr>
          <w:rFonts w:cstheme="minorHAnsi"/>
          <w:sz w:val="20"/>
          <w:szCs w:val="20"/>
        </w:rPr>
        <w:t>master's</w:t>
      </w:r>
      <w:r w:rsidRPr="00570E17">
        <w:rPr>
          <w:rFonts w:cstheme="minorHAnsi"/>
          <w:sz w:val="20"/>
          <w:szCs w:val="20"/>
        </w:rPr>
        <w:t xml:space="preserve"> degree in Pharmaceutical at the age of 2</w:t>
      </w:r>
      <w:r w:rsidR="00570E17">
        <w:rPr>
          <w:rFonts w:cstheme="minorHAnsi"/>
          <w:sz w:val="20"/>
          <w:szCs w:val="20"/>
        </w:rPr>
        <w:t>4</w:t>
      </w:r>
      <w:r w:rsidRPr="00570E17">
        <w:rPr>
          <w:rFonts w:cstheme="minorHAnsi"/>
          <w:sz w:val="20"/>
          <w:szCs w:val="20"/>
        </w:rPr>
        <w:t xml:space="preserve"> years from P</w:t>
      </w:r>
      <w:r w:rsidR="00570E17">
        <w:rPr>
          <w:rFonts w:cstheme="minorHAnsi"/>
          <w:sz w:val="20"/>
          <w:szCs w:val="20"/>
        </w:rPr>
        <w:t>a</w:t>
      </w:r>
      <w:r w:rsidRPr="00570E17">
        <w:rPr>
          <w:rFonts w:cstheme="minorHAnsi"/>
          <w:sz w:val="20"/>
          <w:szCs w:val="20"/>
        </w:rPr>
        <w:t xml:space="preserve">njab University, Chandigarh. then he </w:t>
      </w:r>
      <w:r w:rsidR="00570E17" w:rsidRPr="00570E17">
        <w:rPr>
          <w:rFonts w:cstheme="minorHAnsi"/>
          <w:sz w:val="20"/>
          <w:szCs w:val="20"/>
        </w:rPr>
        <w:t>joined Quantum Solutions India as Pharmacovigilance Scientist.</w:t>
      </w:r>
      <w:r w:rsidRPr="00570E17">
        <w:rPr>
          <w:rFonts w:cstheme="minorHAnsi"/>
          <w:sz w:val="20"/>
          <w:szCs w:val="20"/>
        </w:rPr>
        <w:t xml:space="preserve"> </w:t>
      </w:r>
      <w:r w:rsidR="00570E17" w:rsidRPr="00570E17">
        <w:rPr>
          <w:rFonts w:cstheme="minorHAnsi"/>
          <w:sz w:val="20"/>
          <w:szCs w:val="20"/>
        </w:rPr>
        <w:t>He is currently working as a Manager, Pharmacovigilance operations, PAREXEL International Pvt. Ltd.</w:t>
      </w:r>
    </w:p>
    <w:p w:rsidR="00DC4B7C" w:rsidRPr="00570E17" w:rsidRDefault="00DC4B7C" w:rsidP="00570E17">
      <w:pPr>
        <w:pStyle w:val="ListParagraph"/>
        <w:numPr>
          <w:ilvl w:val="0"/>
          <w:numId w:val="1"/>
        </w:numPr>
        <w:spacing w:after="0" w:line="360" w:lineRule="auto"/>
        <w:jc w:val="center"/>
        <w:rPr>
          <w:rFonts w:cstheme="minorHAnsi"/>
          <w:sz w:val="20"/>
          <w:szCs w:val="20"/>
        </w:rPr>
      </w:pPr>
      <w:r w:rsidRPr="00570E17">
        <w:rPr>
          <w:rFonts w:cstheme="minorHAnsi"/>
          <w:b/>
          <w:sz w:val="20"/>
          <w:szCs w:val="20"/>
          <w:lang w:val="en-NZ"/>
        </w:rPr>
        <w:t>Presenting author details</w:t>
      </w:r>
    </w:p>
    <w:p w:rsidR="00570E17" w:rsidRDefault="00DC4B7C" w:rsidP="00DC4B7C">
      <w:pPr>
        <w:autoSpaceDE w:val="0"/>
        <w:autoSpaceDN w:val="0"/>
        <w:adjustRightInd w:val="0"/>
        <w:rPr>
          <w:rFonts w:cstheme="minorHAnsi"/>
          <w:sz w:val="20"/>
          <w:szCs w:val="20"/>
          <w:lang w:val="en-NZ"/>
        </w:rPr>
      </w:pPr>
      <w:r w:rsidRPr="00570E17">
        <w:rPr>
          <w:rFonts w:cstheme="minorHAnsi"/>
          <w:sz w:val="20"/>
          <w:szCs w:val="20"/>
          <w:lang w:val="en-NZ"/>
        </w:rPr>
        <w:t>Full Name: Sail Jindal</w:t>
      </w:r>
    </w:p>
    <w:p w:rsidR="00DC4B7C" w:rsidRPr="00570E17" w:rsidRDefault="00DC4B7C" w:rsidP="00DC4B7C">
      <w:pPr>
        <w:autoSpaceDE w:val="0"/>
        <w:autoSpaceDN w:val="0"/>
        <w:adjustRightInd w:val="0"/>
        <w:rPr>
          <w:rFonts w:cstheme="minorHAnsi"/>
          <w:sz w:val="20"/>
          <w:szCs w:val="20"/>
          <w:lang w:val="en-NZ"/>
        </w:rPr>
      </w:pPr>
      <w:r w:rsidRPr="00570E17">
        <w:rPr>
          <w:rFonts w:cstheme="minorHAnsi"/>
          <w:sz w:val="20"/>
          <w:szCs w:val="20"/>
          <w:lang w:val="en-NZ"/>
        </w:rPr>
        <w:t>Contact number: +91-8288004279</w:t>
      </w:r>
      <w:r w:rsidRPr="00570E17">
        <w:rPr>
          <w:rFonts w:cstheme="minorHAnsi"/>
          <w:sz w:val="20"/>
          <w:szCs w:val="20"/>
          <w:lang w:val="en-NZ"/>
        </w:rPr>
        <w:br/>
        <w:t>Twitter account:</w:t>
      </w:r>
      <w:r w:rsidRPr="00570E17">
        <w:rPr>
          <w:rFonts w:cstheme="minorHAnsi"/>
          <w:sz w:val="20"/>
          <w:szCs w:val="20"/>
          <w:lang w:val="en-NZ"/>
        </w:rPr>
        <w:br/>
        <w:t>Linked In account:</w:t>
      </w:r>
      <w:r w:rsidR="00570E17">
        <w:rPr>
          <w:rFonts w:cstheme="minorHAnsi"/>
          <w:sz w:val="20"/>
          <w:szCs w:val="20"/>
          <w:lang w:val="en-NZ"/>
        </w:rPr>
        <w:t xml:space="preserve"> </w:t>
      </w:r>
      <w:r w:rsidR="00570E17" w:rsidRPr="00570E17">
        <w:rPr>
          <w:rFonts w:cstheme="minorHAnsi"/>
          <w:sz w:val="20"/>
          <w:szCs w:val="20"/>
          <w:lang w:val="en-NZ"/>
        </w:rPr>
        <w:t>https://www.linkedin.com/in/sahil-jindal-4ba3414b/</w:t>
      </w:r>
    </w:p>
    <w:p w:rsidR="00DC4B7C" w:rsidRPr="00570E17" w:rsidRDefault="00DC4B7C" w:rsidP="00DC4B7C">
      <w:pPr>
        <w:autoSpaceDE w:val="0"/>
        <w:autoSpaceDN w:val="0"/>
        <w:adjustRightInd w:val="0"/>
        <w:rPr>
          <w:rFonts w:cstheme="minorHAnsi"/>
          <w:sz w:val="20"/>
          <w:szCs w:val="20"/>
          <w:lang w:val="en-NZ"/>
        </w:rPr>
      </w:pPr>
      <w:r w:rsidRPr="00570E17">
        <w:rPr>
          <w:rFonts w:cstheme="minorHAnsi"/>
          <w:sz w:val="20"/>
          <w:szCs w:val="20"/>
          <w:lang w:val="en-NZ"/>
        </w:rPr>
        <w:t>Session name/ number:</w:t>
      </w:r>
      <w:r w:rsidRPr="00570E17">
        <w:rPr>
          <w:rFonts w:cstheme="minorHAnsi"/>
          <w:sz w:val="20"/>
          <w:szCs w:val="20"/>
          <w:lang w:val="en-NZ"/>
        </w:rPr>
        <w:br/>
        <w:t>Category: (Oral presentation)</w:t>
      </w:r>
    </w:p>
    <w:p w:rsidR="005F5F96" w:rsidRPr="00570E17" w:rsidRDefault="00DC4B7C" w:rsidP="00570E17">
      <w:pPr>
        <w:autoSpaceDE w:val="0"/>
        <w:autoSpaceDN w:val="0"/>
        <w:adjustRightInd w:val="0"/>
        <w:rPr>
          <w:rFonts w:cstheme="minorHAnsi"/>
          <w:sz w:val="20"/>
          <w:szCs w:val="20"/>
          <w:lang w:val="en-NZ"/>
        </w:rPr>
      </w:pPr>
      <w:r w:rsidRPr="00570E17">
        <w:rPr>
          <w:rFonts w:cstheme="minorHAnsi"/>
          <w:sz w:val="20"/>
          <w:szCs w:val="20"/>
          <w:lang w:val="en-NZ"/>
        </w:rPr>
        <w:t>Passport Number</w:t>
      </w:r>
      <w:r w:rsidRPr="00570E17">
        <w:rPr>
          <w:rFonts w:cstheme="minorHAnsi"/>
          <w:sz w:val="20"/>
          <w:szCs w:val="20"/>
          <w:lang w:val="en-IN"/>
        </w:rPr>
        <w:t>:</w:t>
      </w:r>
      <w:r w:rsidR="00570E17">
        <w:rPr>
          <w:rFonts w:cstheme="minorHAnsi"/>
          <w:sz w:val="20"/>
          <w:szCs w:val="20"/>
          <w:lang w:val="en-IN"/>
        </w:rPr>
        <w:t xml:space="preserve"> </w:t>
      </w:r>
    </w:p>
    <w:sectPr w:rsidR="005F5F96" w:rsidRPr="00570E17" w:rsidSect="005F5F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F4B0A"/>
    <w:multiLevelType w:val="hybridMultilevel"/>
    <w:tmpl w:val="8DEAAD7E"/>
    <w:lvl w:ilvl="0" w:tplc="5050A5AC">
      <w:start w:val="1"/>
      <w:numFmt w:val="upperRoman"/>
      <w:lvlText w:val="%1."/>
      <w:lvlJc w:val="left"/>
      <w:pPr>
        <w:ind w:left="1080" w:hanging="72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7E1F3A0D"/>
    <w:multiLevelType w:val="hybridMultilevel"/>
    <w:tmpl w:val="B7BE6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5E0B"/>
    <w:rsid w:val="00570E17"/>
    <w:rsid w:val="005F5F96"/>
    <w:rsid w:val="00A15E0B"/>
    <w:rsid w:val="00DC4B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85636"/>
  <w15:docId w15:val="{24D9A856-867B-49C4-B753-0E62D722D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5E0B"/>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7C"/>
    <w:pPr>
      <w:ind w:left="720"/>
      <w:contextualSpacing/>
    </w:pPr>
  </w:style>
  <w:style w:type="paragraph" w:styleId="BalloonText">
    <w:name w:val="Balloon Text"/>
    <w:basedOn w:val="Normal"/>
    <w:link w:val="BalloonTextChar"/>
    <w:uiPriority w:val="99"/>
    <w:semiHidden/>
    <w:unhideWhenUsed/>
    <w:rsid w:val="00DC4B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4B7C"/>
    <w:rPr>
      <w:rFonts w:ascii="Tahoma" w:eastAsiaTheme="minorEastAsi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358</Words>
  <Characters>2044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sahil</dc:creator>
  <cp:lastModifiedBy>Jindal, Sahil</cp:lastModifiedBy>
  <cp:revision>2</cp:revision>
  <dcterms:created xsi:type="dcterms:W3CDTF">2019-03-10T07:24:00Z</dcterms:created>
  <dcterms:modified xsi:type="dcterms:W3CDTF">2019-03-10T09:37:00Z</dcterms:modified>
</cp:coreProperties>
</file>