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947" w:rsidRDefault="00C00947" w:rsidP="00C00947">
      <w:pPr>
        <w:spacing w:after="0" w:line="360" w:lineRule="auto"/>
        <w:rPr>
          <w:rFonts w:asciiTheme="majorBidi" w:hAnsiTheme="majorBidi" w:cstheme="majorBidi"/>
          <w:b/>
          <w:bCs/>
          <w:sz w:val="24"/>
          <w:szCs w:val="24"/>
          <w:lang w:bidi="en-US"/>
        </w:rPr>
      </w:pPr>
      <w:r>
        <w:rPr>
          <w:rFonts w:asciiTheme="majorBidi" w:hAnsiTheme="majorBidi" w:cstheme="majorBidi"/>
          <w:b/>
          <w:bCs/>
          <w:sz w:val="24"/>
          <w:szCs w:val="24"/>
          <w:lang w:bidi="en-US"/>
        </w:rPr>
        <w:t xml:space="preserve">PI3K Inhibitors of Novel </w:t>
      </w:r>
      <w:proofErr w:type="spellStart"/>
      <w:r>
        <w:rPr>
          <w:rFonts w:asciiTheme="majorBidi" w:hAnsiTheme="majorBidi" w:cstheme="majorBidi"/>
          <w:b/>
          <w:bCs/>
          <w:sz w:val="24"/>
          <w:szCs w:val="24"/>
          <w:lang w:bidi="en-US"/>
        </w:rPr>
        <w:t>Hydrazide</w:t>
      </w:r>
      <w:proofErr w:type="spellEnd"/>
      <w:r>
        <w:rPr>
          <w:rFonts w:asciiTheme="majorBidi" w:hAnsiTheme="majorBidi" w:cstheme="majorBidi"/>
          <w:b/>
          <w:bCs/>
          <w:sz w:val="24"/>
          <w:szCs w:val="24"/>
          <w:lang w:bidi="en-US"/>
        </w:rPr>
        <w:t xml:space="preserve"> Analogues Linked 2-Pyridinyl </w:t>
      </w:r>
      <w:proofErr w:type="spellStart"/>
      <w:r>
        <w:rPr>
          <w:rFonts w:asciiTheme="majorBidi" w:hAnsiTheme="majorBidi" w:cstheme="majorBidi"/>
          <w:b/>
          <w:bCs/>
          <w:sz w:val="24"/>
          <w:szCs w:val="24"/>
          <w:lang w:bidi="en-US"/>
        </w:rPr>
        <w:t>Qquinazolone</w:t>
      </w:r>
      <w:proofErr w:type="spellEnd"/>
      <w:r>
        <w:rPr>
          <w:rFonts w:asciiTheme="majorBidi" w:hAnsiTheme="majorBidi" w:cstheme="majorBidi"/>
          <w:b/>
          <w:bCs/>
          <w:sz w:val="24"/>
          <w:szCs w:val="24"/>
          <w:lang w:bidi="en-US"/>
        </w:rPr>
        <w:t xml:space="preserve"> Scaffold as Anticancer Agents</w:t>
      </w:r>
      <w:r>
        <w:rPr>
          <w:rFonts w:asciiTheme="majorBidi" w:hAnsiTheme="majorBidi" w:cstheme="majorBidi"/>
          <w:b/>
          <w:bCs/>
          <w:sz w:val="24"/>
          <w:szCs w:val="24"/>
          <w:lang w:bidi="en-US"/>
        </w:rPr>
        <w:br/>
      </w:r>
      <w:r>
        <w:rPr>
          <w:rFonts w:asciiTheme="majorBidi" w:hAnsiTheme="majorBidi" w:cstheme="majorBidi"/>
          <w:b/>
          <w:bCs/>
          <w:sz w:val="24"/>
          <w:szCs w:val="24"/>
          <w:lang w:bidi="en-US"/>
        </w:rPr>
        <w:br/>
      </w:r>
    </w:p>
    <w:p w:rsidR="00C00947" w:rsidRDefault="00C00947" w:rsidP="00C00947">
      <w:pPr>
        <w:spacing w:after="0" w:line="360" w:lineRule="auto"/>
        <w:rPr>
          <w:rFonts w:asciiTheme="majorBidi" w:hAnsiTheme="majorBidi" w:cstheme="majorBidi"/>
          <w:i/>
          <w:iCs/>
          <w:sz w:val="24"/>
          <w:szCs w:val="24"/>
        </w:rPr>
      </w:pPr>
      <w:r>
        <w:rPr>
          <w:rFonts w:ascii="Times New Roman" w:eastAsia="Calibri" w:hAnsi="Times New Roman" w:cs="Times New Roman"/>
          <w:sz w:val="24"/>
          <w:szCs w:val="24"/>
        </w:rPr>
        <w:t>By Ahmed A.Salman.</w:t>
      </w:r>
      <w:r>
        <w:rPr>
          <w:rFonts w:ascii="Times New Roman" w:eastAsia="Calibri" w:hAnsi="Times New Roman" w:cs="Times New Roman"/>
          <w:sz w:val="24"/>
          <w:szCs w:val="24"/>
          <w:vertAlign w:val="superscript"/>
        </w:rPr>
        <w:br/>
      </w:r>
      <w:r>
        <w:rPr>
          <w:rFonts w:asciiTheme="majorBidi" w:hAnsiTheme="majorBidi" w:cstheme="majorBidi"/>
          <w:i/>
          <w:iCs/>
          <w:sz w:val="24"/>
          <w:szCs w:val="24"/>
          <w:vertAlign w:val="superscript"/>
        </w:rPr>
        <w:t xml:space="preserve"> </w:t>
      </w:r>
      <w:r>
        <w:rPr>
          <w:rFonts w:asciiTheme="majorBidi" w:hAnsiTheme="majorBidi" w:cstheme="majorBidi"/>
          <w:i/>
          <w:iCs/>
          <w:sz w:val="24"/>
          <w:szCs w:val="24"/>
        </w:rPr>
        <w:t xml:space="preserve">Department of Chemistry, Faculty of Science, </w:t>
      </w:r>
      <w:proofErr w:type="spellStart"/>
      <w:r>
        <w:rPr>
          <w:rFonts w:asciiTheme="majorBidi" w:hAnsiTheme="majorBidi" w:cstheme="majorBidi"/>
          <w:i/>
          <w:iCs/>
          <w:sz w:val="24"/>
          <w:szCs w:val="24"/>
        </w:rPr>
        <w:t>Menoufiya</w:t>
      </w:r>
      <w:proofErr w:type="spellEnd"/>
      <w:r>
        <w:rPr>
          <w:rFonts w:asciiTheme="majorBidi" w:hAnsiTheme="majorBidi" w:cstheme="majorBidi"/>
          <w:i/>
          <w:iCs/>
          <w:sz w:val="24"/>
          <w:szCs w:val="24"/>
        </w:rPr>
        <w:t xml:space="preserve"> University, </w:t>
      </w:r>
      <w:proofErr w:type="spellStart"/>
      <w:r>
        <w:rPr>
          <w:rFonts w:asciiTheme="majorBidi" w:hAnsiTheme="majorBidi" w:cstheme="majorBidi"/>
          <w:i/>
          <w:iCs/>
          <w:sz w:val="24"/>
          <w:szCs w:val="24"/>
        </w:rPr>
        <w:t>Menoufiya</w:t>
      </w:r>
      <w:proofErr w:type="spellEnd"/>
      <w:r>
        <w:rPr>
          <w:rFonts w:asciiTheme="majorBidi" w:hAnsiTheme="majorBidi" w:cstheme="majorBidi"/>
          <w:i/>
          <w:iCs/>
          <w:sz w:val="24"/>
          <w:szCs w:val="24"/>
        </w:rPr>
        <w:t>.</w:t>
      </w:r>
      <w:bookmarkStart w:id="0" w:name="_GoBack"/>
      <w:bookmarkEnd w:id="0"/>
      <w:r>
        <w:rPr>
          <w:rFonts w:asciiTheme="majorBidi" w:hAnsiTheme="majorBidi" w:cstheme="majorBidi"/>
          <w:i/>
          <w:iCs/>
          <w:sz w:val="24"/>
          <w:szCs w:val="24"/>
        </w:rPr>
        <w:t xml:space="preserve"> </w:t>
      </w:r>
    </w:p>
    <w:p w:rsidR="00C00947" w:rsidRDefault="00C00947" w:rsidP="00C00947">
      <w:pPr>
        <w:spacing w:after="0" w:line="360" w:lineRule="auto"/>
        <w:jc w:val="both"/>
        <w:rPr>
          <w:rFonts w:asciiTheme="majorBidi" w:hAnsiTheme="majorBidi" w:cstheme="majorBidi"/>
          <w:i/>
          <w:iCs/>
          <w:sz w:val="24"/>
          <w:szCs w:val="24"/>
        </w:rPr>
      </w:pPr>
    </w:p>
    <w:p w:rsidR="00C00947" w:rsidRDefault="00C00947" w:rsidP="00C00947">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Correspondence should be addressed to </w:t>
      </w:r>
      <w:r>
        <w:rPr>
          <w:rFonts w:asciiTheme="majorBidi" w:hAnsiTheme="majorBidi" w:cstheme="majorBidi"/>
          <w:sz w:val="24"/>
          <w:szCs w:val="24"/>
        </w:rPr>
        <w:t>Ahmed Salman: Chem_ahmed2020@yahoo.com</w:t>
      </w:r>
    </w:p>
    <w:p w:rsidR="00C00947" w:rsidRDefault="00C00947" w:rsidP="00C00947">
      <w:pPr>
        <w:autoSpaceDE w:val="0"/>
        <w:autoSpaceDN w:val="0"/>
        <w:adjustRightInd w:val="0"/>
        <w:spacing w:after="0" w:line="360" w:lineRule="auto"/>
        <w:jc w:val="both"/>
        <w:rPr>
          <w:rFonts w:asciiTheme="majorBidi" w:hAnsiTheme="majorBidi" w:cstheme="majorBidi"/>
          <w:sz w:val="24"/>
          <w:szCs w:val="24"/>
        </w:rPr>
      </w:pPr>
    </w:p>
    <w:p w:rsidR="00C00947" w:rsidRDefault="00C00947" w:rsidP="00C00947">
      <w:pPr>
        <w:spacing w:after="0" w:line="360" w:lineRule="auto"/>
        <w:jc w:val="both"/>
        <w:rPr>
          <w:rFonts w:asciiTheme="majorBidi" w:hAnsiTheme="majorBidi" w:cstheme="majorBidi"/>
          <w:sz w:val="24"/>
          <w:szCs w:val="24"/>
          <w:lang w:bidi="en-US"/>
        </w:rPr>
      </w:pPr>
      <w:r>
        <w:rPr>
          <w:rFonts w:asciiTheme="majorBidi" w:hAnsiTheme="majorBidi" w:cstheme="majorBidi"/>
          <w:sz w:val="24"/>
          <w:szCs w:val="24"/>
          <w:lang w:bidi="en-US"/>
        </w:rPr>
        <w:t>A series of novel 2-(pyridin-4-yl)quinazolin-4(3</w:t>
      </w:r>
      <w:r>
        <w:rPr>
          <w:rFonts w:asciiTheme="majorBidi" w:hAnsiTheme="majorBidi" w:cstheme="majorBidi"/>
          <w:i/>
          <w:iCs/>
          <w:sz w:val="24"/>
          <w:szCs w:val="24"/>
          <w:lang w:bidi="en-US"/>
        </w:rPr>
        <w:t>H</w:t>
      </w:r>
      <w:r>
        <w:rPr>
          <w:rFonts w:asciiTheme="majorBidi" w:hAnsiTheme="majorBidi" w:cstheme="majorBidi"/>
          <w:sz w:val="24"/>
          <w:szCs w:val="24"/>
          <w:lang w:bidi="en-US"/>
        </w:rPr>
        <w:t xml:space="preserve">)-ones bearing different </w:t>
      </w:r>
      <w:proofErr w:type="spellStart"/>
      <w:r>
        <w:rPr>
          <w:rFonts w:asciiTheme="majorBidi" w:hAnsiTheme="majorBidi" w:cstheme="majorBidi"/>
          <w:sz w:val="24"/>
          <w:szCs w:val="24"/>
          <w:lang w:bidi="en-US"/>
        </w:rPr>
        <w:t>heterocyclecores</w:t>
      </w:r>
      <w:proofErr w:type="spellEnd"/>
      <w:r>
        <w:rPr>
          <w:rFonts w:asciiTheme="majorBidi" w:hAnsiTheme="majorBidi" w:cstheme="majorBidi"/>
          <w:sz w:val="24"/>
          <w:szCs w:val="24"/>
          <w:lang w:bidi="en-US"/>
        </w:rPr>
        <w:t xml:space="preserve"> as </w:t>
      </w:r>
      <w:proofErr w:type="gramStart"/>
      <w:r>
        <w:rPr>
          <w:rFonts w:asciiTheme="majorBidi" w:hAnsiTheme="majorBidi" w:cstheme="majorBidi"/>
          <w:sz w:val="24"/>
          <w:szCs w:val="24"/>
          <w:lang w:bidi="en-US"/>
        </w:rPr>
        <w:t>potential</w:t>
      </w:r>
      <w:proofErr w:type="gramEnd"/>
      <w:r>
        <w:rPr>
          <w:rFonts w:asciiTheme="majorBidi" w:hAnsiTheme="majorBidi" w:cstheme="majorBidi"/>
          <w:sz w:val="24"/>
          <w:szCs w:val="24"/>
          <w:lang w:bidi="en-US"/>
        </w:rPr>
        <w:t xml:space="preserve"> PI3K inhibitors have been synthesized and evaluated via MTT assay for their </w:t>
      </w:r>
      <w:proofErr w:type="spellStart"/>
      <w:r>
        <w:rPr>
          <w:rFonts w:asciiTheme="majorBidi" w:hAnsiTheme="majorBidi" w:cstheme="majorBidi"/>
          <w:sz w:val="24"/>
          <w:szCs w:val="24"/>
          <w:lang w:bidi="en-US"/>
        </w:rPr>
        <w:t>antiproliferative</w:t>
      </w:r>
      <w:proofErr w:type="spellEnd"/>
      <w:r>
        <w:rPr>
          <w:rFonts w:asciiTheme="majorBidi" w:hAnsiTheme="majorBidi" w:cstheme="majorBidi"/>
          <w:sz w:val="24"/>
          <w:szCs w:val="24"/>
          <w:lang w:bidi="en-US"/>
        </w:rPr>
        <w:t xml:space="preserve"> properties against selected HePG-2, MCF-7 and HCT116 cancer cell lines. Among them, compound</w:t>
      </w:r>
      <w:r>
        <w:rPr>
          <w:rFonts w:asciiTheme="majorBidi" w:hAnsiTheme="majorBidi" w:cstheme="majorBidi"/>
          <w:b/>
          <w:bCs/>
          <w:sz w:val="24"/>
          <w:szCs w:val="24"/>
          <w:lang w:bidi="en-US"/>
        </w:rPr>
        <w:t>8</w:t>
      </w:r>
      <w:r>
        <w:rPr>
          <w:rFonts w:asciiTheme="majorBidi" w:hAnsiTheme="majorBidi" w:cstheme="majorBidi"/>
          <w:sz w:val="24"/>
          <w:szCs w:val="24"/>
          <w:lang w:bidi="en-US"/>
        </w:rPr>
        <w:t>displayed significant activity against HePG-2 (IC</w:t>
      </w:r>
      <w:r>
        <w:rPr>
          <w:rFonts w:asciiTheme="majorBidi" w:hAnsiTheme="majorBidi" w:cstheme="majorBidi"/>
          <w:sz w:val="24"/>
          <w:szCs w:val="24"/>
          <w:vertAlign w:val="subscript"/>
          <w:lang w:bidi="en-US"/>
        </w:rPr>
        <w:t>50</w:t>
      </w:r>
      <w:r>
        <w:rPr>
          <w:rFonts w:asciiTheme="majorBidi" w:hAnsiTheme="majorBidi" w:cstheme="majorBidi"/>
          <w:sz w:val="24"/>
          <w:szCs w:val="24"/>
          <w:lang w:bidi="en-US"/>
        </w:rPr>
        <w:t xml:space="preserve"> = 60.29±1.06 </w:t>
      </w:r>
      <w:proofErr w:type="spellStart"/>
      <w:r>
        <w:rPr>
          <w:rFonts w:asciiTheme="majorBidi" w:hAnsiTheme="majorBidi" w:cstheme="majorBidi"/>
          <w:sz w:val="24"/>
          <w:szCs w:val="24"/>
          <w:lang w:bidi="en-US"/>
        </w:rPr>
        <w:t>μM</w:t>
      </w:r>
      <w:proofErr w:type="spellEnd"/>
      <w:r>
        <w:rPr>
          <w:rFonts w:asciiTheme="majorBidi" w:hAnsiTheme="majorBidi" w:cstheme="majorBidi"/>
          <w:sz w:val="24"/>
          <w:szCs w:val="24"/>
          <w:lang w:bidi="en-US"/>
        </w:rPr>
        <w:t>) comparable to doxorubicin as a reference anti-cancer drug (IC</w:t>
      </w:r>
      <w:r>
        <w:rPr>
          <w:rFonts w:asciiTheme="majorBidi" w:hAnsiTheme="majorBidi" w:cstheme="majorBidi"/>
          <w:sz w:val="24"/>
          <w:szCs w:val="24"/>
          <w:vertAlign w:val="subscript"/>
          <w:lang w:bidi="en-US"/>
        </w:rPr>
        <w:t>50</w:t>
      </w:r>
      <w:r>
        <w:rPr>
          <w:rFonts w:asciiTheme="majorBidi" w:hAnsiTheme="majorBidi" w:cstheme="majorBidi"/>
          <w:sz w:val="24"/>
          <w:szCs w:val="24"/>
          <w:lang w:bidi="en-US"/>
        </w:rPr>
        <w:t xml:space="preserve"> = </w:t>
      </w:r>
      <w:r>
        <w:rPr>
          <w:rFonts w:asciiTheme="majorBidi" w:hAnsiTheme="majorBidi" w:cstheme="majorBidi"/>
          <w:sz w:val="24"/>
          <w:szCs w:val="24"/>
        </w:rPr>
        <w:t>69.60</w:t>
      </w:r>
      <w:r>
        <w:rPr>
          <w:rFonts w:asciiTheme="majorBidi" w:hAnsiTheme="majorBidi" w:cstheme="majorBidi"/>
          <w:sz w:val="24"/>
          <w:szCs w:val="24"/>
          <w:lang w:bidi="en-US"/>
        </w:rPr>
        <w:t xml:space="preserve">±1.50 </w:t>
      </w:r>
      <w:proofErr w:type="spellStart"/>
      <w:r>
        <w:rPr>
          <w:rFonts w:asciiTheme="majorBidi" w:hAnsiTheme="majorBidi" w:cstheme="majorBidi"/>
          <w:sz w:val="24"/>
          <w:szCs w:val="24"/>
        </w:rPr>
        <w:t>μM</w:t>
      </w:r>
      <w:proofErr w:type="spellEnd"/>
      <w:r>
        <w:rPr>
          <w:rFonts w:asciiTheme="majorBidi" w:hAnsiTheme="majorBidi" w:cstheme="majorBidi"/>
          <w:sz w:val="24"/>
          <w:szCs w:val="24"/>
          <w:lang w:bidi="en-US"/>
        </w:rPr>
        <w:t xml:space="preserve">). Kinase inhibitory assessment of target products against PI3K and docking studies revealed the promising binding affinities which match with the binding mode of the ligand, SW13 towards the active site of PI3K. Therefore, this work represents a promising matrix for developing novel potential anticancer candidates. </w:t>
      </w:r>
    </w:p>
    <w:p w:rsidR="00BE2888" w:rsidRDefault="00BE2888"/>
    <w:sectPr w:rsidR="00BE28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947"/>
    <w:rsid w:val="00BE2888"/>
    <w:rsid w:val="00C009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E4BB4-C084-47B8-BF8A-2244F3CA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94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09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9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Words>
  <Characters>890</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SMART-ITS</dc:creator>
  <cp:keywords/>
  <dc:description/>
  <cp:lastModifiedBy>SMART-ITS</cp:lastModifiedBy>
  <cp:revision>1</cp:revision>
  <dcterms:created xsi:type="dcterms:W3CDTF">2019-01-23T06:53:00Z</dcterms:created>
  <dcterms:modified xsi:type="dcterms:W3CDTF">2019-01-23T06:55:00Z</dcterms:modified>
</cp:coreProperties>
</file>