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05164C" w:rsidRDefault="003C0794" w:rsidP="00861508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9D49B8" w:rsidRDefault="003C0794" w:rsidP="00624893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624893" w:rsidRPr="00624893">
        <w:rPr>
          <w:rFonts w:eastAsia="MS PGothic"/>
          <w:b/>
          <w:color w:val="000000"/>
          <w:sz w:val="22"/>
          <w:szCs w:val="22"/>
        </w:rPr>
        <w:t>Synthesis and cytotoxic evaluation of some new 4-(4oxo-4H-quinazoline-3yl)-thiobenzoic acid-S-(1-H-benzimidazole-2-yl)ester derivates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624893" w:rsidRDefault="00624893" w:rsidP="00624893">
      <w:pPr>
        <w:shd w:val="clear" w:color="auto" w:fill="FFFFFF"/>
        <w:jc w:val="both"/>
        <w:rPr>
          <w:b/>
          <w:bCs/>
          <w:sz w:val="19"/>
          <w:szCs w:val="19"/>
          <w:vertAlign w:val="superscript"/>
          <w:lang w:eastAsia="en-IN"/>
        </w:rPr>
      </w:pPr>
      <w:r w:rsidRPr="00624893">
        <w:rPr>
          <w:b/>
          <w:bCs/>
          <w:sz w:val="19"/>
          <w:szCs w:val="19"/>
          <w:lang w:eastAsia="en-IN"/>
        </w:rPr>
        <w:t>Shirin Banitalebi Dehkordi</w:t>
      </w:r>
      <w:r w:rsidRPr="00624893">
        <w:rPr>
          <w:b/>
          <w:bCs/>
          <w:sz w:val="19"/>
          <w:szCs w:val="19"/>
          <w:vertAlign w:val="superscript"/>
          <w:lang w:eastAsia="en-IN"/>
        </w:rPr>
        <w:t>1</w:t>
      </w:r>
      <w:r w:rsidRPr="00624893">
        <w:rPr>
          <w:b/>
          <w:bCs/>
          <w:sz w:val="19"/>
          <w:szCs w:val="19"/>
          <w:lang w:eastAsia="en-IN"/>
        </w:rPr>
        <w:t>, Farshid Hassanzadeh</w:t>
      </w:r>
      <w:r w:rsidRPr="00624893">
        <w:rPr>
          <w:b/>
          <w:bCs/>
          <w:sz w:val="19"/>
          <w:szCs w:val="19"/>
          <w:vertAlign w:val="superscript"/>
          <w:lang w:eastAsia="en-IN"/>
        </w:rPr>
        <w:t>1</w:t>
      </w:r>
      <w:r w:rsidRPr="00624893">
        <w:rPr>
          <w:b/>
          <w:bCs/>
          <w:sz w:val="19"/>
          <w:szCs w:val="19"/>
          <w:lang w:eastAsia="en-IN"/>
        </w:rPr>
        <w:t>, Marzieh Rahmani Khajouei</w:t>
      </w:r>
      <w:r w:rsidRPr="00624893">
        <w:rPr>
          <w:b/>
          <w:bCs/>
          <w:sz w:val="19"/>
          <w:szCs w:val="19"/>
          <w:vertAlign w:val="superscript"/>
          <w:lang w:eastAsia="en-IN"/>
        </w:rPr>
        <w:t>,2</w:t>
      </w:r>
      <w:r w:rsidRPr="00624893">
        <w:rPr>
          <w:b/>
          <w:bCs/>
          <w:sz w:val="19"/>
          <w:szCs w:val="19"/>
          <w:lang w:eastAsia="en-IN"/>
        </w:rPr>
        <w:t>, Hojat Sadeghi-aliabadi</w:t>
      </w:r>
      <w:r w:rsidRPr="00624893">
        <w:rPr>
          <w:b/>
          <w:bCs/>
          <w:sz w:val="19"/>
          <w:szCs w:val="19"/>
          <w:vertAlign w:val="superscript"/>
          <w:lang w:eastAsia="en-IN"/>
        </w:rPr>
        <w:t>1</w:t>
      </w:r>
      <w:r w:rsidRPr="00624893">
        <w:rPr>
          <w:b/>
          <w:bCs/>
          <w:sz w:val="19"/>
          <w:szCs w:val="19"/>
          <w:lang w:eastAsia="en-IN"/>
        </w:rPr>
        <w:t>, Nasim Dana</w:t>
      </w:r>
      <w:r w:rsidRPr="00624893">
        <w:rPr>
          <w:b/>
          <w:bCs/>
          <w:sz w:val="19"/>
          <w:szCs w:val="19"/>
          <w:vertAlign w:val="superscript"/>
          <w:lang w:eastAsia="en-IN"/>
        </w:rPr>
        <w:t>3</w:t>
      </w:r>
    </w:p>
    <w:p w:rsidR="00624893" w:rsidRPr="00624893" w:rsidRDefault="00624893" w:rsidP="00624893">
      <w:pPr>
        <w:shd w:val="clear" w:color="auto" w:fill="FFFFFF"/>
        <w:jc w:val="both"/>
        <w:rPr>
          <w:b/>
          <w:bCs/>
          <w:sz w:val="19"/>
          <w:szCs w:val="19"/>
          <w:vertAlign w:val="superscript"/>
          <w:lang w:eastAsia="en-IN"/>
        </w:rPr>
      </w:pPr>
    </w:p>
    <w:p w:rsidR="00624893" w:rsidRPr="00624893" w:rsidRDefault="00624893" w:rsidP="00624893">
      <w:pPr>
        <w:jc w:val="left"/>
        <w:rPr>
          <w:rFonts w:eastAsia="MS Mincho"/>
          <w:sz w:val="19"/>
          <w:szCs w:val="19"/>
        </w:rPr>
      </w:pPr>
      <w:r w:rsidRPr="00624893">
        <w:rPr>
          <w:rFonts w:eastAsia="MS Mincho"/>
          <w:sz w:val="19"/>
          <w:szCs w:val="19"/>
          <w:vertAlign w:val="superscript"/>
        </w:rPr>
        <w:t>1</w:t>
      </w:r>
      <w:r w:rsidRPr="00624893">
        <w:rPr>
          <w:rFonts w:eastAsia="MS Mincho"/>
          <w:sz w:val="19"/>
          <w:szCs w:val="19"/>
        </w:rPr>
        <w:t>Department of Medicinal Chemistry, School of Pharmacy and Pharmaceutical Science, Isfahan University of Medical Sciences, Isfahan, I.R.Iran.</w:t>
      </w:r>
    </w:p>
    <w:p w:rsidR="00624893" w:rsidRPr="00624893" w:rsidRDefault="00624893" w:rsidP="00624893">
      <w:pPr>
        <w:jc w:val="left"/>
        <w:rPr>
          <w:rFonts w:eastAsia="MS Mincho"/>
          <w:sz w:val="19"/>
          <w:szCs w:val="19"/>
        </w:rPr>
      </w:pPr>
      <w:r w:rsidRPr="00624893">
        <w:rPr>
          <w:rFonts w:eastAsia="MS Mincho"/>
          <w:sz w:val="19"/>
          <w:szCs w:val="19"/>
          <w:vertAlign w:val="superscript"/>
        </w:rPr>
        <w:t>2</w:t>
      </w:r>
      <w:r w:rsidRPr="00624893">
        <w:rPr>
          <w:rFonts w:eastAsia="MS Mincho"/>
          <w:sz w:val="19"/>
          <w:szCs w:val="19"/>
        </w:rPr>
        <w:t>Isfahan Pharmaceutical Sciences Research Center, Isfahan, I.R.Iran</w:t>
      </w:r>
    </w:p>
    <w:p w:rsidR="00624893" w:rsidRPr="00624893" w:rsidRDefault="00624893" w:rsidP="00624893">
      <w:pPr>
        <w:jc w:val="left"/>
        <w:rPr>
          <w:rFonts w:eastAsia="MS Mincho"/>
          <w:sz w:val="19"/>
          <w:szCs w:val="19"/>
        </w:rPr>
      </w:pPr>
      <w:r w:rsidRPr="00624893">
        <w:rPr>
          <w:rFonts w:eastAsia="MS Mincho"/>
          <w:sz w:val="19"/>
          <w:szCs w:val="19"/>
          <w:vertAlign w:val="superscript"/>
        </w:rPr>
        <w:t>3</w:t>
      </w:r>
      <w:r w:rsidRPr="00624893">
        <w:rPr>
          <w:rFonts w:eastAsia="MS Mincho"/>
          <w:sz w:val="19"/>
          <w:szCs w:val="19"/>
        </w:rPr>
        <w:t>Physiology Research Center, Isfahan University of Medical Sciences, Isfahan, Iran.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624893" w:rsidRPr="00624893" w:rsidRDefault="009D49B8" w:rsidP="0062489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624893" w:rsidRPr="00624893">
        <w:rPr>
          <w:i w:val="0"/>
          <w:iCs w:val="0"/>
          <w:noProof w:val="0"/>
          <w:sz w:val="19"/>
          <w:szCs w:val="19"/>
          <w:lang w:eastAsia="en-IN"/>
        </w:rPr>
        <w:t>quinazoline, imidazole, cytotoxicity, MTT assay</w:t>
      </w:r>
    </w:p>
    <w:p w:rsidR="003C0794" w:rsidRPr="0005164C" w:rsidRDefault="003C0794" w:rsidP="0062489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62489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624893" w:rsidRPr="00624893" w:rsidRDefault="00624893" w:rsidP="00624893">
      <w:pPr>
        <w:autoSpaceDE w:val="0"/>
        <w:autoSpaceDN w:val="0"/>
        <w:adjustRightInd w:val="0"/>
        <w:ind w:left="994"/>
        <w:jc w:val="both"/>
        <w:rPr>
          <w:sz w:val="19"/>
          <w:szCs w:val="19"/>
        </w:rPr>
      </w:pPr>
      <w:r w:rsidRPr="00624893">
        <w:rPr>
          <w:bCs/>
          <w:sz w:val="19"/>
          <w:szCs w:val="19"/>
        </w:rPr>
        <w:t xml:space="preserve">Quinazolines are a group of heterocyclic compounds that  have different biological activities such as cytotoxicity, anti-bacterial, anti-fungal, etc. Benzimidazoles on the other hand are also a group of heterocyclic compunds with anti-tumor, anti-virus, anti-fungal and anti-inflammatory effects.  </w:t>
      </w:r>
      <w:r w:rsidRPr="00624893">
        <w:rPr>
          <w:sz w:val="19"/>
          <w:szCs w:val="19"/>
        </w:rPr>
        <w:t xml:space="preserve">Due to significant cytotoxic effects of both quinazoline and benzimidazole derivatives, in this work a group of quinazolinone-benzimidazole hybrids were prepared. The structures of synthesized compounds were confirmed by IR and 1H-NMR. cytotoxic activity of these compounds were evaluated at concentrations of 1, 10, and 100 μM against MCF-7 and HT-29 cell lines using the MTT colorimetric assay. Results show that compound </w:t>
      </w:r>
      <w:r w:rsidRPr="00624893">
        <w:rPr>
          <w:b/>
          <w:bCs/>
          <w:sz w:val="19"/>
          <w:szCs w:val="19"/>
        </w:rPr>
        <w:t>9d</w:t>
      </w:r>
      <w:r w:rsidRPr="00624893">
        <w:rPr>
          <w:sz w:val="19"/>
          <w:szCs w:val="19"/>
        </w:rPr>
        <w:t xml:space="preserve"> has highest cytotoxic activity against both MCF-7 and HT-29 cell lines.</w:t>
      </w:r>
    </w:p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624893" w:rsidP="003C0794">
      <w:pPr>
        <w:pStyle w:val="BodyText"/>
        <w:jc w:val="left"/>
        <w:rPr>
          <w:sz w:val="19"/>
          <w:szCs w:val="19"/>
        </w:rPr>
      </w:pPr>
      <w:r>
        <w:rPr>
          <w:noProof/>
          <w:sz w:val="19"/>
          <w:szCs w:val="19"/>
          <w:lang w:bidi="fa-IR"/>
        </w:rPr>
        <w:drawing>
          <wp:inline distT="0" distB="0" distL="0" distR="0">
            <wp:extent cx="3200400" cy="2148840"/>
            <wp:effectExtent l="19050" t="0" r="0" b="0"/>
            <wp:docPr id="6" name="Picture 3" descr="reactio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ction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624893" w:rsidRPr="00624893" w:rsidRDefault="00624893" w:rsidP="00624893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sz w:val="19"/>
          <w:szCs w:val="19"/>
        </w:rPr>
      </w:pPr>
      <w:bookmarkStart w:id="0" w:name="2"/>
      <w:bookmarkEnd w:id="0"/>
      <w:r w:rsidRPr="00624893">
        <w:rPr>
          <w:sz w:val="19"/>
          <w:szCs w:val="19"/>
        </w:rPr>
        <w:lastRenderedPageBreak/>
        <w:t>Paul K, Sharma A, Luxami V. Synthesis and in vitro antitumor evaluation of primary amine substituted quinazoline linked benzimidazole.</w:t>
      </w:r>
      <w:r w:rsidRPr="00624893">
        <w:rPr>
          <w:color w:val="000000"/>
          <w:sz w:val="19"/>
          <w:szCs w:val="19"/>
          <w:shd w:val="clear" w:color="auto" w:fill="FFFFFF"/>
        </w:rPr>
        <w:t>Bioorg Med Chem Lett</w:t>
      </w:r>
      <w:r w:rsidRPr="00624893">
        <w:rPr>
          <w:sz w:val="19"/>
          <w:szCs w:val="19"/>
        </w:rPr>
        <w:t>. 2014;24(2):624-29.</w:t>
      </w:r>
    </w:p>
    <w:p w:rsidR="00624893" w:rsidRDefault="00624893" w:rsidP="00624893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624893">
        <w:rPr>
          <w:sz w:val="19"/>
          <w:szCs w:val="19"/>
          <w:lang w:eastAsia="en-IN"/>
        </w:rPr>
        <w:t>Kuemmerle J, Jiang S, Zhang H, Sirisoma N, Kasibhatla S, Crogan-Grundy C</w:t>
      </w:r>
      <w:r w:rsidRPr="00624893">
        <w:rPr>
          <w:i/>
          <w:iCs/>
          <w:sz w:val="19"/>
          <w:szCs w:val="19"/>
          <w:lang w:eastAsia="en-IN"/>
        </w:rPr>
        <w:t>.</w:t>
      </w:r>
      <w:r w:rsidRPr="00624893">
        <w:rPr>
          <w:sz w:val="19"/>
          <w:szCs w:val="19"/>
          <w:lang w:eastAsia="en-IN"/>
        </w:rPr>
        <w:t xml:space="preserve"> Discovery of 1-benzoyl-3-cyanopyrrolo[1,2-a]quinolines as a new series of apoptosis inducers using a cell- and caspase-based high-throughput screening assay. Part 1: Structure–activity relationships of the 1- and 3-positions.</w:t>
      </w:r>
      <w:r w:rsidRPr="00624893">
        <w:rPr>
          <w:i/>
          <w:iCs/>
          <w:sz w:val="19"/>
          <w:szCs w:val="19"/>
          <w:lang w:eastAsia="en-IN"/>
        </w:rPr>
        <w:t xml:space="preserve"> </w:t>
      </w:r>
      <w:r w:rsidRPr="00624893">
        <w:rPr>
          <w:sz w:val="19"/>
          <w:szCs w:val="19"/>
          <w:lang w:eastAsia="en-IN"/>
        </w:rPr>
        <w:t>Bioorg Med Chem Lett</w:t>
      </w:r>
      <w:r w:rsidRPr="00624893">
        <w:rPr>
          <w:i/>
          <w:iCs/>
          <w:sz w:val="19"/>
          <w:szCs w:val="19"/>
          <w:lang w:eastAsia="en-IN"/>
        </w:rPr>
        <w:t>.</w:t>
      </w:r>
      <w:r w:rsidRPr="00624893">
        <w:rPr>
          <w:sz w:val="19"/>
          <w:szCs w:val="19"/>
          <w:lang w:eastAsia="en-IN"/>
        </w:rPr>
        <w:t xml:space="preserve"> 2008;18:6259-6264.</w:t>
      </w:r>
    </w:p>
    <w:p w:rsidR="00624893" w:rsidRDefault="00624893" w:rsidP="00624893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 xml:space="preserve">Solomon VR, Hu C, Lee H. Design and synthesis of anti-breast cancer agents from 4-Piperazinylquinoline : a hybrid pharmacophore approach.Bioorg Med Chem Lett. </w:t>
      </w:r>
      <w:r>
        <w:rPr>
          <w:sz w:val="19"/>
          <w:szCs w:val="19"/>
        </w:rPr>
        <w:t>2010;18(4):1563-</w:t>
      </w:r>
      <w:r w:rsidRPr="00624893">
        <w:rPr>
          <w:sz w:val="19"/>
          <w:szCs w:val="19"/>
        </w:rPr>
        <w:t>72.</w:t>
      </w:r>
    </w:p>
    <w:p w:rsidR="00624893" w:rsidRDefault="00624893" w:rsidP="00624893">
      <w:pPr>
        <w:pStyle w:val="ListParagraph"/>
        <w:autoSpaceDE w:val="0"/>
        <w:autoSpaceDN w:val="0"/>
        <w:adjustRightInd w:val="0"/>
        <w:jc w:val="both"/>
        <w:rPr>
          <w:sz w:val="19"/>
          <w:szCs w:val="19"/>
        </w:rPr>
      </w:pPr>
    </w:p>
    <w:p w:rsidR="00624893" w:rsidRDefault="00624893" w:rsidP="00624893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>Mhaske SB, Argade NP. The chemistry of recently isolated naturally occurring quinazolinone alkaloids.Tetrahedron Lett.</w:t>
      </w:r>
      <w:r>
        <w:rPr>
          <w:sz w:val="19"/>
          <w:szCs w:val="19"/>
        </w:rPr>
        <w:t xml:space="preserve"> 2006;62:9787-</w:t>
      </w:r>
      <w:r w:rsidRPr="00624893">
        <w:rPr>
          <w:sz w:val="19"/>
          <w:szCs w:val="19"/>
        </w:rPr>
        <w:t>826.</w:t>
      </w:r>
    </w:p>
    <w:p w:rsidR="00624893" w:rsidRPr="00624893" w:rsidRDefault="00624893" w:rsidP="00624893">
      <w:pPr>
        <w:autoSpaceDE w:val="0"/>
        <w:autoSpaceDN w:val="0"/>
        <w:adjustRightInd w:val="0"/>
        <w:jc w:val="both"/>
        <w:rPr>
          <w:sz w:val="19"/>
          <w:szCs w:val="19"/>
        </w:rPr>
      </w:pPr>
    </w:p>
    <w:p w:rsidR="00624893" w:rsidRDefault="00624893" w:rsidP="00624893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>Gursoy A, Unal B, Karali N, Otuk G. Synthesis,Characterization and Primary Antimicrobial Activity Evaluation of 3-Phenyl-6-methyl-4-(3H)-quinazolinone-2-yl-mercaptoaceticAcid Arylidenehydra</w:t>
      </w:r>
      <w:r>
        <w:rPr>
          <w:sz w:val="19"/>
          <w:szCs w:val="19"/>
        </w:rPr>
        <w:t>zides. Turk J Chem.2005;29:233-</w:t>
      </w:r>
      <w:r w:rsidRPr="00624893">
        <w:rPr>
          <w:sz w:val="19"/>
          <w:szCs w:val="19"/>
        </w:rPr>
        <w:t>45.</w:t>
      </w:r>
    </w:p>
    <w:p w:rsidR="00624893" w:rsidRPr="00624893" w:rsidRDefault="00624893" w:rsidP="00624893">
      <w:pPr>
        <w:pStyle w:val="ListParagraph"/>
        <w:rPr>
          <w:sz w:val="19"/>
          <w:szCs w:val="19"/>
        </w:rPr>
      </w:pPr>
    </w:p>
    <w:p w:rsidR="00624893" w:rsidRDefault="00624893" w:rsidP="00624893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>Mourad AE, Aly AA, Farag HH, Beshr EA.Microwave assited synthesis of triazoloquinazolinones and benzimidazoqinazolinones.Beilstein J Org Chem</w:t>
      </w:r>
      <w:r w:rsidRPr="00624893">
        <w:rPr>
          <w:i/>
          <w:iCs/>
          <w:sz w:val="19"/>
          <w:szCs w:val="19"/>
        </w:rPr>
        <w:t xml:space="preserve">. </w:t>
      </w:r>
      <w:r w:rsidRPr="00624893">
        <w:rPr>
          <w:sz w:val="19"/>
          <w:szCs w:val="19"/>
        </w:rPr>
        <w:t>2007;3:1-5.</w:t>
      </w:r>
    </w:p>
    <w:p w:rsidR="00624893" w:rsidRPr="00624893" w:rsidRDefault="00624893" w:rsidP="00624893">
      <w:pPr>
        <w:pStyle w:val="ListParagraph"/>
        <w:rPr>
          <w:sz w:val="19"/>
          <w:szCs w:val="19"/>
        </w:rPr>
      </w:pPr>
    </w:p>
    <w:p w:rsidR="00624893" w:rsidRDefault="00624893" w:rsidP="00624893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 xml:space="preserve">Zhou Y, Murphy DE, Sun Z, Gregor VE. Novel parallel synthesis of N-(4-oxo-2-substituted-4-Hquinazolin-3-yl)-substituted sulfonamides. Tetrahedron </w:t>
      </w:r>
      <w:r>
        <w:rPr>
          <w:sz w:val="19"/>
          <w:szCs w:val="19"/>
        </w:rPr>
        <w:t>Lett. 2004;45:8049-</w:t>
      </w:r>
      <w:r w:rsidRPr="00624893">
        <w:rPr>
          <w:sz w:val="19"/>
          <w:szCs w:val="19"/>
        </w:rPr>
        <w:t>51.</w:t>
      </w:r>
    </w:p>
    <w:p w:rsidR="00624893" w:rsidRPr="00624893" w:rsidRDefault="00624893" w:rsidP="00624893">
      <w:pPr>
        <w:pStyle w:val="ListParagraph"/>
        <w:rPr>
          <w:sz w:val="19"/>
          <w:szCs w:val="19"/>
        </w:rPr>
      </w:pPr>
    </w:p>
    <w:p w:rsidR="00624893" w:rsidRPr="00AC3E6A" w:rsidRDefault="00624893" w:rsidP="00AC3E6A">
      <w:pPr>
        <w:pStyle w:val="ListParagraph"/>
        <w:numPr>
          <w:ilvl w:val="0"/>
          <w:numId w:val="16"/>
        </w:num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>Dinakaran M, Selvam P, DeClercq E, Sridhar SK. Synthesis, antiviral and cytotoxic activity of 6-bromo-2, 3-disubstituted-4 (3H)-quinazolinones.Bi</w:t>
      </w:r>
      <w:r>
        <w:rPr>
          <w:sz w:val="19"/>
          <w:szCs w:val="19"/>
        </w:rPr>
        <w:t>ol &amp; Pharm Bull. 2003;26:1278-</w:t>
      </w:r>
      <w:r w:rsidRPr="00624893">
        <w:rPr>
          <w:sz w:val="19"/>
          <w:szCs w:val="19"/>
        </w:rPr>
        <w:t>82</w:t>
      </w:r>
      <w:r w:rsidR="00AC3E6A">
        <w:rPr>
          <w:sz w:val="19"/>
          <w:szCs w:val="19"/>
        </w:rPr>
        <w:t>.</w:t>
      </w:r>
    </w:p>
    <w:p w:rsidR="00624893" w:rsidRPr="00624893" w:rsidRDefault="00624893" w:rsidP="00624893">
      <w:pPr>
        <w:autoSpaceDE w:val="0"/>
        <w:autoSpaceDN w:val="0"/>
        <w:adjustRightInd w:val="0"/>
        <w:jc w:val="both"/>
        <w:rPr>
          <w:sz w:val="19"/>
          <w:szCs w:val="19"/>
        </w:rPr>
      </w:pPr>
      <w:r w:rsidRPr="00624893">
        <w:rPr>
          <w:sz w:val="19"/>
          <w:szCs w:val="19"/>
        </w:rPr>
        <w:t>.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lastRenderedPageBreak/>
        <w:t>Biography:</w:t>
      </w:r>
    </w:p>
    <w:p w:rsidR="00AC3E6A" w:rsidRPr="00AC3E6A" w:rsidRDefault="00AC3E6A" w:rsidP="00AC3E6A">
      <w:pPr>
        <w:ind w:left="994"/>
        <w:jc w:val="both"/>
        <w:rPr>
          <w:rFonts w:eastAsia="MS PGothic"/>
          <w:b/>
          <w:sz w:val="19"/>
          <w:szCs w:val="19"/>
        </w:rPr>
      </w:pPr>
      <w:r w:rsidRPr="00AC3E6A">
        <w:rPr>
          <w:sz w:val="19"/>
          <w:szCs w:val="19"/>
        </w:rPr>
        <w:t xml:space="preserve">I have  completed my Pharm.D at the age of 25 years from Isfahan University of Medical Sciences.I've worked as pharmacist for 3 years and have  hospital experience.I'vr worked on my dissertation for a year in medicinal chemistry department. </w:t>
      </w:r>
      <w:r w:rsidRPr="00AC3E6A">
        <w:rPr>
          <w:sz w:val="19"/>
          <w:szCs w:val="19"/>
        </w:rPr>
        <w:tab/>
      </w:r>
      <w:r w:rsidRPr="00AC3E6A">
        <w:rPr>
          <w:sz w:val="19"/>
          <w:szCs w:val="19"/>
        </w:rPr>
        <w:br/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619760</wp:posOffset>
            </wp:positionH>
            <wp:positionV relativeFrom="paragraph">
              <wp:posOffset>55245</wp:posOffset>
            </wp:positionV>
            <wp:extent cx="1137285" cy="1352550"/>
            <wp:effectExtent l="19050" t="0" r="5715" b="0"/>
            <wp:wrapNone/>
            <wp:docPr id="5" name="Picture 5" descr="IMG_6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636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9300" t="19260" b="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AC3E6A" w:rsidRDefault="00AC3E6A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861508" w:rsidP="00AC3E6A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br/>
      </w:r>
    </w:p>
    <w:p w:rsidR="00AC3E6A" w:rsidRPr="00AC3E6A" w:rsidRDefault="00AC3E6A" w:rsidP="00AC3E6A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              </w:t>
      </w:r>
      <w:r w:rsidRPr="00AC3E6A">
        <w:rPr>
          <w:sz w:val="19"/>
          <w:szCs w:val="19"/>
          <w:lang w:val="en-NZ"/>
        </w:rPr>
        <w:t>Full Name:Shirin Banitalebi Dehkordi</w:t>
      </w:r>
    </w:p>
    <w:p w:rsidR="00AC3E6A" w:rsidRPr="00AC3E6A" w:rsidRDefault="00AC3E6A" w:rsidP="00AC3E6A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              </w:t>
      </w:r>
      <w:r w:rsidRPr="00AC3E6A">
        <w:rPr>
          <w:sz w:val="19"/>
          <w:szCs w:val="19"/>
          <w:lang w:val="en-NZ"/>
        </w:rPr>
        <w:t>Contact number:+989131852744</w:t>
      </w:r>
      <w:r w:rsidRPr="00AC3E6A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 xml:space="preserve">                    </w:t>
      </w:r>
      <w:r w:rsidRPr="00AC3E6A">
        <w:rPr>
          <w:sz w:val="19"/>
          <w:szCs w:val="19"/>
          <w:lang w:val="en-NZ"/>
        </w:rPr>
        <w:t>Linked In account:</w:t>
      </w:r>
      <w:hyperlink r:id="rId7" w:history="1">
        <w:r w:rsidRPr="00AC3E6A">
          <w:rPr>
            <w:rStyle w:val="Hyperlink"/>
            <w:b/>
            <w:sz w:val="19"/>
            <w:szCs w:val="19"/>
            <w:lang w:val="en-NZ"/>
          </w:rPr>
          <w:t>shirin banitalebi</w:t>
        </w:r>
      </w:hyperlink>
      <w:r w:rsidRPr="00AC3E6A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 xml:space="preserve">                    </w:t>
      </w:r>
      <w:r w:rsidRPr="00AC3E6A">
        <w:rPr>
          <w:sz w:val="19"/>
          <w:szCs w:val="19"/>
          <w:lang w:val="en-NZ"/>
        </w:rPr>
        <w:t>Category: Oral presentation</w:t>
      </w:r>
    </w:p>
    <w:p w:rsidR="00AC3E6A" w:rsidRPr="00AC3E6A" w:rsidRDefault="00AC3E6A" w:rsidP="00AC3E6A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                    </w:t>
      </w:r>
      <w:r w:rsidRPr="00AC3E6A">
        <w:rPr>
          <w:sz w:val="19"/>
          <w:szCs w:val="19"/>
          <w:lang w:val="en-NZ"/>
        </w:rPr>
        <w:t>Passport Number</w:t>
      </w:r>
      <w:r w:rsidRPr="00AC3E6A">
        <w:rPr>
          <w:sz w:val="19"/>
          <w:szCs w:val="19"/>
          <w:lang w:val="en-IN"/>
        </w:rPr>
        <w:t>:</w:t>
      </w:r>
      <w:r w:rsidRPr="00AC3E6A">
        <w:rPr>
          <w:sz w:val="19"/>
          <w:szCs w:val="19"/>
          <w:lang w:val="en-NZ"/>
        </w:rPr>
        <w:t>J34181553</w:t>
      </w:r>
    </w:p>
    <w:p w:rsidR="00861508" w:rsidRPr="0005164C" w:rsidRDefault="00861508" w:rsidP="00AC3E6A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3629BA"/>
    <w:multiLevelType w:val="hybridMultilevel"/>
    <w:tmpl w:val="0E7AB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75745244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attachedTemplate r:id="rId1"/>
  <w:stylePaneFormatFilter w:val="1028"/>
  <w:defaultTabStop w:val="720"/>
  <w:doNotHyphenateCaps/>
  <w:characterSpacingControl w:val="doNotCompress"/>
  <w:doNotValidateAgainstSchema/>
  <w:doNotDemarcateInvalidXml/>
  <w:compat/>
  <w:rsids>
    <w:rsidRoot w:val="00624893"/>
    <w:rsid w:val="0004390D"/>
    <w:rsid w:val="0005164C"/>
    <w:rsid w:val="000B4641"/>
    <w:rsid w:val="0010711E"/>
    <w:rsid w:val="00127EDD"/>
    <w:rsid w:val="002043C0"/>
    <w:rsid w:val="00272C82"/>
    <w:rsid w:val="00276735"/>
    <w:rsid w:val="002864A3"/>
    <w:rsid w:val="002B3B81"/>
    <w:rsid w:val="00351E9B"/>
    <w:rsid w:val="003A47B5"/>
    <w:rsid w:val="003A59A6"/>
    <w:rsid w:val="003A69E1"/>
    <w:rsid w:val="003C0794"/>
    <w:rsid w:val="004059FE"/>
    <w:rsid w:val="004227FF"/>
    <w:rsid w:val="004445B3"/>
    <w:rsid w:val="005B520E"/>
    <w:rsid w:val="005B535B"/>
    <w:rsid w:val="006108A4"/>
    <w:rsid w:val="00624893"/>
    <w:rsid w:val="00663E31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D49B8"/>
    <w:rsid w:val="00A510F7"/>
    <w:rsid w:val="00AC3E6A"/>
    <w:rsid w:val="00AC6519"/>
    <w:rsid w:val="00B90358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bidi="ar-SA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bidi="ar-SA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bidi="ar-SA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bidi="ar-SA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bidi="ar-SA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358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248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shirin-banitalebi-dehkordi-26b01a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set\Desktop\pharmaceutical-chemistry-2019-abstract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pharmaceutical-chemistry-2019-abstract-template</Template>
  <TotalTime>13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3666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Reset</dc:creator>
  <cp:lastModifiedBy>Reset</cp:lastModifiedBy>
  <cp:revision>1</cp:revision>
  <dcterms:created xsi:type="dcterms:W3CDTF">2019-01-21T20:28:00Z</dcterms:created>
  <dcterms:modified xsi:type="dcterms:W3CDTF">2019-01-21T20:46:00Z</dcterms:modified>
</cp:coreProperties>
</file>