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AED" w:rsidRDefault="00092AED" w:rsidP="00092AED">
      <w:pPr>
        <w:pStyle w:val="Author"/>
        <w:rPr>
          <w:rFonts w:eastAsia="MS Mincho"/>
          <w:sz w:val="18"/>
          <w:szCs w:val="18"/>
        </w:rPr>
      </w:pPr>
    </w:p>
    <w:p w:rsidR="00092AED" w:rsidRPr="0005164C" w:rsidRDefault="00092AED" w:rsidP="00092AED">
      <w:pPr>
        <w:pStyle w:val="Author"/>
        <w:rPr>
          <w:rFonts w:eastAsia="MS Mincho"/>
          <w:sz w:val="18"/>
          <w:szCs w:val="18"/>
        </w:rPr>
        <w:sectPr w:rsidR="00092AED" w:rsidRPr="0005164C" w:rsidSect="007B7E55">
          <w:pgSz w:w="11909" w:h="16834" w:code="9"/>
          <w:pgMar w:top="1080" w:right="734" w:bottom="2434" w:left="734" w:header="720" w:footer="720" w:gutter="0"/>
          <w:cols w:space="720"/>
          <w:docGrid w:linePitch="360"/>
        </w:sectPr>
      </w:pPr>
    </w:p>
    <w:p w:rsidR="00092AED" w:rsidRDefault="000B146D" w:rsidP="000B146D">
      <w:pPr>
        <w:jc w:val="both"/>
        <w:rPr>
          <w:b/>
          <w:sz w:val="22"/>
          <w:szCs w:val="22"/>
        </w:rPr>
      </w:pPr>
      <w:hyperlink r:id="rId5" w:history="1">
        <w:r>
          <w:rPr>
            <w:b/>
            <w:bCs/>
            <w:i/>
            <w:sz w:val="22"/>
            <w:szCs w:val="22"/>
          </w:rPr>
          <w:t>I</w:t>
        </w:r>
        <w:r w:rsidRPr="000B146D">
          <w:rPr>
            <w:b/>
            <w:bCs/>
            <w:i/>
            <w:sz w:val="22"/>
            <w:szCs w:val="22"/>
          </w:rPr>
          <w:t>n S</w:t>
        </w:r>
        <w:r w:rsidRPr="000B146D">
          <w:rPr>
            <w:b/>
            <w:i/>
            <w:sz w:val="22"/>
            <w:szCs w:val="22"/>
          </w:rPr>
          <w:t>ilico</w:t>
        </w:r>
        <w:r w:rsidRPr="000B146D">
          <w:rPr>
            <w:b/>
            <w:bCs/>
            <w:sz w:val="22"/>
            <w:szCs w:val="22"/>
          </w:rPr>
          <w:t xml:space="preserve"> E</w:t>
        </w:r>
        <w:r w:rsidRPr="000B146D">
          <w:rPr>
            <w:b/>
            <w:sz w:val="22"/>
            <w:szCs w:val="22"/>
          </w:rPr>
          <w:t xml:space="preserve">xploration </w:t>
        </w:r>
        <w:proofErr w:type="gramStart"/>
        <w:r w:rsidRPr="000B146D">
          <w:rPr>
            <w:b/>
            <w:sz w:val="22"/>
            <w:szCs w:val="22"/>
          </w:rPr>
          <w:t>Of</w:t>
        </w:r>
        <w:proofErr w:type="gramEnd"/>
        <w:r w:rsidRPr="000B146D">
          <w:rPr>
            <w:b/>
            <w:sz w:val="22"/>
            <w:szCs w:val="22"/>
          </w:rPr>
          <w:t xml:space="preserve"> </w:t>
        </w:r>
        <w:r w:rsidRPr="000B146D">
          <w:rPr>
            <w:b/>
            <w:sz w:val="22"/>
            <w:szCs w:val="22"/>
            <w:shd w:val="clear" w:color="auto" w:fill="FFFFFF"/>
          </w:rPr>
          <w:t>Steroidal 5α-Reductase Inhibitors</w:t>
        </w:r>
        <w:r w:rsidRPr="000B146D">
          <w:rPr>
            <w:b/>
            <w:sz w:val="22"/>
            <w:szCs w:val="22"/>
          </w:rPr>
          <w:t xml:space="preserve"> </w:t>
        </w:r>
        <w:r w:rsidRPr="000B146D">
          <w:rPr>
            <w:b/>
            <w:bCs/>
            <w:sz w:val="22"/>
            <w:szCs w:val="22"/>
          </w:rPr>
          <w:t>Using QSAR, Molecular D</w:t>
        </w:r>
        <w:r w:rsidRPr="000B146D">
          <w:rPr>
            <w:b/>
            <w:sz w:val="22"/>
            <w:szCs w:val="22"/>
          </w:rPr>
          <w:t xml:space="preserve">ocking And </w:t>
        </w:r>
      </w:hyperlink>
      <w:r w:rsidRPr="000B146D">
        <w:rPr>
          <w:b/>
          <w:sz w:val="22"/>
          <w:szCs w:val="22"/>
        </w:rPr>
        <w:t xml:space="preserve">Pre </w:t>
      </w:r>
      <w:proofErr w:type="spellStart"/>
      <w:r w:rsidRPr="000B146D">
        <w:rPr>
          <w:b/>
          <w:sz w:val="22"/>
          <w:szCs w:val="22"/>
        </w:rPr>
        <w:t>Adme</w:t>
      </w:r>
      <w:proofErr w:type="spellEnd"/>
      <w:r w:rsidRPr="000B146D">
        <w:rPr>
          <w:b/>
          <w:sz w:val="22"/>
          <w:szCs w:val="22"/>
        </w:rPr>
        <w:t xml:space="preserve"> Prediction</w:t>
      </w:r>
    </w:p>
    <w:p w:rsidR="000B146D" w:rsidRDefault="000B146D" w:rsidP="000B146D">
      <w:pPr>
        <w:jc w:val="both"/>
        <w:rPr>
          <w:b/>
          <w:sz w:val="22"/>
          <w:szCs w:val="22"/>
        </w:rPr>
      </w:pPr>
    </w:p>
    <w:p w:rsidR="000B146D" w:rsidRPr="000B146D" w:rsidRDefault="000B146D" w:rsidP="000B146D">
      <w:pPr>
        <w:jc w:val="left"/>
        <w:rPr>
          <w:b/>
          <w:sz w:val="19"/>
          <w:szCs w:val="19"/>
          <w:vertAlign w:val="superscript"/>
        </w:rPr>
      </w:pPr>
      <w:r w:rsidRPr="000B146D">
        <w:rPr>
          <w:b/>
          <w:sz w:val="19"/>
          <w:szCs w:val="19"/>
          <w:u w:val="single"/>
        </w:rPr>
        <w:t>Richa Dhingra</w:t>
      </w:r>
      <w:r w:rsidRPr="000B146D">
        <w:rPr>
          <w:b/>
          <w:sz w:val="19"/>
          <w:szCs w:val="19"/>
          <w:u w:val="single"/>
          <w:vertAlign w:val="superscript"/>
        </w:rPr>
        <w:t>1</w:t>
      </w:r>
      <w:r w:rsidRPr="000B146D">
        <w:rPr>
          <w:b/>
          <w:sz w:val="19"/>
          <w:szCs w:val="19"/>
        </w:rPr>
        <w:t xml:space="preserve">, </w:t>
      </w:r>
      <w:r w:rsidRPr="000B146D">
        <w:rPr>
          <w:rFonts w:eastAsia="Calibri"/>
          <w:b/>
          <w:bCs/>
          <w:sz w:val="19"/>
          <w:szCs w:val="19"/>
        </w:rPr>
        <w:t>Monika</w:t>
      </w:r>
      <w:r w:rsidRPr="000B146D">
        <w:rPr>
          <w:rFonts w:eastAsia="Calibri"/>
          <w:b/>
          <w:bCs/>
          <w:sz w:val="19"/>
          <w:szCs w:val="19"/>
          <w:vertAlign w:val="superscript"/>
        </w:rPr>
        <w:t>1</w:t>
      </w:r>
      <w:r w:rsidRPr="000B146D">
        <w:rPr>
          <w:b/>
          <w:sz w:val="19"/>
          <w:szCs w:val="19"/>
        </w:rPr>
        <w:t>, Manav Malhotra</w:t>
      </w:r>
      <w:r w:rsidRPr="000B146D">
        <w:rPr>
          <w:b/>
          <w:sz w:val="19"/>
          <w:szCs w:val="19"/>
          <w:vertAlign w:val="superscript"/>
        </w:rPr>
        <w:t>2</w:t>
      </w:r>
      <w:r w:rsidRPr="000B146D">
        <w:rPr>
          <w:b/>
          <w:sz w:val="19"/>
          <w:szCs w:val="19"/>
        </w:rPr>
        <w:t>, Tilak Raj Bhardwaj</w:t>
      </w:r>
      <w:r w:rsidRPr="000B146D">
        <w:rPr>
          <w:b/>
          <w:sz w:val="19"/>
          <w:szCs w:val="19"/>
          <w:vertAlign w:val="superscript"/>
        </w:rPr>
        <w:t>3</w:t>
      </w:r>
      <w:r w:rsidRPr="000B146D">
        <w:rPr>
          <w:b/>
          <w:sz w:val="19"/>
          <w:szCs w:val="19"/>
        </w:rPr>
        <w:t>, Neelima D Passi</w:t>
      </w:r>
      <w:r w:rsidRPr="000B146D">
        <w:rPr>
          <w:b/>
          <w:sz w:val="19"/>
          <w:szCs w:val="19"/>
          <w:vertAlign w:val="superscript"/>
        </w:rPr>
        <w:t>1</w:t>
      </w:r>
    </w:p>
    <w:p w:rsidR="000B146D" w:rsidRPr="00F63ED9" w:rsidRDefault="000B146D" w:rsidP="000B146D">
      <w:pPr>
        <w:rPr>
          <w:sz w:val="24"/>
          <w:szCs w:val="24"/>
          <w:vertAlign w:val="superscript"/>
        </w:rPr>
      </w:pPr>
    </w:p>
    <w:p w:rsidR="000B146D" w:rsidRPr="000B146D" w:rsidRDefault="000B146D" w:rsidP="000B146D">
      <w:pPr>
        <w:adjustRightInd w:val="0"/>
        <w:jc w:val="both"/>
        <w:rPr>
          <w:sz w:val="19"/>
          <w:szCs w:val="19"/>
          <w:vertAlign w:val="superscript"/>
        </w:rPr>
      </w:pPr>
      <w:r w:rsidRPr="000B146D">
        <w:rPr>
          <w:sz w:val="19"/>
          <w:szCs w:val="19"/>
          <w:vertAlign w:val="superscript"/>
        </w:rPr>
        <w:t>1</w:t>
      </w:r>
      <w:r w:rsidRPr="000B146D">
        <w:rPr>
          <w:rFonts w:eastAsia="Calibri"/>
          <w:sz w:val="19"/>
          <w:szCs w:val="19"/>
        </w:rPr>
        <w:t>University Institute of Pharmaceutical Sciences, Panjab University,</w:t>
      </w:r>
      <w:r w:rsidRPr="000B146D">
        <w:rPr>
          <w:sz w:val="19"/>
          <w:szCs w:val="19"/>
        </w:rPr>
        <w:t xml:space="preserve"> </w:t>
      </w:r>
      <w:r w:rsidRPr="000B146D">
        <w:rPr>
          <w:rFonts w:eastAsia="Calibri"/>
          <w:sz w:val="19"/>
          <w:szCs w:val="19"/>
        </w:rPr>
        <w:t>Chandigarh-160014, India</w:t>
      </w:r>
    </w:p>
    <w:p w:rsidR="000B146D" w:rsidRPr="000B146D" w:rsidRDefault="000B146D" w:rsidP="000B146D">
      <w:pPr>
        <w:adjustRightInd w:val="0"/>
        <w:jc w:val="both"/>
        <w:rPr>
          <w:sz w:val="19"/>
          <w:szCs w:val="19"/>
          <w:vertAlign w:val="superscript"/>
        </w:rPr>
      </w:pPr>
      <w:proofErr w:type="gramStart"/>
      <w:r w:rsidRPr="000B146D">
        <w:rPr>
          <w:sz w:val="19"/>
          <w:szCs w:val="19"/>
          <w:vertAlign w:val="superscript"/>
        </w:rPr>
        <w:t>2</w:t>
      </w:r>
      <w:r w:rsidRPr="000B146D">
        <w:rPr>
          <w:sz w:val="19"/>
          <w:szCs w:val="19"/>
        </w:rPr>
        <w:t>Manav</w:t>
      </w:r>
      <w:r w:rsidRPr="000B146D">
        <w:rPr>
          <w:sz w:val="19"/>
          <w:szCs w:val="19"/>
          <w:vertAlign w:val="superscript"/>
        </w:rPr>
        <w:t xml:space="preserve"> </w:t>
      </w:r>
      <w:r w:rsidRPr="000B146D">
        <w:rPr>
          <w:sz w:val="19"/>
          <w:szCs w:val="19"/>
        </w:rPr>
        <w:t>Malhotra, M.K Drugs, F-10 Focal point, Industrial Area, Derrabassi-140587, India.</w:t>
      </w:r>
      <w:proofErr w:type="gramEnd"/>
      <w:r w:rsidRPr="000B146D">
        <w:rPr>
          <w:sz w:val="19"/>
          <w:szCs w:val="19"/>
        </w:rPr>
        <w:t xml:space="preserve"> </w:t>
      </w:r>
    </w:p>
    <w:p w:rsidR="000B146D" w:rsidRPr="000B146D" w:rsidRDefault="000B146D" w:rsidP="000B146D">
      <w:pPr>
        <w:jc w:val="both"/>
        <w:rPr>
          <w:sz w:val="19"/>
          <w:szCs w:val="19"/>
          <w:shd w:val="clear" w:color="auto" w:fill="FFFFFF"/>
        </w:rPr>
      </w:pPr>
      <w:r w:rsidRPr="000B146D">
        <w:rPr>
          <w:sz w:val="19"/>
          <w:szCs w:val="19"/>
          <w:vertAlign w:val="superscript"/>
        </w:rPr>
        <w:t>3</w:t>
      </w:r>
      <w:r w:rsidRPr="000B146D">
        <w:rPr>
          <w:sz w:val="19"/>
          <w:szCs w:val="19"/>
        </w:rPr>
        <w:t>Tilak Raj Bhardwaj (</w:t>
      </w:r>
      <w:proofErr w:type="gramStart"/>
      <w:r w:rsidRPr="000B146D">
        <w:rPr>
          <w:sz w:val="19"/>
          <w:szCs w:val="19"/>
          <w:shd w:val="clear" w:color="auto" w:fill="FFFFFF"/>
        </w:rPr>
        <w:t>Dean &amp;</w:t>
      </w:r>
      <w:proofErr w:type="gramEnd"/>
      <w:r w:rsidRPr="000B146D">
        <w:rPr>
          <w:sz w:val="19"/>
          <w:szCs w:val="19"/>
          <w:shd w:val="clear" w:color="auto" w:fill="FFFFFF"/>
        </w:rPr>
        <w:t xml:space="preserve"> Professor) School of Pharmacy and Emerging Sciences, Baddi University, Baddi, H.P.-173205, India</w:t>
      </w:r>
    </w:p>
    <w:p w:rsidR="000B146D" w:rsidRPr="000B146D" w:rsidRDefault="000B146D" w:rsidP="000B146D">
      <w:pPr>
        <w:jc w:val="both"/>
        <w:rPr>
          <w:rFonts w:eastAsia="MS PGothic"/>
          <w:b/>
          <w:color w:val="000000"/>
          <w:sz w:val="22"/>
          <w:szCs w:val="22"/>
        </w:rPr>
      </w:pPr>
    </w:p>
    <w:p w:rsidR="00092AED" w:rsidRPr="009D49B8" w:rsidRDefault="00092AED" w:rsidP="00092AED">
      <w:pPr>
        <w:jc w:val="both"/>
        <w:rPr>
          <w:rFonts w:eastAsia="MS PGothic"/>
          <w:color w:val="000000"/>
          <w:sz w:val="22"/>
          <w:szCs w:val="22"/>
        </w:rPr>
      </w:pPr>
    </w:p>
    <w:p w:rsidR="00092AED" w:rsidRPr="00351E9B" w:rsidRDefault="00092AED" w:rsidP="000B146D">
      <w:pPr>
        <w:jc w:val="both"/>
        <w:rPr>
          <w:rFonts w:eastAsia="MS Mincho"/>
          <w:sz w:val="19"/>
          <w:szCs w:val="19"/>
        </w:rPr>
      </w:pPr>
    </w:p>
    <w:p w:rsidR="00092AED" w:rsidRPr="0005164C" w:rsidRDefault="00092AED" w:rsidP="00092AED">
      <w:pPr>
        <w:rPr>
          <w:rFonts w:eastAsia="MS Mincho"/>
          <w:sz w:val="19"/>
          <w:szCs w:val="19"/>
        </w:rPr>
      </w:pPr>
    </w:p>
    <w:p w:rsidR="00092AED" w:rsidRDefault="00092AED" w:rsidP="00092AED">
      <w:pPr>
        <w:jc w:val="both"/>
        <w:rPr>
          <w:rFonts w:eastAsia="MS Mincho"/>
          <w:sz w:val="19"/>
          <w:szCs w:val="19"/>
        </w:rPr>
      </w:pPr>
    </w:p>
    <w:p w:rsidR="00092AED" w:rsidRPr="0005164C" w:rsidRDefault="00092AED" w:rsidP="00092AED">
      <w:pPr>
        <w:jc w:val="both"/>
        <w:rPr>
          <w:rFonts w:eastAsia="MS Mincho"/>
          <w:sz w:val="19"/>
          <w:szCs w:val="19"/>
        </w:rPr>
        <w:sectPr w:rsidR="00092AED" w:rsidRPr="0005164C" w:rsidSect="007B7E55">
          <w:type w:val="continuous"/>
          <w:pgSz w:w="11909" w:h="16834" w:code="9"/>
          <w:pgMar w:top="1080" w:right="734" w:bottom="2434" w:left="734" w:header="720" w:footer="720" w:gutter="0"/>
          <w:cols w:space="720"/>
          <w:docGrid w:linePitch="360"/>
        </w:sectPr>
      </w:pPr>
    </w:p>
    <w:p w:rsidR="00092AED" w:rsidRPr="0005164C" w:rsidRDefault="00092AED" w:rsidP="00092AED">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0B146D" w:rsidRPr="000B146D">
        <w:rPr>
          <w:i w:val="0"/>
          <w:sz w:val="19"/>
          <w:szCs w:val="19"/>
        </w:rPr>
        <w:t>5 Alpha Reductase Inhibitor, ADME, Docking, PLS,  QSAR</w:t>
      </w:r>
    </w:p>
    <w:p w:rsidR="00092AED" w:rsidRPr="0005164C" w:rsidRDefault="00092AED" w:rsidP="00092AED">
      <w:pPr>
        <w:pStyle w:val="keywords"/>
        <w:ind w:firstLine="0"/>
        <w:rPr>
          <w:b w:val="0"/>
          <w:bCs w:val="0"/>
          <w:i w:val="0"/>
          <w:iCs w:val="0"/>
          <w:noProof w:val="0"/>
          <w:sz w:val="19"/>
          <w:szCs w:val="19"/>
          <w:lang w:val="en-IN" w:eastAsia="en-IN"/>
        </w:rPr>
      </w:pPr>
    </w:p>
    <w:p w:rsidR="00092AED" w:rsidRPr="0005164C" w:rsidRDefault="00092AED" w:rsidP="000B146D">
      <w:pPr>
        <w:pStyle w:val="keywords"/>
        <w:numPr>
          <w:ilvl w:val="0"/>
          <w:numId w:val="2"/>
        </w:numPr>
        <w:tabs>
          <w:tab w:val="left" w:pos="284"/>
        </w:tabs>
        <w:ind w:left="426" w:hanging="426"/>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0B146D" w:rsidRPr="000B146D" w:rsidRDefault="000B146D" w:rsidP="000B146D">
      <w:pPr>
        <w:pStyle w:val="NoSpacing"/>
        <w:jc w:val="both"/>
      </w:pPr>
      <w:r w:rsidRPr="000B146D">
        <w:t>5-Alpha-reductase (5AR</w:t>
      </w:r>
      <w:proofErr w:type="gramStart"/>
      <w:r w:rsidRPr="000B146D">
        <w:t>),</w:t>
      </w:r>
      <w:proofErr w:type="gramEnd"/>
      <w:r w:rsidRPr="000B146D">
        <w:t xml:space="preserve"> is a NADPH dependent membrane bound enzyme convert male hormone testosterone (T) into more potent androgen dihydrotestosterone (DHT). DHT is essential for the development and function of male sex organs, but its overproduction has been found to be associated with physiological conditions like Benign</w:t>
      </w:r>
      <w:r w:rsidRPr="000B146D">
        <w:rPr>
          <w:rFonts w:eastAsia="GulliverRM"/>
        </w:rPr>
        <w:t xml:space="preserve"> Prostatic Hyperplasia (BPH). Thus the inhibition of </w:t>
      </w:r>
      <w:r w:rsidRPr="000B146D">
        <w:t>5ARs could be a key target for the treatment of BPH.</w:t>
      </w:r>
      <w:r w:rsidRPr="000B146D">
        <w:rPr>
          <w:rFonts w:eastAsia="GulliverRM"/>
        </w:rPr>
        <w:t xml:space="preserve"> </w:t>
      </w:r>
      <w:r w:rsidRPr="000B146D">
        <w:t xml:space="preserve">In present study, 2D and 3D </w:t>
      </w:r>
      <w:r w:rsidRPr="000B146D">
        <w:rPr>
          <w:shd w:val="clear" w:color="auto" w:fill="FFFFFF"/>
        </w:rPr>
        <w:t>Quantitative Structure Activity Relationship</w:t>
      </w:r>
      <w:r w:rsidRPr="000B146D">
        <w:rPr>
          <w:b/>
          <w:shd w:val="clear" w:color="auto" w:fill="FFFFFF"/>
        </w:rPr>
        <w:t xml:space="preserve"> (</w:t>
      </w:r>
      <w:r w:rsidRPr="000B146D">
        <w:t xml:space="preserve">QSAR) pharmacophore models have been generated using Vlife MDS 4.6 for 5AR based on known </w:t>
      </w:r>
      <w:r w:rsidRPr="000B146D">
        <w:rPr>
          <w:bCs/>
          <w:color w:val="222222"/>
          <w:shd w:val="clear" w:color="auto" w:fill="FFFFFF"/>
        </w:rPr>
        <w:t>inhibitory concentration</w:t>
      </w:r>
      <w:r w:rsidRPr="000B146D">
        <w:t xml:space="preserve"> (IC</w:t>
      </w:r>
      <w:r w:rsidRPr="000B146D">
        <w:rPr>
          <w:vertAlign w:val="subscript"/>
        </w:rPr>
        <w:t>50</w:t>
      </w:r>
      <w:r w:rsidRPr="000B146D">
        <w:t>)</w:t>
      </w:r>
      <w:r w:rsidRPr="000B146D">
        <w:rPr>
          <w:vertAlign w:val="subscript"/>
        </w:rPr>
        <w:t xml:space="preserve"> </w:t>
      </w:r>
      <w:r w:rsidRPr="000B146D">
        <w:t xml:space="preserve">values with extensive validations. The four featured 2D pharmacophore based </w:t>
      </w:r>
      <w:r w:rsidRPr="000B146D">
        <w:rPr>
          <w:spacing w:val="2"/>
          <w:kern w:val="36"/>
          <w:lang w:eastAsia="en-IN"/>
        </w:rPr>
        <w:t>Partial Least Squares</w:t>
      </w:r>
      <w:r w:rsidRPr="000B146D">
        <w:t xml:space="preserve"> (PLS) model correlated the topological interactions (</w:t>
      </w:r>
      <w:r w:rsidRPr="000B146D">
        <w:rPr>
          <w:color w:val="000000"/>
          <w:shd w:val="clear" w:color="auto" w:fill="FFFFFF"/>
        </w:rPr>
        <w:t>–OH group connected with one single bond</w:t>
      </w:r>
      <w:r w:rsidRPr="000B146D">
        <w:t xml:space="preserve">) (SsOHE-index); semi empirical (Quadrupole2) and physicochemical descriptors (Mol. Wt, Bromines Count, Chlorines Count) with 5AR inhibitory activity, and has the highest </w:t>
      </w:r>
      <w:bookmarkStart w:id="0" w:name="_GoBack"/>
      <w:bookmarkEnd w:id="0"/>
      <w:r w:rsidRPr="000B146D">
        <w:t>correlation coefficient (r</w:t>
      </w:r>
      <w:r w:rsidRPr="000B146D">
        <w:rPr>
          <w:vertAlign w:val="superscript"/>
        </w:rPr>
        <w:t>2</w:t>
      </w:r>
      <w:r w:rsidRPr="000B146D">
        <w:t xml:space="preserve"> = 0.98, q</w:t>
      </w:r>
      <w:r w:rsidRPr="000B146D">
        <w:rPr>
          <w:vertAlign w:val="superscript"/>
        </w:rPr>
        <w:t xml:space="preserve">2 </w:t>
      </w:r>
      <w:r w:rsidRPr="000B146D">
        <w:t>=0.84; F = 57.87, pred r</w:t>
      </w:r>
      <w:r w:rsidRPr="000B146D">
        <w:rPr>
          <w:vertAlign w:val="superscript"/>
        </w:rPr>
        <w:t>2</w:t>
      </w:r>
      <w:r w:rsidRPr="000B146D">
        <w:t xml:space="preserve"> = 0.88). </w:t>
      </w:r>
      <w:r w:rsidRPr="000B146D">
        <w:rPr>
          <w:shd w:val="clear" w:color="auto" w:fill="FFFFFF"/>
        </w:rPr>
        <w:t>The contribution plot of electrostatic field effects and steric interactions generated by 3D-QSAR showed interesting results in terms of internal and external predictability.</w:t>
      </w:r>
      <w:r w:rsidRPr="000B146D">
        <w:t xml:space="preserve"> </w:t>
      </w:r>
      <w:r w:rsidRPr="000B146D">
        <w:rPr>
          <w:noProof/>
        </w:rPr>
        <w:t>To gain more insights into the molecular mechanism of</w:t>
      </w:r>
      <w:r w:rsidRPr="000B146D">
        <w:t xml:space="preserve"> action of these steroidal derivatives, molecular docking and </w:t>
      </w:r>
      <w:r w:rsidRPr="000B146D">
        <w:rPr>
          <w:rStyle w:val="Emphasis"/>
        </w:rPr>
        <w:t>in silico</w:t>
      </w:r>
      <w:r w:rsidRPr="000B146D">
        <w:t xml:space="preserve"> absorption, distribution, metabolism, and excretion (ADME) studies were also performed. Studies have revealed the hydrophobic and hydrogen bonding of the ligand with residues </w:t>
      </w:r>
      <w:r w:rsidRPr="000B146D">
        <w:rPr>
          <w:bCs/>
          <w:color w:val="222222"/>
          <w:shd w:val="clear" w:color="auto" w:fill="FFFFFF"/>
        </w:rPr>
        <w:t>Alanine</w:t>
      </w:r>
      <w:r w:rsidRPr="000B146D">
        <w:t xml:space="preserve"> (ALA) 63A, </w:t>
      </w:r>
      <w:r w:rsidRPr="000B146D">
        <w:rPr>
          <w:color w:val="000000"/>
        </w:rPr>
        <w:t>Threonine</w:t>
      </w:r>
      <w:r w:rsidRPr="000B146D">
        <w:t xml:space="preserve"> (THR) 60A, and </w:t>
      </w:r>
      <w:r w:rsidRPr="000B146D">
        <w:rPr>
          <w:color w:val="000000"/>
        </w:rPr>
        <w:t>Arginine (</w:t>
      </w:r>
      <w:r w:rsidRPr="000B146D">
        <w:t xml:space="preserve">ARG) 456A of 4AT0 protein at the hinge region. The results of QSAR, molecular docking, </w:t>
      </w:r>
      <w:r w:rsidRPr="000B146D">
        <w:rPr>
          <w:rStyle w:val="Emphasis"/>
        </w:rPr>
        <w:t>in silico</w:t>
      </w:r>
      <w:r w:rsidRPr="000B146D">
        <w:t xml:space="preserve"> ADME studies provide </w:t>
      </w:r>
      <w:r w:rsidRPr="000B146D">
        <w:rPr>
          <w:noProof/>
        </w:rPr>
        <w:t>guideline</w:t>
      </w:r>
      <w:r w:rsidRPr="000B146D">
        <w:t xml:space="preserve"> and mechanistic scope for the identification of more potent 5-Alpha-reductase inhibitors (5ARI).</w:t>
      </w:r>
    </w:p>
    <w:p w:rsidR="00092AED" w:rsidRPr="0005164C" w:rsidRDefault="00092AED" w:rsidP="00074D2C">
      <w:pPr>
        <w:jc w:val="both"/>
        <w:rPr>
          <w:b/>
          <w:sz w:val="19"/>
          <w:szCs w:val="19"/>
        </w:rPr>
      </w:pPr>
    </w:p>
    <w:p w:rsidR="00092AED" w:rsidRPr="0005164C" w:rsidRDefault="00092AED" w:rsidP="00092AED">
      <w:pPr>
        <w:rPr>
          <w:sz w:val="19"/>
          <w:szCs w:val="19"/>
        </w:rPr>
      </w:pPr>
    </w:p>
    <w:p w:rsidR="00092AED" w:rsidRPr="0005164C" w:rsidRDefault="00092AED" w:rsidP="00092AED">
      <w:pPr>
        <w:pStyle w:val="BodyText"/>
        <w:ind w:firstLine="0"/>
        <w:rPr>
          <w:sz w:val="19"/>
          <w:szCs w:val="19"/>
        </w:rPr>
      </w:pPr>
    </w:p>
    <w:p w:rsidR="00092AED" w:rsidRPr="0005164C" w:rsidRDefault="00092AED" w:rsidP="00092AED">
      <w:pPr>
        <w:pStyle w:val="BodyText"/>
        <w:jc w:val="left"/>
        <w:rPr>
          <w:sz w:val="19"/>
          <w:szCs w:val="19"/>
        </w:rPr>
      </w:pPr>
    </w:p>
    <w:p w:rsidR="00092AED" w:rsidRPr="0005164C" w:rsidRDefault="00092AED" w:rsidP="007B7E55">
      <w:pPr>
        <w:pStyle w:val="BodyText"/>
        <w:numPr>
          <w:ilvl w:val="0"/>
          <w:numId w:val="2"/>
        </w:numPr>
        <w:ind w:left="851" w:hanging="567"/>
        <w:jc w:val="left"/>
        <w:rPr>
          <w:b/>
          <w:sz w:val="19"/>
          <w:szCs w:val="19"/>
        </w:rPr>
      </w:pPr>
      <w:r w:rsidRPr="0005164C">
        <w:rPr>
          <w:b/>
          <w:sz w:val="19"/>
          <w:szCs w:val="19"/>
        </w:rPr>
        <w:lastRenderedPageBreak/>
        <w:t>Reference:</w:t>
      </w:r>
    </w:p>
    <w:p w:rsidR="007B7E55" w:rsidRPr="007B7E55" w:rsidRDefault="007B7E55" w:rsidP="007B7E55">
      <w:pPr>
        <w:pStyle w:val="ListParagraph"/>
        <w:numPr>
          <w:ilvl w:val="0"/>
          <w:numId w:val="5"/>
        </w:numPr>
        <w:tabs>
          <w:tab w:val="left" w:pos="851"/>
        </w:tabs>
        <w:autoSpaceDE w:val="0"/>
        <w:autoSpaceDN w:val="0"/>
        <w:adjustRightInd w:val="0"/>
        <w:spacing w:after="200"/>
        <w:ind w:left="851" w:hanging="284"/>
        <w:jc w:val="left"/>
        <w:rPr>
          <w:sz w:val="18"/>
          <w:szCs w:val="18"/>
        </w:rPr>
      </w:pPr>
      <w:bookmarkStart w:id="1" w:name="2"/>
      <w:bookmarkEnd w:id="1"/>
      <w:r w:rsidRPr="007B7E55">
        <w:rPr>
          <w:sz w:val="18"/>
          <w:szCs w:val="18"/>
        </w:rPr>
        <w:t>Ibrahim-Quails, M.</w:t>
      </w:r>
      <w:r w:rsidRPr="007B7E55">
        <w:rPr>
          <w:i/>
          <w:sz w:val="18"/>
          <w:szCs w:val="18"/>
        </w:rPr>
        <w:t xml:space="preserve"> </w:t>
      </w:r>
      <w:r w:rsidRPr="007B7E55">
        <w:rPr>
          <w:sz w:val="18"/>
          <w:szCs w:val="18"/>
        </w:rPr>
        <w:t xml:space="preserve">First total synthesis of 11-selena steroids. </w:t>
      </w:r>
      <w:r w:rsidRPr="007B7E55">
        <w:rPr>
          <w:i/>
          <w:sz w:val="18"/>
          <w:szCs w:val="18"/>
        </w:rPr>
        <w:t xml:space="preserve">Tert. </w:t>
      </w:r>
      <w:proofErr w:type="gramStart"/>
      <w:r w:rsidRPr="007B7E55">
        <w:rPr>
          <w:i/>
          <w:sz w:val="18"/>
          <w:szCs w:val="18"/>
        </w:rPr>
        <w:t>Lett.,</w:t>
      </w:r>
      <w:proofErr w:type="gramEnd"/>
      <w:r w:rsidRPr="007B7E55">
        <w:rPr>
          <w:sz w:val="18"/>
          <w:szCs w:val="18"/>
        </w:rPr>
        <w:t xml:space="preserve"> </w:t>
      </w:r>
      <w:r w:rsidRPr="007B7E55">
        <w:rPr>
          <w:b/>
          <w:sz w:val="18"/>
          <w:szCs w:val="18"/>
        </w:rPr>
        <w:t>2009,</w:t>
      </w:r>
      <w:r w:rsidRPr="007B7E55">
        <w:rPr>
          <w:sz w:val="18"/>
          <w:szCs w:val="18"/>
        </w:rPr>
        <w:t xml:space="preserve"> </w:t>
      </w:r>
      <w:r w:rsidRPr="007B7E55">
        <w:rPr>
          <w:i/>
          <w:sz w:val="18"/>
          <w:szCs w:val="18"/>
        </w:rPr>
        <w:t>50</w:t>
      </w:r>
      <w:r w:rsidRPr="007B7E55">
        <w:rPr>
          <w:sz w:val="18"/>
          <w:szCs w:val="18"/>
        </w:rPr>
        <w:t>, 1607-1609.</w:t>
      </w:r>
    </w:p>
    <w:p w:rsidR="007B7E55" w:rsidRDefault="007B7E55" w:rsidP="007B7E55">
      <w:pPr>
        <w:pStyle w:val="ListParagraph"/>
        <w:numPr>
          <w:ilvl w:val="0"/>
          <w:numId w:val="5"/>
        </w:numPr>
        <w:autoSpaceDE w:val="0"/>
        <w:autoSpaceDN w:val="0"/>
        <w:adjustRightInd w:val="0"/>
        <w:spacing w:after="200"/>
        <w:ind w:left="851" w:hanging="284"/>
        <w:jc w:val="left"/>
        <w:rPr>
          <w:sz w:val="18"/>
          <w:szCs w:val="18"/>
        </w:rPr>
      </w:pPr>
      <w:r w:rsidRPr="007B7E55">
        <w:rPr>
          <w:sz w:val="18"/>
          <w:szCs w:val="18"/>
        </w:rPr>
        <w:t xml:space="preserve"> Singh, H.; Jindal, D.; Yadav, M.; Kumar, M. Heterosteroids and drug research. </w:t>
      </w:r>
      <w:r w:rsidRPr="007B7E55">
        <w:rPr>
          <w:i/>
          <w:sz w:val="18"/>
          <w:szCs w:val="18"/>
        </w:rPr>
        <w:t>Prog .Med. Chem</w:t>
      </w:r>
      <w:r w:rsidRPr="007B7E55">
        <w:rPr>
          <w:sz w:val="18"/>
          <w:szCs w:val="18"/>
        </w:rPr>
        <w:t xml:space="preserve">., </w:t>
      </w:r>
      <w:r w:rsidRPr="007B7E55">
        <w:rPr>
          <w:b/>
          <w:sz w:val="18"/>
          <w:szCs w:val="18"/>
        </w:rPr>
        <w:t>1991</w:t>
      </w:r>
      <w:r w:rsidRPr="007B7E55">
        <w:rPr>
          <w:sz w:val="18"/>
          <w:szCs w:val="18"/>
        </w:rPr>
        <w:t xml:space="preserve">, </w:t>
      </w:r>
      <w:r w:rsidRPr="007B7E55">
        <w:rPr>
          <w:i/>
          <w:sz w:val="18"/>
          <w:szCs w:val="18"/>
        </w:rPr>
        <w:t xml:space="preserve">28, </w:t>
      </w:r>
      <w:r w:rsidRPr="007B7E55">
        <w:rPr>
          <w:sz w:val="18"/>
          <w:szCs w:val="18"/>
        </w:rPr>
        <w:t xml:space="preserve">233-300. </w:t>
      </w:r>
    </w:p>
    <w:p w:rsidR="007B7E55" w:rsidRPr="007B7E55" w:rsidRDefault="007B7E55" w:rsidP="007B7E55">
      <w:pPr>
        <w:pStyle w:val="ListParagraph"/>
        <w:autoSpaceDE w:val="0"/>
        <w:autoSpaceDN w:val="0"/>
        <w:adjustRightInd w:val="0"/>
        <w:spacing w:after="200"/>
        <w:ind w:left="567"/>
        <w:jc w:val="both"/>
        <w:rPr>
          <w:sz w:val="18"/>
          <w:szCs w:val="18"/>
        </w:rPr>
      </w:pPr>
    </w:p>
    <w:p w:rsidR="00092AED" w:rsidRPr="00074D2C" w:rsidRDefault="007B7E55" w:rsidP="00092AED">
      <w:pPr>
        <w:autoSpaceDE w:val="0"/>
        <w:autoSpaceDN w:val="0"/>
        <w:adjustRightInd w:val="0"/>
        <w:jc w:val="left"/>
        <w:rPr>
          <w:b/>
          <w:sz w:val="19"/>
          <w:szCs w:val="19"/>
          <w:lang w:val="en-NZ"/>
        </w:rPr>
      </w:pPr>
      <w:r>
        <w:rPr>
          <w:sz w:val="19"/>
          <w:szCs w:val="19"/>
          <w:lang w:val="en-NZ"/>
        </w:rPr>
        <w:br/>
      </w:r>
      <w:r w:rsidR="00074D2C">
        <w:rPr>
          <w:sz w:val="19"/>
          <w:szCs w:val="19"/>
          <w:lang w:val="en-NZ"/>
        </w:rPr>
        <w:t xml:space="preserve">        </w:t>
      </w:r>
      <w:r>
        <w:rPr>
          <w:sz w:val="19"/>
          <w:szCs w:val="19"/>
          <w:lang w:val="en-NZ"/>
        </w:rPr>
        <w:t xml:space="preserve">Category:  </w:t>
      </w:r>
      <w:r w:rsidRPr="007B7E55">
        <w:rPr>
          <w:b/>
          <w:sz w:val="19"/>
          <w:szCs w:val="19"/>
          <w:lang w:val="en-NZ"/>
        </w:rPr>
        <w:t>Poster presentation</w:t>
      </w:r>
    </w:p>
    <w:p w:rsidR="00B72B91" w:rsidRDefault="00B72B91"/>
    <w:sectPr w:rsidR="00B72B91" w:rsidSect="007B7E55">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973F1F"/>
    <w:multiLevelType w:val="hybridMultilevel"/>
    <w:tmpl w:val="7090D36E"/>
    <w:lvl w:ilvl="0" w:tplc="A148DCF6">
      <w:start w:val="1"/>
      <w:numFmt w:val="decimal"/>
      <w:lvlText w:val="%1."/>
      <w:lvlJc w:val="left"/>
      <w:pPr>
        <w:ind w:left="1354" w:hanging="360"/>
      </w:pPr>
      <w:rPr>
        <w:rFonts w:ascii="Times New Roman" w:eastAsia="Times New Roman" w:hAnsi="Times New Roman" w:cs="Times New Roman"/>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D850AC4"/>
    <w:multiLevelType w:val="hybridMultilevel"/>
    <w:tmpl w:val="F424C1F2"/>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6A895C21"/>
    <w:multiLevelType w:val="hybridMultilevel"/>
    <w:tmpl w:val="70260402"/>
    <w:lvl w:ilvl="0" w:tplc="4738A754">
      <w:start w:val="1"/>
      <w:numFmt w:val="decimal"/>
      <w:lvlText w:val="[%1]"/>
      <w:lvlJc w:val="left"/>
      <w:pPr>
        <w:ind w:left="433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4">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092AED"/>
    <w:rsid w:val="00074D2C"/>
    <w:rsid w:val="00092AED"/>
    <w:rsid w:val="000B146D"/>
    <w:rsid w:val="007B7E55"/>
    <w:rsid w:val="00B72B9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AED"/>
    <w:pPr>
      <w:spacing w:after="0" w:line="240" w:lineRule="auto"/>
      <w:jc w:val="center"/>
    </w:pPr>
    <w:rPr>
      <w:rFonts w:ascii="Times New Roman" w:eastAsia="Times New Roman" w:hAnsi="Times New Roman" w:cs="Times New Roman"/>
      <w:sz w:val="20"/>
      <w:szCs w:val="20"/>
      <w:lang w:val="en-US"/>
    </w:rPr>
  </w:style>
  <w:style w:type="paragraph" w:styleId="Heading2">
    <w:name w:val="heading 2"/>
    <w:basedOn w:val="Normal"/>
    <w:link w:val="Heading2Char"/>
    <w:uiPriority w:val="9"/>
    <w:qFormat/>
    <w:rsid w:val="000B146D"/>
    <w:pPr>
      <w:spacing w:before="100" w:beforeAutospacing="1" w:after="100" w:afterAutospacing="1"/>
      <w:jc w:val="left"/>
      <w:outlineLvl w:val="1"/>
    </w:pPr>
    <w:rPr>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092AED"/>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092AED"/>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092AED"/>
    <w:rPr>
      <w:rFonts w:ascii="Times New Roman" w:eastAsia="MS Mincho" w:hAnsi="Times New Roman" w:cs="Times New Roman"/>
      <w:spacing w:val="-1"/>
      <w:sz w:val="20"/>
      <w:szCs w:val="20"/>
      <w:lang w:val="en-US"/>
    </w:rPr>
  </w:style>
  <w:style w:type="paragraph" w:customStyle="1" w:styleId="keywords">
    <w:name w:val="key words"/>
    <w:uiPriority w:val="99"/>
    <w:rsid w:val="00092AED"/>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092AED"/>
    <w:rPr>
      <w:rFonts w:ascii="Tahoma" w:hAnsi="Tahoma" w:cs="Tahoma"/>
      <w:sz w:val="16"/>
      <w:szCs w:val="16"/>
    </w:rPr>
  </w:style>
  <w:style w:type="character" w:customStyle="1" w:styleId="BalloonTextChar">
    <w:name w:val="Balloon Text Char"/>
    <w:basedOn w:val="DefaultParagraphFont"/>
    <w:link w:val="BalloonText"/>
    <w:uiPriority w:val="99"/>
    <w:semiHidden/>
    <w:rsid w:val="00092AED"/>
    <w:rPr>
      <w:rFonts w:ascii="Tahoma" w:eastAsia="Times New Roman" w:hAnsi="Tahoma" w:cs="Tahoma"/>
      <w:sz w:val="16"/>
      <w:szCs w:val="16"/>
      <w:lang w:val="en-US"/>
    </w:rPr>
  </w:style>
  <w:style w:type="character" w:customStyle="1" w:styleId="Heading2Char">
    <w:name w:val="Heading 2 Char"/>
    <w:basedOn w:val="DefaultParagraphFont"/>
    <w:link w:val="Heading2"/>
    <w:uiPriority w:val="9"/>
    <w:rsid w:val="000B146D"/>
    <w:rPr>
      <w:rFonts w:ascii="Times New Roman" w:eastAsia="Times New Roman" w:hAnsi="Times New Roman" w:cs="Times New Roman"/>
      <w:b/>
      <w:bCs/>
      <w:sz w:val="36"/>
      <w:szCs w:val="36"/>
      <w:lang w:eastAsia="en-IN"/>
    </w:rPr>
  </w:style>
  <w:style w:type="character" w:styleId="Emphasis">
    <w:name w:val="Emphasis"/>
    <w:basedOn w:val="DefaultParagraphFont"/>
    <w:uiPriority w:val="20"/>
    <w:qFormat/>
    <w:rsid w:val="000B146D"/>
    <w:rPr>
      <w:i/>
      <w:iCs/>
    </w:rPr>
  </w:style>
  <w:style w:type="paragraph" w:styleId="ListParagraph">
    <w:name w:val="List Paragraph"/>
    <w:basedOn w:val="Normal"/>
    <w:uiPriority w:val="34"/>
    <w:qFormat/>
    <w:rsid w:val="000B146D"/>
    <w:pPr>
      <w:ind w:left="720"/>
      <w:contextualSpacing/>
    </w:pPr>
  </w:style>
  <w:style w:type="paragraph" w:styleId="NoSpacing">
    <w:name w:val="No Spacing"/>
    <w:uiPriority w:val="1"/>
    <w:qFormat/>
    <w:rsid w:val="000B146D"/>
    <w:pPr>
      <w:spacing w:after="0" w:line="240" w:lineRule="auto"/>
      <w:jc w:val="center"/>
    </w:pPr>
    <w:rPr>
      <w:rFonts w:ascii="Times New Roman" w:eastAsia="Times New Roman"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article/pii/S147692711830648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2018-11-13T15:01:00Z</dcterms:created>
  <dcterms:modified xsi:type="dcterms:W3CDTF">2018-11-14T10:23:00Z</dcterms:modified>
</cp:coreProperties>
</file>