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F1D6B" w14:textId="26CA21EC" w:rsidR="006E6997" w:rsidRPr="00BA7BCD" w:rsidRDefault="00BA7BCD" w:rsidP="006E6997">
      <w:pPr>
        <w:autoSpaceDE w:val="0"/>
        <w:autoSpaceDN w:val="0"/>
        <w:adjustRightInd w:val="0"/>
        <w:spacing w:after="0" w:line="240" w:lineRule="auto"/>
        <w:rPr>
          <w:rFonts w:cstheme="minorHAnsi"/>
          <w:b/>
          <w:sz w:val="28"/>
          <w:szCs w:val="28"/>
        </w:rPr>
      </w:pPr>
      <w:r w:rsidRPr="00BA7BCD">
        <w:rPr>
          <w:rFonts w:cstheme="minorHAnsi"/>
          <w:b/>
          <w:sz w:val="28"/>
          <w:szCs w:val="28"/>
        </w:rPr>
        <w:t>Molecular targeting and p</w:t>
      </w:r>
      <w:r w:rsidR="009941A8" w:rsidRPr="00BA7BCD">
        <w:rPr>
          <w:rFonts w:cstheme="minorHAnsi"/>
          <w:b/>
          <w:sz w:val="28"/>
          <w:szCs w:val="28"/>
        </w:rPr>
        <w:t>ersonalized cancer t</w:t>
      </w:r>
      <w:r w:rsidR="006E6997" w:rsidRPr="00BA7BCD">
        <w:rPr>
          <w:rFonts w:cstheme="minorHAnsi"/>
          <w:b/>
          <w:sz w:val="28"/>
          <w:szCs w:val="28"/>
        </w:rPr>
        <w:t>herapeutics</w:t>
      </w:r>
    </w:p>
    <w:p w14:paraId="4E188290" w14:textId="77777777" w:rsidR="009941A8" w:rsidRPr="00BA7BCD" w:rsidRDefault="009941A8" w:rsidP="006E6997">
      <w:pPr>
        <w:autoSpaceDE w:val="0"/>
        <w:autoSpaceDN w:val="0"/>
        <w:adjustRightInd w:val="0"/>
        <w:spacing w:after="0" w:line="240" w:lineRule="auto"/>
        <w:rPr>
          <w:rFonts w:ascii="ArialUnicodeMS" w:hAnsi="ArialUnicodeMS" w:cs="ArialUnicodeMS"/>
          <w:b/>
          <w:sz w:val="24"/>
          <w:szCs w:val="24"/>
        </w:rPr>
      </w:pPr>
    </w:p>
    <w:p w14:paraId="1D55AF59" w14:textId="7B44FC1E" w:rsidR="009941A8" w:rsidRPr="00BA7BCD" w:rsidRDefault="009941A8" w:rsidP="006E6997">
      <w:pPr>
        <w:autoSpaceDE w:val="0"/>
        <w:autoSpaceDN w:val="0"/>
        <w:adjustRightInd w:val="0"/>
        <w:spacing w:after="0" w:line="240" w:lineRule="auto"/>
        <w:rPr>
          <w:rFonts w:cstheme="minorHAnsi"/>
          <w:b/>
          <w:sz w:val="28"/>
          <w:szCs w:val="28"/>
        </w:rPr>
      </w:pPr>
      <w:r w:rsidRPr="00BA7BCD">
        <w:rPr>
          <w:rFonts w:cstheme="minorHAnsi"/>
          <w:b/>
          <w:sz w:val="28"/>
          <w:szCs w:val="28"/>
        </w:rPr>
        <w:t xml:space="preserve">Salah M. </w:t>
      </w:r>
      <w:proofErr w:type="spellStart"/>
      <w:r w:rsidRPr="00BA7BCD">
        <w:rPr>
          <w:rFonts w:cstheme="minorHAnsi"/>
          <w:b/>
          <w:sz w:val="28"/>
          <w:szCs w:val="28"/>
        </w:rPr>
        <w:t>Blaih</w:t>
      </w:r>
      <w:r w:rsidR="003E754B" w:rsidRPr="00BA7BCD">
        <w:rPr>
          <w:rFonts w:cstheme="minorHAnsi"/>
          <w:b/>
          <w:sz w:val="28"/>
          <w:szCs w:val="28"/>
        </w:rPr>
        <w:t>,</w:t>
      </w:r>
      <w:proofErr w:type="spellEnd"/>
      <w:r w:rsidR="003E754B" w:rsidRPr="00BA7BCD">
        <w:rPr>
          <w:rFonts w:cstheme="minorHAnsi"/>
          <w:b/>
          <w:sz w:val="28"/>
          <w:szCs w:val="28"/>
        </w:rPr>
        <w:t xml:space="preserve"> </w:t>
      </w:r>
      <w:r w:rsidR="003E754B" w:rsidRPr="00BA7BCD">
        <w:rPr>
          <w:rFonts w:cstheme="minorHAnsi"/>
          <w:b/>
          <w:i/>
          <w:sz w:val="28"/>
          <w:szCs w:val="28"/>
        </w:rPr>
        <w:t>Ph</w:t>
      </w:r>
      <w:r w:rsidR="003E754B" w:rsidRPr="00BA7BCD">
        <w:rPr>
          <w:rFonts w:cstheme="minorHAnsi"/>
          <w:b/>
          <w:i/>
          <w:sz w:val="28"/>
          <w:szCs w:val="28"/>
        </w:rPr>
        <w:t>.</w:t>
      </w:r>
      <w:r w:rsidR="003E754B" w:rsidRPr="00BA7BCD">
        <w:rPr>
          <w:rFonts w:cstheme="minorHAnsi"/>
          <w:b/>
          <w:i/>
          <w:sz w:val="28"/>
          <w:szCs w:val="28"/>
        </w:rPr>
        <w:t>D</w:t>
      </w:r>
      <w:r w:rsidR="003E754B" w:rsidRPr="00BA7BCD">
        <w:rPr>
          <w:rFonts w:cstheme="minorHAnsi"/>
          <w:b/>
          <w:i/>
          <w:sz w:val="28"/>
          <w:szCs w:val="28"/>
        </w:rPr>
        <w:t>.</w:t>
      </w:r>
      <w:r w:rsidR="003E754B" w:rsidRPr="00BA7BCD">
        <w:rPr>
          <w:rFonts w:cstheme="minorHAnsi"/>
          <w:b/>
          <w:i/>
          <w:sz w:val="28"/>
          <w:szCs w:val="28"/>
        </w:rPr>
        <w:t xml:space="preserve">, </w:t>
      </w:r>
      <w:proofErr w:type="spellStart"/>
      <w:r w:rsidR="003E754B" w:rsidRPr="00BA7BCD">
        <w:rPr>
          <w:rFonts w:cstheme="minorHAnsi"/>
          <w:b/>
          <w:i/>
          <w:sz w:val="28"/>
          <w:szCs w:val="28"/>
        </w:rPr>
        <w:t>RPh</w:t>
      </w:r>
      <w:proofErr w:type="spellEnd"/>
      <w:r w:rsidR="003E754B" w:rsidRPr="00BA7BCD">
        <w:rPr>
          <w:rFonts w:cstheme="minorHAnsi"/>
          <w:b/>
          <w:i/>
          <w:sz w:val="28"/>
          <w:szCs w:val="28"/>
        </w:rPr>
        <w:t>, FRSC</w:t>
      </w:r>
      <w:r w:rsidRPr="00BA7BCD">
        <w:rPr>
          <w:rFonts w:cstheme="minorHAnsi"/>
          <w:b/>
          <w:sz w:val="28"/>
          <w:szCs w:val="28"/>
        </w:rPr>
        <w:t xml:space="preserve"> </w:t>
      </w:r>
    </w:p>
    <w:p w14:paraId="7B34A56C" w14:textId="77777777" w:rsidR="009941A8" w:rsidRDefault="009941A8" w:rsidP="006E6997">
      <w:pPr>
        <w:autoSpaceDE w:val="0"/>
        <w:autoSpaceDN w:val="0"/>
        <w:adjustRightInd w:val="0"/>
        <w:spacing w:after="0" w:line="240" w:lineRule="auto"/>
        <w:rPr>
          <w:rFonts w:ascii="ArialUnicodeMS" w:hAnsi="ArialUnicodeMS" w:cs="ArialUnicodeMS"/>
          <w:sz w:val="24"/>
          <w:szCs w:val="24"/>
        </w:rPr>
      </w:pPr>
      <w:r>
        <w:rPr>
          <w:rFonts w:ascii="ArialUnicodeMS" w:hAnsi="ArialUnicodeMS" w:cs="ArialUnicodeMS"/>
          <w:sz w:val="24"/>
          <w:szCs w:val="24"/>
        </w:rPr>
        <w:t xml:space="preserve">  </w:t>
      </w:r>
    </w:p>
    <w:p w14:paraId="2DBB1400" w14:textId="77777777" w:rsidR="009941A8" w:rsidRPr="00117069" w:rsidRDefault="009941A8" w:rsidP="006E6997">
      <w:pPr>
        <w:autoSpaceDE w:val="0"/>
        <w:autoSpaceDN w:val="0"/>
        <w:adjustRightInd w:val="0"/>
        <w:spacing w:after="0" w:line="240" w:lineRule="auto"/>
        <w:rPr>
          <w:rFonts w:cstheme="minorHAnsi"/>
          <w:sz w:val="24"/>
          <w:szCs w:val="24"/>
        </w:rPr>
      </w:pPr>
      <w:r w:rsidRPr="00117069">
        <w:rPr>
          <w:rFonts w:cstheme="minorHAnsi"/>
          <w:sz w:val="24"/>
          <w:szCs w:val="24"/>
        </w:rPr>
        <w:t>Chemistry and Biochemistry, Kent State University, Warren, OH, United States.</w:t>
      </w:r>
    </w:p>
    <w:p w14:paraId="7CFB0FE6" w14:textId="77777777" w:rsidR="004F1C5C" w:rsidRPr="00117069" w:rsidRDefault="004F1C5C" w:rsidP="006E6997">
      <w:pPr>
        <w:autoSpaceDE w:val="0"/>
        <w:autoSpaceDN w:val="0"/>
        <w:adjustRightInd w:val="0"/>
        <w:spacing w:after="0" w:line="240" w:lineRule="auto"/>
        <w:rPr>
          <w:rFonts w:cstheme="minorHAnsi"/>
          <w:sz w:val="24"/>
          <w:szCs w:val="24"/>
        </w:rPr>
      </w:pPr>
    </w:p>
    <w:p w14:paraId="469DEAD5" w14:textId="365E3058" w:rsidR="006E6997" w:rsidRPr="00117069" w:rsidRDefault="004F1C5C" w:rsidP="006E6997">
      <w:pPr>
        <w:autoSpaceDE w:val="0"/>
        <w:autoSpaceDN w:val="0"/>
        <w:adjustRightInd w:val="0"/>
        <w:spacing w:after="0" w:line="240" w:lineRule="auto"/>
        <w:rPr>
          <w:rFonts w:cstheme="minorHAnsi"/>
          <w:b/>
          <w:sz w:val="24"/>
          <w:szCs w:val="24"/>
        </w:rPr>
      </w:pPr>
      <w:r w:rsidRPr="00117069">
        <w:rPr>
          <w:rFonts w:cstheme="minorHAnsi"/>
          <w:b/>
          <w:sz w:val="24"/>
          <w:szCs w:val="24"/>
        </w:rPr>
        <w:t xml:space="preserve">Keywords: Cancer therapeutics, </w:t>
      </w:r>
      <w:r w:rsidR="003E754B" w:rsidRPr="00117069">
        <w:rPr>
          <w:rFonts w:cstheme="minorHAnsi"/>
          <w:b/>
          <w:sz w:val="24"/>
          <w:szCs w:val="24"/>
        </w:rPr>
        <w:t xml:space="preserve">biomarker, </w:t>
      </w:r>
      <w:r w:rsidRPr="00117069">
        <w:rPr>
          <w:rFonts w:cstheme="minorHAnsi"/>
          <w:b/>
          <w:sz w:val="24"/>
          <w:szCs w:val="24"/>
        </w:rPr>
        <w:t xml:space="preserve">molecular targets, </w:t>
      </w:r>
      <w:r w:rsidR="00117069">
        <w:rPr>
          <w:rFonts w:cstheme="minorHAnsi"/>
          <w:b/>
          <w:sz w:val="24"/>
          <w:szCs w:val="24"/>
        </w:rPr>
        <w:t>immuno-oncology</w:t>
      </w:r>
      <w:r w:rsidRPr="00117069">
        <w:rPr>
          <w:rFonts w:cstheme="minorHAnsi"/>
          <w:b/>
          <w:sz w:val="24"/>
          <w:szCs w:val="24"/>
        </w:rPr>
        <w:t>, Enzyme inhibitors</w:t>
      </w:r>
    </w:p>
    <w:p w14:paraId="3D278316" w14:textId="77777777" w:rsidR="004F1C5C" w:rsidRDefault="004F1C5C" w:rsidP="006E6997">
      <w:pPr>
        <w:autoSpaceDE w:val="0"/>
        <w:autoSpaceDN w:val="0"/>
        <w:adjustRightInd w:val="0"/>
        <w:spacing w:after="0" w:line="240" w:lineRule="auto"/>
        <w:rPr>
          <w:rFonts w:ascii="ArialUnicodeMS" w:hAnsi="ArialUnicodeMS" w:cs="ArialUnicodeMS"/>
          <w:sz w:val="24"/>
          <w:szCs w:val="24"/>
        </w:rPr>
      </w:pPr>
    </w:p>
    <w:p w14:paraId="50370583" w14:textId="25B84837" w:rsidR="00CD3670" w:rsidRPr="00117069" w:rsidRDefault="00EB3594" w:rsidP="006E6997">
      <w:pPr>
        <w:autoSpaceDE w:val="0"/>
        <w:autoSpaceDN w:val="0"/>
        <w:adjustRightInd w:val="0"/>
        <w:spacing w:after="0" w:line="240" w:lineRule="auto"/>
        <w:rPr>
          <w:rFonts w:cstheme="minorHAnsi"/>
          <w:sz w:val="24"/>
          <w:szCs w:val="24"/>
        </w:rPr>
      </w:pPr>
      <w:r w:rsidRPr="00117069">
        <w:rPr>
          <w:rFonts w:cstheme="minorHAnsi"/>
          <w:sz w:val="24"/>
          <w:szCs w:val="24"/>
        </w:rPr>
        <w:t>T</w:t>
      </w:r>
      <w:r w:rsidR="006E6997" w:rsidRPr="00117069">
        <w:rPr>
          <w:rFonts w:cstheme="minorHAnsi"/>
          <w:sz w:val="24"/>
          <w:szCs w:val="24"/>
        </w:rPr>
        <w:t xml:space="preserve">argeted </w:t>
      </w:r>
      <w:r w:rsidRPr="00117069">
        <w:rPr>
          <w:rFonts w:cstheme="minorHAnsi"/>
          <w:sz w:val="24"/>
          <w:szCs w:val="24"/>
        </w:rPr>
        <w:t>cancer therapeutics</w:t>
      </w:r>
      <w:r w:rsidR="006E6997" w:rsidRPr="00117069">
        <w:rPr>
          <w:rFonts w:cstheme="minorHAnsi"/>
          <w:sz w:val="24"/>
          <w:szCs w:val="24"/>
        </w:rPr>
        <w:t xml:space="preserve"> are designed to interfere with molecular targets with a goal of fighting tumor cells with more precision and fewer side effects</w:t>
      </w:r>
      <w:r w:rsidRPr="00117069">
        <w:rPr>
          <w:rFonts w:cstheme="minorHAnsi"/>
          <w:sz w:val="24"/>
          <w:szCs w:val="24"/>
        </w:rPr>
        <w:t>.</w:t>
      </w:r>
      <w:r w:rsidR="003E754B" w:rsidRPr="00117069">
        <w:rPr>
          <w:rFonts w:cstheme="minorHAnsi"/>
          <w:sz w:val="24"/>
          <w:szCs w:val="24"/>
        </w:rPr>
        <w:t xml:space="preserve"> </w:t>
      </w:r>
      <w:r w:rsidR="003E754B" w:rsidRPr="00117069">
        <w:rPr>
          <w:rFonts w:cstheme="minorHAnsi"/>
          <w:sz w:val="24"/>
          <w:szCs w:val="24"/>
        </w:rPr>
        <w:t>Cancer biomarkers are most relevant for identifying patients who are likely to benefit from a given treatment (</w:t>
      </w:r>
      <w:r w:rsidR="003E754B" w:rsidRPr="00117069">
        <w:rPr>
          <w:rFonts w:cstheme="minorHAnsi"/>
          <w:i/>
          <w:sz w:val="24"/>
          <w:szCs w:val="24"/>
        </w:rPr>
        <w:t>right drug for the right patient</w:t>
      </w:r>
      <w:r w:rsidR="003E754B" w:rsidRPr="00117069">
        <w:rPr>
          <w:rFonts w:cstheme="minorHAnsi"/>
          <w:sz w:val="24"/>
          <w:szCs w:val="24"/>
        </w:rPr>
        <w:t xml:space="preserve">). </w:t>
      </w:r>
      <w:r w:rsidRPr="00117069">
        <w:rPr>
          <w:rFonts w:cstheme="minorHAnsi"/>
          <w:sz w:val="24"/>
          <w:szCs w:val="24"/>
        </w:rPr>
        <w:t xml:space="preserve"> Recent</w:t>
      </w:r>
      <w:r w:rsidR="005C514D" w:rsidRPr="00117069">
        <w:rPr>
          <w:rFonts w:cstheme="minorHAnsi"/>
          <w:sz w:val="24"/>
          <w:szCs w:val="24"/>
        </w:rPr>
        <w:t xml:space="preserve">ly </w:t>
      </w:r>
      <w:r w:rsidRPr="00117069">
        <w:rPr>
          <w:rFonts w:cstheme="minorHAnsi"/>
          <w:sz w:val="24"/>
          <w:szCs w:val="24"/>
        </w:rPr>
        <w:t>approved cancer therapies, that act</w:t>
      </w:r>
      <w:r w:rsidR="00B96B89" w:rsidRPr="00117069">
        <w:rPr>
          <w:rFonts w:cstheme="minorHAnsi"/>
          <w:sz w:val="24"/>
          <w:szCs w:val="24"/>
        </w:rPr>
        <w:t xml:space="preserve"> on specific molecular targets</w:t>
      </w:r>
      <w:r w:rsidR="000345FA" w:rsidRPr="00117069">
        <w:rPr>
          <w:rFonts w:cstheme="minorHAnsi"/>
          <w:sz w:val="24"/>
          <w:szCs w:val="24"/>
        </w:rPr>
        <w:t>, along with</w:t>
      </w:r>
      <w:r w:rsidRPr="00117069">
        <w:rPr>
          <w:rFonts w:cstheme="minorHAnsi"/>
          <w:sz w:val="24"/>
          <w:szCs w:val="24"/>
        </w:rPr>
        <w:t xml:space="preserve"> FDA-approved companion diagnostics, are presented</w:t>
      </w:r>
      <w:r w:rsidR="005C514D" w:rsidRPr="00117069">
        <w:rPr>
          <w:rFonts w:cstheme="minorHAnsi"/>
          <w:sz w:val="24"/>
          <w:szCs w:val="24"/>
        </w:rPr>
        <w:t>.</w:t>
      </w:r>
      <w:r w:rsidRPr="00117069">
        <w:rPr>
          <w:rFonts w:cstheme="minorHAnsi"/>
          <w:sz w:val="24"/>
          <w:szCs w:val="24"/>
        </w:rPr>
        <w:t xml:space="preserve"> </w:t>
      </w:r>
      <w:r w:rsidR="006E6997" w:rsidRPr="00117069">
        <w:rPr>
          <w:rFonts w:cstheme="minorHAnsi"/>
          <w:sz w:val="24"/>
          <w:szCs w:val="24"/>
        </w:rPr>
        <w:t>These molecular pathways are broadly classified as either 1) monoclonal antibodies that target transmembrane receptors or extracellular growth factors or 2) small molecules that penetrate cell membrane and block and interfere with the enzymatic activity of</w:t>
      </w:r>
      <w:r w:rsidR="00041DAF">
        <w:rPr>
          <w:rFonts w:cstheme="minorHAnsi"/>
          <w:sz w:val="24"/>
          <w:szCs w:val="24"/>
        </w:rPr>
        <w:t xml:space="preserve"> the</w:t>
      </w:r>
      <w:r w:rsidR="006E6997" w:rsidRPr="00117069">
        <w:rPr>
          <w:rFonts w:cstheme="minorHAnsi"/>
          <w:sz w:val="24"/>
          <w:szCs w:val="24"/>
        </w:rPr>
        <w:t xml:space="preserve"> target pr</w:t>
      </w:r>
      <w:r w:rsidR="00BE7F3A" w:rsidRPr="00117069">
        <w:rPr>
          <w:rFonts w:cstheme="minorHAnsi"/>
          <w:sz w:val="24"/>
          <w:szCs w:val="24"/>
        </w:rPr>
        <w:t xml:space="preserve">oteins. </w:t>
      </w:r>
      <w:r w:rsidR="00CD3670" w:rsidRPr="00117069">
        <w:rPr>
          <w:rFonts w:cstheme="minorHAnsi"/>
          <w:sz w:val="24"/>
          <w:szCs w:val="24"/>
        </w:rPr>
        <w:t xml:space="preserve">Inhibitors of PI3K (phosphatidylinositol 3-kinase), CDK (cyclin-dependent kinase), PARP (DNA repair; poly ADP </w:t>
      </w:r>
      <w:bookmarkStart w:id="0" w:name="_GoBack"/>
      <w:bookmarkEnd w:id="0"/>
      <w:r w:rsidR="00CD3670" w:rsidRPr="00117069">
        <w:rPr>
          <w:rFonts w:cstheme="minorHAnsi"/>
          <w:sz w:val="24"/>
          <w:szCs w:val="24"/>
        </w:rPr>
        <w:t>ribose polymerase)</w:t>
      </w:r>
      <w:r w:rsidR="00727C40" w:rsidRPr="00117069">
        <w:rPr>
          <w:rFonts w:cstheme="minorHAnsi"/>
          <w:sz w:val="24"/>
          <w:szCs w:val="24"/>
        </w:rPr>
        <w:t xml:space="preserve">, </w:t>
      </w:r>
      <w:r w:rsidR="00195FB4" w:rsidRPr="00117069">
        <w:rPr>
          <w:rFonts w:cstheme="minorHAnsi"/>
          <w:sz w:val="24"/>
          <w:szCs w:val="24"/>
        </w:rPr>
        <w:t xml:space="preserve">and </w:t>
      </w:r>
      <w:r w:rsidR="00CD3670" w:rsidRPr="00117069">
        <w:rPr>
          <w:rFonts w:cstheme="minorHAnsi"/>
          <w:sz w:val="24"/>
          <w:szCs w:val="24"/>
        </w:rPr>
        <w:t>IDH2 (isocitrate dehydrogenase-2)</w:t>
      </w:r>
      <w:r w:rsidR="004F6CD6" w:rsidRPr="00117069">
        <w:rPr>
          <w:rFonts w:cstheme="minorHAnsi"/>
          <w:sz w:val="24"/>
          <w:szCs w:val="24"/>
        </w:rPr>
        <w:t xml:space="preserve"> </w:t>
      </w:r>
      <w:r w:rsidR="00195FB4" w:rsidRPr="00117069">
        <w:rPr>
          <w:rFonts w:cstheme="minorHAnsi"/>
          <w:sz w:val="24"/>
          <w:szCs w:val="24"/>
        </w:rPr>
        <w:t>are presented. Also, large molecule immuno-oncology receptor binding is also discussed</w:t>
      </w:r>
      <w:r w:rsidR="005C514D" w:rsidRPr="00117069">
        <w:rPr>
          <w:rFonts w:cstheme="minorHAnsi"/>
          <w:sz w:val="24"/>
          <w:szCs w:val="24"/>
        </w:rPr>
        <w:t>.</w:t>
      </w:r>
    </w:p>
    <w:p w14:paraId="69DB5558" w14:textId="77777777" w:rsidR="00CD3670" w:rsidRPr="00117069" w:rsidRDefault="00CD3670" w:rsidP="006E6997">
      <w:pPr>
        <w:autoSpaceDE w:val="0"/>
        <w:autoSpaceDN w:val="0"/>
        <w:adjustRightInd w:val="0"/>
        <w:spacing w:after="0" w:line="240" w:lineRule="auto"/>
        <w:rPr>
          <w:rFonts w:cstheme="minorHAnsi"/>
          <w:sz w:val="24"/>
          <w:szCs w:val="24"/>
        </w:rPr>
      </w:pPr>
    </w:p>
    <w:p w14:paraId="7F554189" w14:textId="77777777" w:rsidR="00806D52" w:rsidRPr="004C1C42" w:rsidRDefault="00806D52" w:rsidP="00806D52">
      <w:pPr>
        <w:spacing w:before="100" w:beforeAutospacing="1" w:after="100" w:afterAutospacing="1" w:line="240" w:lineRule="auto"/>
        <w:rPr>
          <w:rFonts w:eastAsia="Times New Roman" w:cs="Times New Roman"/>
          <w:b/>
          <w:bCs/>
          <w:sz w:val="24"/>
          <w:szCs w:val="24"/>
        </w:rPr>
      </w:pPr>
      <w:r w:rsidRPr="004C1C42">
        <w:rPr>
          <w:rFonts w:eastAsia="Times New Roman" w:cs="Times New Roman"/>
          <w:b/>
          <w:bCs/>
          <w:sz w:val="24"/>
          <w:szCs w:val="24"/>
        </w:rPr>
        <w:t>Biography:</w:t>
      </w:r>
    </w:p>
    <w:p w14:paraId="04C03456" w14:textId="15F8A5A2" w:rsidR="00806D52" w:rsidRPr="005E2622" w:rsidRDefault="00806D52" w:rsidP="005E2622">
      <w:pPr>
        <w:spacing w:before="100" w:beforeAutospacing="1" w:after="100" w:afterAutospacing="1" w:line="240" w:lineRule="auto"/>
        <w:ind w:right="-180"/>
        <w:rPr>
          <w:rFonts w:eastAsia="Times New Roman" w:cs="Times New Roman"/>
          <w:bCs/>
          <w:sz w:val="24"/>
          <w:szCs w:val="24"/>
        </w:rPr>
      </w:pPr>
      <w:r w:rsidRPr="005E2622">
        <w:rPr>
          <w:rFonts w:eastAsia="Times New Roman" w:cs="Times New Roman"/>
          <w:bCs/>
          <w:sz w:val="24"/>
          <w:szCs w:val="24"/>
        </w:rPr>
        <w:t xml:space="preserve">Professor </w:t>
      </w:r>
      <w:proofErr w:type="spellStart"/>
      <w:r w:rsidRPr="005E2622">
        <w:rPr>
          <w:rFonts w:ascii="Calibri" w:hAnsi="Calibri"/>
          <w:color w:val="333333"/>
          <w:sz w:val="24"/>
          <w:szCs w:val="24"/>
        </w:rPr>
        <w:t>Blaih</w:t>
      </w:r>
      <w:proofErr w:type="spellEnd"/>
      <w:r w:rsidRPr="005E2622">
        <w:rPr>
          <w:rFonts w:ascii="Calibri" w:hAnsi="Calibri"/>
          <w:color w:val="333333"/>
          <w:sz w:val="24"/>
          <w:szCs w:val="24"/>
        </w:rPr>
        <w:t xml:space="preserve"> has been involved in teaching, research and authoring in pharmacy and chemistry for more than </w:t>
      </w:r>
      <w:r w:rsidRPr="005E2622">
        <w:rPr>
          <w:rFonts w:ascii="Calibri" w:hAnsi="Calibri"/>
          <w:color w:val="333333"/>
          <w:sz w:val="24"/>
          <w:szCs w:val="24"/>
        </w:rPr>
        <w:t>30</w:t>
      </w:r>
      <w:r w:rsidRPr="005E2622">
        <w:rPr>
          <w:rFonts w:ascii="Calibri" w:hAnsi="Calibri"/>
          <w:color w:val="333333"/>
          <w:sz w:val="24"/>
          <w:szCs w:val="24"/>
        </w:rPr>
        <w:t xml:space="preserve"> years.</w:t>
      </w:r>
      <w:r w:rsidRPr="005E2622">
        <w:rPr>
          <w:rFonts w:eastAsia="Times New Roman" w:cs="Times New Roman"/>
          <w:bCs/>
          <w:sz w:val="24"/>
          <w:szCs w:val="24"/>
        </w:rPr>
        <w:t xml:space="preserve">  </w:t>
      </w:r>
      <w:r w:rsidRPr="005E2622">
        <w:rPr>
          <w:rFonts w:eastAsia="Times New Roman" w:cs="Times New Roman"/>
          <w:bCs/>
          <w:sz w:val="24"/>
          <w:szCs w:val="24"/>
        </w:rPr>
        <w:t>He was e</w:t>
      </w:r>
      <w:r w:rsidRPr="005E2622">
        <w:rPr>
          <w:rFonts w:eastAsia="Times New Roman" w:cs="Times New Roman"/>
          <w:bCs/>
          <w:sz w:val="24"/>
          <w:szCs w:val="24"/>
        </w:rPr>
        <w:t xml:space="preserve">lected to the Council of Experts- Expert Committee on Gastrointestinal, Renal, and Endocrine of the United States Pharmacopeia (USP). </w:t>
      </w:r>
      <w:r w:rsidR="005E2622">
        <w:rPr>
          <w:rFonts w:eastAsia="Times New Roman" w:cs="Times New Roman"/>
          <w:bCs/>
          <w:sz w:val="24"/>
          <w:szCs w:val="24"/>
        </w:rPr>
        <w:t xml:space="preserve"> </w:t>
      </w:r>
      <w:r w:rsidRPr="005E2622">
        <w:rPr>
          <w:rFonts w:eastAsia="Times New Roman" w:cs="Times New Roman"/>
          <w:bCs/>
          <w:sz w:val="24"/>
          <w:szCs w:val="24"/>
        </w:rPr>
        <w:t xml:space="preserve">For more than 190 years, the USP has been the official standards-setting authority for all prescription and over-the-counter medicines manufactured </w:t>
      </w:r>
      <w:r w:rsidR="005E2622" w:rsidRPr="005E2622">
        <w:rPr>
          <w:rFonts w:eastAsia="Times New Roman" w:cs="Times New Roman"/>
          <w:bCs/>
          <w:sz w:val="24"/>
          <w:szCs w:val="24"/>
        </w:rPr>
        <w:t xml:space="preserve">and </w:t>
      </w:r>
      <w:r w:rsidRPr="005E2622">
        <w:rPr>
          <w:rFonts w:eastAsia="Times New Roman" w:cs="Times New Roman"/>
          <w:bCs/>
          <w:sz w:val="24"/>
          <w:szCs w:val="24"/>
        </w:rPr>
        <w:t>sold in the United State</w:t>
      </w:r>
      <w:r w:rsidR="00166EA9">
        <w:rPr>
          <w:rFonts w:eastAsia="Times New Roman" w:cs="Times New Roman"/>
          <w:bCs/>
          <w:sz w:val="24"/>
          <w:szCs w:val="24"/>
        </w:rPr>
        <w:t>s</w:t>
      </w:r>
      <w:r w:rsidR="005E2622" w:rsidRPr="005E2622">
        <w:rPr>
          <w:sz w:val="24"/>
          <w:szCs w:val="24"/>
        </w:rPr>
        <w:t xml:space="preserve"> </w:t>
      </w:r>
      <w:r w:rsidR="005E2622" w:rsidRPr="005E2622">
        <w:rPr>
          <w:rFonts w:eastAsia="Times New Roman" w:cs="Times New Roman"/>
          <w:bCs/>
          <w:sz w:val="24"/>
          <w:szCs w:val="24"/>
        </w:rPr>
        <w:t>and relied upon in more than 140 countries</w:t>
      </w:r>
      <w:r w:rsidRPr="005E2622">
        <w:rPr>
          <w:rFonts w:eastAsia="Times New Roman" w:cs="Times New Roman"/>
          <w:bCs/>
          <w:sz w:val="24"/>
          <w:szCs w:val="24"/>
        </w:rPr>
        <w:t>.</w:t>
      </w:r>
      <w:r w:rsidRPr="005E2622">
        <w:rPr>
          <w:rFonts w:cs="Times New Roman"/>
          <w:sz w:val="24"/>
          <w:szCs w:val="24"/>
        </w:rPr>
        <w:t xml:space="preserve"> </w:t>
      </w:r>
      <w:r w:rsidR="005E2622">
        <w:rPr>
          <w:rFonts w:eastAsia="Times New Roman" w:cs="Times New Roman"/>
          <w:bCs/>
          <w:sz w:val="24"/>
          <w:szCs w:val="24"/>
        </w:rPr>
        <w:t xml:space="preserve">Dr. </w:t>
      </w:r>
      <w:proofErr w:type="spellStart"/>
      <w:r w:rsidR="005E2622">
        <w:rPr>
          <w:rFonts w:eastAsia="Times New Roman" w:cs="Times New Roman"/>
          <w:bCs/>
          <w:sz w:val="24"/>
          <w:szCs w:val="24"/>
        </w:rPr>
        <w:t>Blaih</w:t>
      </w:r>
      <w:proofErr w:type="spellEnd"/>
      <w:r w:rsidRPr="005E2622">
        <w:rPr>
          <w:rFonts w:eastAsia="Times New Roman" w:cs="Times New Roman"/>
          <w:bCs/>
          <w:sz w:val="24"/>
          <w:szCs w:val="24"/>
        </w:rPr>
        <w:t xml:space="preserve"> is a worldwide invited speaker on quality of medicines, pharmacogenomics and personalized medicine, drug stability, and medication safety. </w:t>
      </w:r>
      <w:r w:rsidR="005E2622">
        <w:rPr>
          <w:rFonts w:eastAsia="Times New Roman" w:cs="Times New Roman"/>
          <w:bCs/>
          <w:sz w:val="24"/>
          <w:szCs w:val="24"/>
        </w:rPr>
        <w:t>He</w:t>
      </w:r>
      <w:r w:rsidRPr="005E2622">
        <w:rPr>
          <w:rFonts w:eastAsia="Times New Roman" w:cs="Times New Roman"/>
          <w:bCs/>
          <w:sz w:val="24"/>
          <w:szCs w:val="24"/>
        </w:rPr>
        <w:t xml:space="preserve"> is a board-certified pharmacist</w:t>
      </w:r>
      <w:r w:rsidRPr="005E2622">
        <w:rPr>
          <w:rFonts w:eastAsia="Times New Roman" w:cs="Times New Roman"/>
          <w:bCs/>
          <w:sz w:val="24"/>
          <w:szCs w:val="24"/>
        </w:rPr>
        <w:t xml:space="preserve">, </w:t>
      </w:r>
      <w:r w:rsidRPr="005E2622">
        <w:rPr>
          <w:rFonts w:eastAsia="Times New Roman" w:cs="Times New Roman"/>
          <w:bCs/>
          <w:sz w:val="24"/>
          <w:szCs w:val="24"/>
        </w:rPr>
        <w:t>Fellow of The Royal Society of Chemistry</w:t>
      </w:r>
      <w:r w:rsidRPr="005E2622">
        <w:rPr>
          <w:rFonts w:eastAsia="Times New Roman" w:cs="Times New Roman"/>
          <w:bCs/>
          <w:sz w:val="24"/>
          <w:szCs w:val="24"/>
        </w:rPr>
        <w:t>,</w:t>
      </w:r>
      <w:r w:rsidRPr="005E2622">
        <w:rPr>
          <w:rFonts w:eastAsia="Times New Roman" w:cs="Times New Roman"/>
          <w:bCs/>
          <w:sz w:val="24"/>
          <w:szCs w:val="24"/>
        </w:rPr>
        <w:t xml:space="preserve"> and has served as two-time president of The American Chemical Society-Penn Ohio Section. His biography has been included in Who’s Who in the World and Who’s Who in America. </w:t>
      </w:r>
    </w:p>
    <w:p w14:paraId="1E65FA3F" w14:textId="77777777" w:rsidR="006E6997" w:rsidRDefault="006E6997" w:rsidP="006E6997">
      <w:pPr>
        <w:autoSpaceDE w:val="0"/>
        <w:autoSpaceDN w:val="0"/>
        <w:adjustRightInd w:val="0"/>
        <w:spacing w:after="0" w:line="240" w:lineRule="auto"/>
        <w:rPr>
          <w:rFonts w:ascii="ArialUnicodeMS" w:hAnsi="ArialUnicodeMS" w:cs="ArialUnicodeMS"/>
          <w:sz w:val="20"/>
          <w:szCs w:val="20"/>
        </w:rPr>
      </w:pPr>
    </w:p>
    <w:p w14:paraId="493DFE3B" w14:textId="6CAB0A0F" w:rsidR="00517A0D" w:rsidRDefault="00FF2303" w:rsidP="006E6997"/>
    <w:sectPr w:rsidR="00517A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UnicodeMS">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97"/>
    <w:rsid w:val="000345FA"/>
    <w:rsid w:val="00041DAF"/>
    <w:rsid w:val="00065DD8"/>
    <w:rsid w:val="00117069"/>
    <w:rsid w:val="00166EA9"/>
    <w:rsid w:val="00195FB4"/>
    <w:rsid w:val="001D223C"/>
    <w:rsid w:val="001F32D4"/>
    <w:rsid w:val="0020752D"/>
    <w:rsid w:val="003E754B"/>
    <w:rsid w:val="004103F4"/>
    <w:rsid w:val="004F1C5C"/>
    <w:rsid w:val="004F6CD6"/>
    <w:rsid w:val="005A3B54"/>
    <w:rsid w:val="005C514D"/>
    <w:rsid w:val="005E2622"/>
    <w:rsid w:val="00646875"/>
    <w:rsid w:val="006E6997"/>
    <w:rsid w:val="00727C40"/>
    <w:rsid w:val="00806D52"/>
    <w:rsid w:val="00830B6C"/>
    <w:rsid w:val="009941A8"/>
    <w:rsid w:val="009C72BE"/>
    <w:rsid w:val="00AC7FDF"/>
    <w:rsid w:val="00B96B89"/>
    <w:rsid w:val="00BA7BCD"/>
    <w:rsid w:val="00BE7F3A"/>
    <w:rsid w:val="00CD3670"/>
    <w:rsid w:val="00DE423B"/>
    <w:rsid w:val="00E5689B"/>
    <w:rsid w:val="00EB3594"/>
    <w:rsid w:val="00EF1DCA"/>
    <w:rsid w:val="00F23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21369"/>
  <w15:chartTrackingRefBased/>
  <w15:docId w15:val="{B8DB1270-2016-4A22-A499-3502C423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Blaih</dc:creator>
  <cp:keywords/>
  <dc:description/>
  <cp:lastModifiedBy>BLAIH, JOAN</cp:lastModifiedBy>
  <cp:revision>22</cp:revision>
  <dcterms:created xsi:type="dcterms:W3CDTF">2018-08-26T21:10:00Z</dcterms:created>
  <dcterms:modified xsi:type="dcterms:W3CDTF">2018-09-25T23:01:00Z</dcterms:modified>
</cp:coreProperties>
</file>