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64C" w:rsidRPr="0005164C" w:rsidRDefault="0005164C" w:rsidP="00F35298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AD7CFB" w:rsidRPr="00AD7CFB" w:rsidRDefault="003C0794" w:rsidP="001110C8">
      <w:pPr>
        <w:jc w:val="both"/>
        <w:rPr>
          <w:rFonts w:eastAsia="MS PGothic"/>
          <w:b/>
          <w:bCs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AD7CFB" w:rsidRPr="00AD7CFB">
        <w:rPr>
          <w:rFonts w:eastAsia="MS PGothic"/>
          <w:b/>
          <w:bCs/>
          <w:color w:val="000000"/>
          <w:sz w:val="22"/>
          <w:szCs w:val="22"/>
        </w:rPr>
        <w:t xml:space="preserve">Implementation of Interfacial Tension and Contact Angle Measurements to Optimize Brine Salinity for </w:t>
      </w:r>
      <w:r w:rsidR="001110C8">
        <w:rPr>
          <w:rFonts w:eastAsia="MS PGothic"/>
          <w:b/>
          <w:bCs/>
          <w:color w:val="000000"/>
          <w:sz w:val="22"/>
          <w:szCs w:val="22"/>
        </w:rPr>
        <w:t xml:space="preserve">   </w:t>
      </w:r>
      <w:r w:rsidR="00AD7CFB" w:rsidRPr="00AD7CFB">
        <w:rPr>
          <w:rFonts w:eastAsia="MS PGothic"/>
          <w:b/>
          <w:bCs/>
          <w:color w:val="000000"/>
          <w:sz w:val="22"/>
          <w:szCs w:val="22"/>
        </w:rPr>
        <w:t>Water Flooding Tests in High and Low Acidity Crude Oil Reservoirs</w:t>
      </w:r>
    </w:p>
    <w:p w:rsidR="003C0794" w:rsidRPr="001110C8" w:rsidRDefault="003C0794" w:rsidP="003C0794">
      <w:pPr>
        <w:jc w:val="both"/>
        <w:rPr>
          <w:rFonts w:eastAsia="MS PGothic"/>
          <w:b/>
          <w:color w:val="000000"/>
          <w:sz w:val="22"/>
          <w:szCs w:val="22"/>
        </w:rPr>
      </w:pPr>
    </w:p>
    <w:p w:rsidR="003C0794" w:rsidRPr="001110C8" w:rsidRDefault="009A2639" w:rsidP="001110C8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 w:rsidRPr="001110C8">
        <w:rPr>
          <w:b/>
          <w:bCs/>
          <w:sz w:val="19"/>
          <w:szCs w:val="19"/>
          <w:lang w:val="en-IN" w:eastAsia="en-IN"/>
        </w:rPr>
        <w:t>Essa Georges Lwisa</w:t>
      </w:r>
      <w:r w:rsidR="003C0794" w:rsidRPr="001110C8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1110C8">
        <w:rPr>
          <w:b/>
          <w:bCs/>
          <w:sz w:val="19"/>
          <w:szCs w:val="19"/>
          <w:lang w:val="en-IN" w:eastAsia="en-IN"/>
        </w:rPr>
        <w:t xml:space="preserve">, </w:t>
      </w:r>
      <w:r w:rsidR="001110C8" w:rsidRPr="001110C8">
        <w:rPr>
          <w:b/>
          <w:bCs/>
          <w:sz w:val="19"/>
          <w:szCs w:val="19"/>
          <w:lang w:val="en-IN" w:eastAsia="en-IN"/>
        </w:rPr>
        <w:t xml:space="preserve"> </w:t>
      </w:r>
      <w:r w:rsidR="001110C8" w:rsidRPr="001110C8">
        <w:rPr>
          <w:b/>
          <w:bCs/>
          <w:sz w:val="19"/>
          <w:szCs w:val="19"/>
          <w:lang w:eastAsia="en-IN"/>
        </w:rPr>
        <w:t xml:space="preserve">Moza Almansouri </w:t>
      </w:r>
      <w:hyperlink r:id="rId5" w:anchor="a1" w:history="1">
        <w:r w:rsidR="003C0794" w:rsidRPr="001110C8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  <w:r w:rsidR="003C0794" w:rsidRPr="001110C8">
        <w:rPr>
          <w:b/>
          <w:bCs/>
          <w:sz w:val="19"/>
          <w:szCs w:val="19"/>
          <w:lang w:val="en-IN" w:eastAsia="en-IN"/>
        </w:rPr>
        <w:t xml:space="preserve">, </w:t>
      </w:r>
      <w:r w:rsidR="001110C8" w:rsidRPr="001110C8">
        <w:rPr>
          <w:b/>
          <w:bCs/>
          <w:sz w:val="19"/>
          <w:szCs w:val="19"/>
          <w:lang w:eastAsia="en-IN"/>
        </w:rPr>
        <w:t>Salma Abdelwahid</w:t>
      </w:r>
      <w:r w:rsidR="001110C8" w:rsidRPr="001110C8">
        <w:rPr>
          <w:b/>
          <w:bCs/>
          <w:sz w:val="19"/>
          <w:szCs w:val="19"/>
          <w:lang w:val="en-IN" w:eastAsia="en-IN"/>
        </w:rPr>
        <w:t xml:space="preserve"> </w:t>
      </w:r>
      <w:r w:rsidR="003C0794" w:rsidRPr="001110C8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C0794" w:rsidRPr="001110C8">
        <w:rPr>
          <w:b/>
          <w:bCs/>
          <w:sz w:val="19"/>
          <w:szCs w:val="19"/>
          <w:lang w:val="en-IN" w:eastAsia="en-IN"/>
        </w:rPr>
        <w:t xml:space="preserve"> </w:t>
      </w:r>
    </w:p>
    <w:p w:rsidR="003C0794" w:rsidRPr="00351E9B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351E9B">
        <w:rPr>
          <w:sz w:val="19"/>
          <w:szCs w:val="19"/>
          <w:lang w:val="en-IN" w:eastAsia="en-IN"/>
        </w:rPr>
        <w:t xml:space="preserve">Department of </w:t>
      </w:r>
      <w:r w:rsidR="009A2639">
        <w:rPr>
          <w:sz w:val="19"/>
          <w:szCs w:val="19"/>
          <w:lang w:val="en-IN" w:eastAsia="en-IN"/>
        </w:rPr>
        <w:t>Chemical &amp; Petroleum engineering, United Arab Emirates University</w:t>
      </w:r>
      <w:r w:rsidRPr="00351E9B">
        <w:rPr>
          <w:sz w:val="19"/>
          <w:szCs w:val="19"/>
          <w:lang w:val="en-IN" w:eastAsia="en-IN"/>
        </w:rPr>
        <w:t xml:space="preserve">, </w:t>
      </w:r>
      <w:r w:rsidR="009A2639">
        <w:rPr>
          <w:sz w:val="19"/>
          <w:szCs w:val="19"/>
          <w:lang w:val="en-IN" w:eastAsia="en-IN"/>
        </w:rPr>
        <w:t>Al Ain, United Arab Emirates</w:t>
      </w:r>
    </w:p>
    <w:p w:rsidR="00861508" w:rsidRPr="0005164C" w:rsidRDefault="00861508" w:rsidP="009A2639">
      <w:pPr>
        <w:jc w:val="both"/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F3529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F35298">
        <w:rPr>
          <w:bCs w:val="0"/>
          <w:i w:val="0"/>
          <w:iCs w:val="0"/>
          <w:noProof w:val="0"/>
          <w:sz w:val="19"/>
          <w:szCs w:val="19"/>
          <w:u w:val="single"/>
          <w:lang w:val="en-IN" w:eastAsia="en-IN"/>
        </w:rPr>
        <w:t>Keywords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: Enhanced oil recovery, </w:t>
      </w:r>
      <w:r w:rsidR="001110C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smart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water flooding</w:t>
      </w:r>
      <w:r w:rsidR="001110C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 high acidity crude oil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.</w:t>
      </w:r>
      <w:r w:rsidR="001110C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Low acidity crude oil, interfacial tension, contact angle.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1110C8" w:rsidRPr="001110C8" w:rsidRDefault="001110C8" w:rsidP="001110C8">
      <w:pPr>
        <w:jc w:val="both"/>
        <w:rPr>
          <w:sz w:val="19"/>
          <w:szCs w:val="19"/>
          <w:lang w:eastAsia="en-IN"/>
        </w:rPr>
      </w:pPr>
      <w:r w:rsidRPr="001110C8">
        <w:rPr>
          <w:sz w:val="19"/>
          <w:szCs w:val="19"/>
          <w:lang w:eastAsia="en-IN"/>
        </w:rPr>
        <w:t xml:space="preserve">The interfacial tension and contact angle are believed to have direct impact on wettability alteration of crude oil/water/rock systems. </w:t>
      </w:r>
    </w:p>
    <w:p w:rsidR="001110C8" w:rsidRPr="001110C8" w:rsidRDefault="001110C8" w:rsidP="001110C8">
      <w:pPr>
        <w:jc w:val="both"/>
        <w:rPr>
          <w:sz w:val="19"/>
          <w:szCs w:val="19"/>
          <w:lang w:eastAsia="en-IN"/>
        </w:rPr>
      </w:pPr>
      <w:r w:rsidRPr="001110C8">
        <w:rPr>
          <w:sz w:val="19"/>
          <w:szCs w:val="19"/>
          <w:lang w:eastAsia="en-IN"/>
        </w:rPr>
        <w:t>An important factor that controls the fluid distribution in a reservoir is formation wettability. Most carbonate reservoirs are preferentially oil wet and they do have a negative capillary pressure. These reservoirs exhibit reduced oil recovery compared to sandstones because of their fractured nature.</w:t>
      </w:r>
    </w:p>
    <w:p w:rsidR="001110C8" w:rsidRPr="001110C8" w:rsidRDefault="001110C8" w:rsidP="001110C8">
      <w:pPr>
        <w:jc w:val="both"/>
        <w:rPr>
          <w:sz w:val="19"/>
          <w:szCs w:val="19"/>
          <w:lang w:eastAsia="en-IN"/>
        </w:rPr>
      </w:pPr>
      <w:r w:rsidRPr="001110C8">
        <w:rPr>
          <w:sz w:val="19"/>
          <w:szCs w:val="19"/>
          <w:lang w:eastAsia="en-IN"/>
        </w:rPr>
        <w:t>This study has been conducted to find the optimum water salinity that may be used in water flooding in either the secondary or tertiary stages of a reservoir development depending upon interfacial tension between crude and brine, and contact angle measurements. Two crudes were taken from reservoirs in the UAE, Bu-</w:t>
      </w:r>
      <w:proofErr w:type="spellStart"/>
      <w:r w:rsidRPr="001110C8">
        <w:rPr>
          <w:sz w:val="19"/>
          <w:szCs w:val="19"/>
          <w:lang w:eastAsia="en-IN"/>
        </w:rPr>
        <w:t>Hassa</w:t>
      </w:r>
      <w:proofErr w:type="spellEnd"/>
      <w:r w:rsidRPr="001110C8">
        <w:rPr>
          <w:sz w:val="19"/>
          <w:szCs w:val="19"/>
          <w:lang w:eastAsia="en-IN"/>
        </w:rPr>
        <w:t xml:space="preserve"> (low acidity) and </w:t>
      </w:r>
      <w:proofErr w:type="spellStart"/>
      <w:r w:rsidRPr="001110C8">
        <w:rPr>
          <w:sz w:val="19"/>
          <w:szCs w:val="19"/>
          <w:lang w:eastAsia="en-IN"/>
        </w:rPr>
        <w:t>Thamama</w:t>
      </w:r>
      <w:proofErr w:type="spellEnd"/>
      <w:r w:rsidRPr="001110C8">
        <w:rPr>
          <w:sz w:val="19"/>
          <w:szCs w:val="19"/>
          <w:lang w:eastAsia="en-IN"/>
        </w:rPr>
        <w:t xml:space="preserve"> (high acidity), and five types of brine with different salt concentration were examined to find the relationship between the acidity numbers of the crude oil and the salinity of brine.</w:t>
      </w:r>
    </w:p>
    <w:p w:rsidR="00883A50" w:rsidRPr="00CF39EA" w:rsidRDefault="00883A50" w:rsidP="00883A50">
      <w:pPr>
        <w:jc w:val="both"/>
        <w:rPr>
          <w:sz w:val="19"/>
          <w:szCs w:val="19"/>
          <w:lang w:eastAsia="en-IN"/>
        </w:rPr>
      </w:pPr>
    </w:p>
    <w:p w:rsidR="00861508" w:rsidRPr="00764163" w:rsidRDefault="00A36078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19050</wp:posOffset>
            </wp:positionH>
            <wp:positionV relativeFrom="margin">
              <wp:posOffset>5076825</wp:posOffset>
            </wp:positionV>
            <wp:extent cx="3171825" cy="2484755"/>
            <wp:effectExtent l="19050" t="19050" r="28575" b="1079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MO_TH-1_DW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48475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883A50"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  <w:r w:rsidR="001609B7" w:rsidRPr="001609B7">
        <w:rPr>
          <w:noProof/>
        </w:rPr>
        <w:t xml:space="preserve"> </w:t>
      </w:r>
    </w:p>
    <w:p w:rsidR="00764163" w:rsidRPr="0005164C" w:rsidRDefault="00764163" w:rsidP="00764163">
      <w:pPr>
        <w:ind w:left="994"/>
        <w:jc w:val="both"/>
        <w:rPr>
          <w:b/>
          <w:sz w:val="19"/>
          <w:szCs w:val="19"/>
        </w:rPr>
      </w:pPr>
    </w:p>
    <w:p w:rsidR="003C0794" w:rsidRDefault="003C0794" w:rsidP="00F17074">
      <w:pPr>
        <w:pStyle w:val="BodyText"/>
        <w:ind w:firstLine="0"/>
        <w:jc w:val="left"/>
        <w:rPr>
          <w:sz w:val="19"/>
          <w:szCs w:val="19"/>
        </w:rPr>
      </w:pPr>
    </w:p>
    <w:p w:rsidR="00A36078" w:rsidRDefault="00A36078" w:rsidP="00F17074">
      <w:pPr>
        <w:pStyle w:val="BodyText"/>
        <w:ind w:firstLine="0"/>
        <w:jc w:val="left"/>
        <w:rPr>
          <w:sz w:val="19"/>
          <w:szCs w:val="19"/>
        </w:rPr>
      </w:pPr>
    </w:p>
    <w:p w:rsidR="00A36078" w:rsidRPr="0005164C" w:rsidRDefault="00A36078" w:rsidP="00F17074">
      <w:pPr>
        <w:pStyle w:val="BodyText"/>
        <w:ind w:firstLine="0"/>
        <w:jc w:val="left"/>
        <w:rPr>
          <w:sz w:val="19"/>
          <w:szCs w:val="19"/>
        </w:rPr>
      </w:pPr>
    </w:p>
    <w:p w:rsidR="003C0794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BA0D45" w:rsidRPr="0016603C" w:rsidRDefault="00BA0D45" w:rsidP="00BA0D45">
      <w:pPr>
        <w:numPr>
          <w:ilvl w:val="0"/>
          <w:numId w:val="26"/>
        </w:numPr>
        <w:jc w:val="left"/>
        <w:rPr>
          <w:rFonts w:cs="Arial"/>
          <w:lang w:bidi="ar-AE"/>
        </w:rPr>
      </w:pPr>
      <w:r w:rsidRPr="0016603C">
        <w:t xml:space="preserve">A. </w:t>
      </w:r>
      <w:proofErr w:type="spellStart"/>
      <w:r w:rsidRPr="0016603C">
        <w:t>Lafuma</w:t>
      </w:r>
      <w:proofErr w:type="spellEnd"/>
      <w:r w:rsidRPr="0016603C">
        <w:t xml:space="preserve">, D. </w:t>
      </w:r>
      <w:proofErr w:type="spellStart"/>
      <w:r w:rsidRPr="0016603C">
        <w:t>Quere</w:t>
      </w:r>
      <w:proofErr w:type="spellEnd"/>
      <w:r w:rsidRPr="0016603C">
        <w:t>, Nat.Mater.2, 457 (2003</w:t>
      </w:r>
      <w:r w:rsidRPr="0016603C">
        <w:rPr>
          <w:rFonts w:cs="Arial"/>
          <w:rtl/>
          <w:lang w:bidi="ar-AE"/>
        </w:rPr>
        <w:t>(</w:t>
      </w:r>
    </w:p>
    <w:p w:rsidR="00BA0D45" w:rsidRPr="00BA0D45" w:rsidRDefault="00BA0D45" w:rsidP="00BA0D45">
      <w:pPr>
        <w:numPr>
          <w:ilvl w:val="0"/>
          <w:numId w:val="26"/>
        </w:numPr>
        <w:jc w:val="left"/>
        <w:rPr>
          <w:rFonts w:cs="Arial"/>
          <w:sz w:val="19"/>
          <w:szCs w:val="19"/>
          <w:lang w:bidi="ar-AE"/>
        </w:rPr>
      </w:pPr>
      <w:r w:rsidRPr="00BA0D45">
        <w:rPr>
          <w:sz w:val="19"/>
          <w:szCs w:val="19"/>
          <w:lang w:bidi="ar-AE"/>
        </w:rPr>
        <w:t>T. Young, Philos. Trans. R. Soc. Lond.95, 65 (1805)</w:t>
      </w:r>
    </w:p>
    <w:p w:rsidR="00BA0D45" w:rsidRPr="00BA0D45" w:rsidRDefault="00BA0D45" w:rsidP="00BA0D45">
      <w:pPr>
        <w:numPr>
          <w:ilvl w:val="0"/>
          <w:numId w:val="26"/>
        </w:numPr>
        <w:jc w:val="left"/>
        <w:rPr>
          <w:sz w:val="19"/>
          <w:szCs w:val="19"/>
          <w:lang w:bidi="ar-AE"/>
        </w:rPr>
      </w:pPr>
      <w:r w:rsidRPr="00BA0D45">
        <w:rPr>
          <w:sz w:val="19"/>
          <w:szCs w:val="19"/>
        </w:rPr>
        <w:t>Fan, T., and Buckley, J.S., Acid Numbers Measurements Revisited, SPE Journal, December 2007.</w:t>
      </w:r>
    </w:p>
    <w:p w:rsidR="00BA0D45" w:rsidRPr="00BA0D45" w:rsidRDefault="00BA0D45" w:rsidP="00BA0D45">
      <w:pPr>
        <w:numPr>
          <w:ilvl w:val="0"/>
          <w:numId w:val="26"/>
        </w:numPr>
        <w:jc w:val="left"/>
        <w:rPr>
          <w:sz w:val="19"/>
          <w:szCs w:val="19"/>
          <w:lang w:bidi="ar-AE"/>
        </w:rPr>
      </w:pPr>
      <w:r w:rsidRPr="00BA0D45">
        <w:rPr>
          <w:sz w:val="19"/>
          <w:szCs w:val="19"/>
        </w:rPr>
        <w:t>Buckley, J.S., and Fan, T., Crude Oil/Brine Interfacial Tensions, Petrophysics, 2007, 48(3), 175-185.</w:t>
      </w:r>
    </w:p>
    <w:p w:rsidR="00BA0D45" w:rsidRPr="00BA0D45" w:rsidRDefault="00BA0D45" w:rsidP="00BA0D45">
      <w:pPr>
        <w:numPr>
          <w:ilvl w:val="0"/>
          <w:numId w:val="26"/>
        </w:numPr>
        <w:jc w:val="left"/>
        <w:rPr>
          <w:sz w:val="19"/>
          <w:szCs w:val="19"/>
          <w:lang w:bidi="ar-AE"/>
        </w:rPr>
      </w:pPr>
      <w:r w:rsidRPr="00BA0D45">
        <w:rPr>
          <w:sz w:val="19"/>
          <w:szCs w:val="19"/>
        </w:rPr>
        <w:t>Bai, J., Fan, W., Nan, G., Li, S., and Yu, B., Influence of Interaction Between Heavy Oil Components and Petroleum Sulfonate on the Oil-Water Interfacial Tension, Journal of Dispersion Science and Technology, 2010, 31, 551-556.</w:t>
      </w:r>
    </w:p>
    <w:p w:rsidR="00BA0D45" w:rsidRPr="00BA0D45" w:rsidRDefault="00BA0D45" w:rsidP="00BA0D45">
      <w:pPr>
        <w:numPr>
          <w:ilvl w:val="0"/>
          <w:numId w:val="26"/>
        </w:numPr>
        <w:jc w:val="left"/>
        <w:rPr>
          <w:sz w:val="19"/>
          <w:szCs w:val="19"/>
          <w:lang w:bidi="ar-AE"/>
        </w:rPr>
      </w:pPr>
      <w:proofErr w:type="spellStart"/>
      <w:r w:rsidRPr="00BA0D45">
        <w:rPr>
          <w:color w:val="000000"/>
          <w:sz w:val="19"/>
          <w:szCs w:val="19"/>
          <w:shd w:val="clear" w:color="auto" w:fill="FFFFFF"/>
        </w:rPr>
        <w:t>RezaeiDoust</w:t>
      </w:r>
      <w:proofErr w:type="spellEnd"/>
      <w:r w:rsidRPr="00BA0D45">
        <w:rPr>
          <w:color w:val="000000"/>
          <w:sz w:val="19"/>
          <w:szCs w:val="19"/>
          <w:shd w:val="clear" w:color="auto" w:fill="FFFFFF"/>
        </w:rPr>
        <w:t xml:space="preserve"> A.; </w:t>
      </w:r>
      <w:proofErr w:type="spellStart"/>
      <w:r w:rsidRPr="00BA0D45">
        <w:rPr>
          <w:color w:val="000000"/>
          <w:sz w:val="19"/>
          <w:szCs w:val="19"/>
          <w:shd w:val="clear" w:color="auto" w:fill="FFFFFF"/>
        </w:rPr>
        <w:t>Puntervold</w:t>
      </w:r>
      <w:proofErr w:type="spellEnd"/>
      <w:r w:rsidRPr="00BA0D45">
        <w:rPr>
          <w:color w:val="000000"/>
          <w:sz w:val="19"/>
          <w:szCs w:val="19"/>
          <w:shd w:val="clear" w:color="auto" w:fill="FFFFFF"/>
        </w:rPr>
        <w:t xml:space="preserve"> T.; Strand S.; </w:t>
      </w:r>
      <w:proofErr w:type="spellStart"/>
      <w:r w:rsidRPr="00BA0D45">
        <w:rPr>
          <w:color w:val="000000"/>
          <w:sz w:val="19"/>
          <w:szCs w:val="19"/>
          <w:shd w:val="clear" w:color="auto" w:fill="FFFFFF"/>
        </w:rPr>
        <w:t>Austad</w:t>
      </w:r>
      <w:proofErr w:type="spellEnd"/>
      <w:r w:rsidRPr="00BA0D45">
        <w:rPr>
          <w:color w:val="000000"/>
          <w:sz w:val="19"/>
          <w:szCs w:val="19"/>
          <w:shd w:val="clear" w:color="auto" w:fill="FFFFFF"/>
        </w:rPr>
        <w:t xml:space="preserve"> T.</w:t>
      </w:r>
      <w:r w:rsidRPr="00BA0D45">
        <w:rPr>
          <w:rStyle w:val="apple-converted-space"/>
          <w:color w:val="000000"/>
          <w:sz w:val="19"/>
          <w:szCs w:val="19"/>
          <w:shd w:val="clear" w:color="auto" w:fill="FFFFFF"/>
        </w:rPr>
        <w:t> </w:t>
      </w:r>
      <w:r w:rsidRPr="00BA0D45">
        <w:rPr>
          <w:rStyle w:val="ref-title"/>
          <w:sz w:val="19"/>
          <w:szCs w:val="19"/>
        </w:rPr>
        <w:t>Smart water as wettability modifier in carbonate and sandstone: A discussion of similarities/differences in the chemical mechanisms</w:t>
      </w:r>
      <w:r w:rsidRPr="00BA0D45">
        <w:rPr>
          <w:sz w:val="19"/>
          <w:szCs w:val="19"/>
        </w:rPr>
        <w:t>.</w:t>
      </w:r>
      <w:r w:rsidRPr="00BA0D45">
        <w:rPr>
          <w:rStyle w:val="apple-converted-space"/>
          <w:sz w:val="19"/>
          <w:szCs w:val="19"/>
        </w:rPr>
        <w:t> </w:t>
      </w:r>
      <w:r w:rsidRPr="00BA0D45">
        <w:rPr>
          <w:rStyle w:val="ref-journal"/>
          <w:sz w:val="19"/>
          <w:szCs w:val="19"/>
        </w:rPr>
        <w:t>Energy Fuels</w:t>
      </w:r>
      <w:r w:rsidRPr="00BA0D45">
        <w:rPr>
          <w:sz w:val="19"/>
          <w:szCs w:val="19"/>
        </w:rPr>
        <w:t>2009,</w:t>
      </w:r>
      <w:r w:rsidRPr="00BA0D45">
        <w:rPr>
          <w:rStyle w:val="apple-converted-space"/>
          <w:sz w:val="19"/>
          <w:szCs w:val="19"/>
        </w:rPr>
        <w:t> </w:t>
      </w:r>
      <w:r w:rsidRPr="00BA0D45">
        <w:rPr>
          <w:rStyle w:val="ref-vol"/>
          <w:sz w:val="19"/>
          <w:szCs w:val="19"/>
        </w:rPr>
        <w:t>23</w:t>
      </w:r>
      <w:r w:rsidRPr="00BA0D45">
        <w:rPr>
          <w:sz w:val="19"/>
          <w:szCs w:val="19"/>
        </w:rPr>
        <w:t>, 4479–448510.1021/ef900185q</w:t>
      </w:r>
    </w:p>
    <w:p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bookmarkStart w:id="1" w:name="2"/>
      <w:bookmarkEnd w:id="1"/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Default="001609B7" w:rsidP="009D1569">
      <w:pPr>
        <w:jc w:val="both"/>
        <w:rPr>
          <w:sz w:val="19"/>
          <w:szCs w:val="19"/>
        </w:rPr>
      </w:pPr>
      <w:r w:rsidRPr="009D1569">
        <w:rPr>
          <w:b/>
          <w:bCs/>
          <w:sz w:val="19"/>
          <w:szCs w:val="19"/>
        </w:rPr>
        <w:t>Essa Georges Lwisa</w:t>
      </w:r>
      <w:r w:rsidR="00861508" w:rsidRPr="0005164C">
        <w:rPr>
          <w:sz w:val="19"/>
          <w:szCs w:val="19"/>
        </w:rPr>
        <w:t xml:space="preserve"> has </w:t>
      </w:r>
      <w:r w:rsidR="009D1569">
        <w:rPr>
          <w:sz w:val="19"/>
          <w:szCs w:val="19"/>
        </w:rPr>
        <w:t>a Master’s degree in Petroleum Engineering, he works as a Core Analysis lab instructor at the Chemical &amp; Petroleum Engineering dept. UAE University. He published 15 scientific papers in Enhanced Oil Recovery methods, and honored</w:t>
      </w:r>
      <w:r w:rsidR="009D1569" w:rsidRPr="009D1569">
        <w:rPr>
          <w:sz w:val="19"/>
          <w:szCs w:val="19"/>
        </w:rPr>
        <w:t xml:space="preserve"> with IAAM Scientist Medal of year 2017 for notable research in the Advanced Material Science and Technology during </w:t>
      </w:r>
      <w:bookmarkStart w:id="2" w:name="_GoBack"/>
      <w:bookmarkEnd w:id="2"/>
      <w:r w:rsidR="009D1569" w:rsidRPr="009D1569">
        <w:rPr>
          <w:sz w:val="19"/>
          <w:szCs w:val="19"/>
        </w:rPr>
        <w:t>award ceremony of International Association of Advanced Materials, Stockholm, Sweden</w:t>
      </w:r>
      <w:r w:rsidR="009D1569">
        <w:rPr>
          <w:sz w:val="19"/>
          <w:szCs w:val="19"/>
        </w:rPr>
        <w:t>.</w:t>
      </w:r>
    </w:p>
    <w:p w:rsidR="009D1569" w:rsidRPr="0005164C" w:rsidRDefault="009D1569" w:rsidP="009D1569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Default="00E26558" w:rsidP="00BA0570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N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13970</wp:posOffset>
            </wp:positionV>
            <wp:extent cx="1188085" cy="1743075"/>
            <wp:effectExtent l="19050" t="19050" r="12065" b="28575"/>
            <wp:wrapTight wrapText="bothSides">
              <wp:wrapPolygon edited="0">
                <wp:start x="-346" y="-236"/>
                <wp:lineTo x="-346" y="21718"/>
                <wp:lineTo x="21473" y="21718"/>
                <wp:lineTo x="21473" y="-236"/>
                <wp:lineTo x="-346" y="-236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ssa Georges Lwis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88085" cy="174307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C82"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</w:t>
      </w:r>
      <w:r w:rsidRPr="00E26558">
        <w:rPr>
          <w:sz w:val="19"/>
          <w:szCs w:val="19"/>
          <w:lang w:val="en-NZ"/>
        </w:rPr>
        <w:t>Essa Georges Lwisa</w:t>
      </w:r>
    </w:p>
    <w:p w:rsidR="00E26558" w:rsidRDefault="00861508" w:rsidP="00BA0570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E26558">
        <w:rPr>
          <w:sz w:val="19"/>
          <w:szCs w:val="19"/>
          <w:lang w:val="en-NZ"/>
        </w:rPr>
        <w:t xml:space="preserve"> +971507825357</w:t>
      </w:r>
    </w:p>
    <w:p w:rsidR="00E26558" w:rsidRDefault="00861508" w:rsidP="00BA0570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Linked In account:</w:t>
      </w:r>
      <w:r w:rsidR="00E26558">
        <w:rPr>
          <w:sz w:val="19"/>
          <w:szCs w:val="19"/>
          <w:lang w:val="en-NZ"/>
        </w:rPr>
        <w:t xml:space="preserve"> </w:t>
      </w:r>
    </w:p>
    <w:p w:rsidR="00E26558" w:rsidRDefault="00A36078" w:rsidP="00E26558">
      <w:pPr>
        <w:autoSpaceDE w:val="0"/>
        <w:autoSpaceDN w:val="0"/>
        <w:adjustRightInd w:val="0"/>
        <w:ind w:left="2160"/>
        <w:jc w:val="left"/>
        <w:rPr>
          <w:sz w:val="19"/>
          <w:szCs w:val="19"/>
          <w:lang w:val="en-NZ"/>
        </w:rPr>
      </w:pPr>
      <w:hyperlink r:id="rId8" w:history="1">
        <w:r w:rsidR="00E26558" w:rsidRPr="007A20A2">
          <w:rPr>
            <w:rStyle w:val="Hyperlink"/>
            <w:sz w:val="19"/>
            <w:szCs w:val="19"/>
            <w:lang w:val="en-NZ"/>
          </w:rPr>
          <w:t>https://www.linkedin.com/in/essa-lwisa-7b980771/</w:t>
        </w:r>
      </w:hyperlink>
    </w:p>
    <w:p w:rsidR="00861508" w:rsidRDefault="00861508" w:rsidP="00BA0570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E26558">
        <w:rPr>
          <w:sz w:val="19"/>
          <w:szCs w:val="19"/>
          <w:lang w:val="en-NZ"/>
        </w:rPr>
        <w:t xml:space="preserve"> To be filled</w:t>
      </w:r>
      <w:r w:rsidR="00E26558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</w:t>
      </w:r>
      <w:r w:rsidR="00E26558">
        <w:rPr>
          <w:sz w:val="19"/>
          <w:szCs w:val="19"/>
          <w:lang w:val="en-NZ"/>
        </w:rPr>
        <w:t>esentation</w:t>
      </w:r>
    </w:p>
    <w:p w:rsidR="00861508" w:rsidRPr="0005164C" w:rsidRDefault="00861508" w:rsidP="00BA0570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E26558">
        <w:rPr>
          <w:sz w:val="18"/>
          <w:szCs w:val="18"/>
          <w:lang w:val="en-IN"/>
        </w:rPr>
        <w:t xml:space="preserve"> N-012323138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076B42"/>
    <w:multiLevelType w:val="multilevel"/>
    <w:tmpl w:val="9EF0D16E"/>
    <w:lvl w:ilvl="0">
      <w:start w:val="1"/>
      <w:numFmt w:val="decimal"/>
      <w:lvlText w:val="[%1]"/>
      <w:lvlJc w:val="left"/>
      <w:pPr>
        <w:tabs>
          <w:tab w:val="num" w:pos="360"/>
        </w:tabs>
        <w:ind w:left="360" w:righ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righ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righ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right="1440" w:hanging="1440"/>
      </w:pPr>
      <w:rPr>
        <w:rFonts w:hint="default"/>
      </w:rPr>
    </w:lvl>
  </w:abstractNum>
  <w:abstractNum w:abstractNumId="7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7"/>
  </w:num>
  <w:num w:numId="2">
    <w:abstractNumId w:val="14"/>
  </w:num>
  <w:num w:numId="3">
    <w:abstractNumId w:val="4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1"/>
  </w:num>
  <w:num w:numId="9">
    <w:abstractNumId w:val="15"/>
  </w:num>
  <w:num w:numId="10">
    <w:abstractNumId w:val="8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4390D"/>
    <w:rsid w:val="0005164C"/>
    <w:rsid w:val="000B4641"/>
    <w:rsid w:val="0010711E"/>
    <w:rsid w:val="001110C8"/>
    <w:rsid w:val="00127EDD"/>
    <w:rsid w:val="001609B7"/>
    <w:rsid w:val="002043C0"/>
    <w:rsid w:val="00272C82"/>
    <w:rsid w:val="00276735"/>
    <w:rsid w:val="002864A3"/>
    <w:rsid w:val="002B3B81"/>
    <w:rsid w:val="0032181B"/>
    <w:rsid w:val="00351E9B"/>
    <w:rsid w:val="003A47B5"/>
    <w:rsid w:val="003A59A6"/>
    <w:rsid w:val="003C0794"/>
    <w:rsid w:val="004059FE"/>
    <w:rsid w:val="004227FF"/>
    <w:rsid w:val="004445B3"/>
    <w:rsid w:val="00457DAA"/>
    <w:rsid w:val="005B520E"/>
    <w:rsid w:val="005B535B"/>
    <w:rsid w:val="006108A4"/>
    <w:rsid w:val="00663E31"/>
    <w:rsid w:val="006C4648"/>
    <w:rsid w:val="0072064C"/>
    <w:rsid w:val="007442B3"/>
    <w:rsid w:val="00753F7B"/>
    <w:rsid w:val="00764163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907876"/>
    <w:rsid w:val="0097508D"/>
    <w:rsid w:val="00981F9B"/>
    <w:rsid w:val="009A2639"/>
    <w:rsid w:val="009D1569"/>
    <w:rsid w:val="009D49B8"/>
    <w:rsid w:val="00A36078"/>
    <w:rsid w:val="00A510F7"/>
    <w:rsid w:val="00AC6519"/>
    <w:rsid w:val="00AD7CFB"/>
    <w:rsid w:val="00BA0570"/>
    <w:rsid w:val="00BA0D45"/>
    <w:rsid w:val="00CB1404"/>
    <w:rsid w:val="00CB66E6"/>
    <w:rsid w:val="00CF39EA"/>
    <w:rsid w:val="00D319E1"/>
    <w:rsid w:val="00D9156D"/>
    <w:rsid w:val="00E03AD9"/>
    <w:rsid w:val="00E177DC"/>
    <w:rsid w:val="00E26558"/>
    <w:rsid w:val="00E91219"/>
    <w:rsid w:val="00E918C4"/>
    <w:rsid w:val="00EA506F"/>
    <w:rsid w:val="00EE4362"/>
    <w:rsid w:val="00EF18D7"/>
    <w:rsid w:val="00EF1E8A"/>
    <w:rsid w:val="00EF3A1A"/>
    <w:rsid w:val="00F17074"/>
    <w:rsid w:val="00F3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58A6D1"/>
  <w15:chartTrackingRefBased/>
  <w15:docId w15:val="{7E4632E4-E1B0-4770-AF26-2A7BD55E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ListParagraph">
    <w:name w:val="List Paragraph"/>
    <w:basedOn w:val="Normal"/>
    <w:uiPriority w:val="34"/>
    <w:qFormat/>
    <w:rsid w:val="001609B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26558"/>
    <w:rPr>
      <w:color w:val="808080"/>
      <w:shd w:val="clear" w:color="auto" w:fill="E6E6E6"/>
    </w:rPr>
  </w:style>
  <w:style w:type="character" w:customStyle="1" w:styleId="apple-converted-space">
    <w:name w:val="apple-converted-space"/>
    <w:rsid w:val="00BA0D45"/>
  </w:style>
  <w:style w:type="character" w:customStyle="1" w:styleId="ref-title">
    <w:name w:val="ref-title"/>
    <w:rsid w:val="00BA0D45"/>
  </w:style>
  <w:style w:type="character" w:customStyle="1" w:styleId="ref-journal">
    <w:name w:val="ref-journal"/>
    <w:rsid w:val="00BA0D45"/>
  </w:style>
  <w:style w:type="character" w:customStyle="1" w:styleId="ref-vol">
    <w:name w:val="ref-vol"/>
    <w:rsid w:val="00BA0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essa-lwisa-7b980771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3176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dc:description/>
  <cp:lastModifiedBy>Essa Georges Lwisa</cp:lastModifiedBy>
  <cp:revision>6</cp:revision>
  <dcterms:created xsi:type="dcterms:W3CDTF">2018-07-19T12:45:00Z</dcterms:created>
  <dcterms:modified xsi:type="dcterms:W3CDTF">2018-07-19T13:44:00Z</dcterms:modified>
</cp:coreProperties>
</file>