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7D1" w:rsidRDefault="009C57D1" w:rsidP="000A359F">
      <w:pPr>
        <w:pStyle w:val="Heading1"/>
        <w:spacing w:before="170"/>
        <w:ind w:left="0"/>
        <w:rPr>
          <w:rFonts w:ascii="Tw Cen MT" w:eastAsia="Tw Cen MT" w:hAnsi="Tw Cen MT" w:cs="Tw Cen MT"/>
          <w:b w:val="0"/>
          <w:sz w:val="18"/>
          <w:szCs w:val="18"/>
        </w:rPr>
      </w:pPr>
      <w:r>
        <w:rPr>
          <w:rFonts w:cs="Times New Roman"/>
          <w:color w:val="337AB7"/>
        </w:rPr>
        <w:t xml:space="preserve">Challenge of water saturation in Low resistivity </w:t>
      </w:r>
      <w:r w:rsidR="000A359F" w:rsidRPr="009C57D1">
        <w:rPr>
          <w:rFonts w:cs="Times New Roman"/>
          <w:color w:val="337AB7"/>
        </w:rPr>
        <w:t xml:space="preserve">cretaceous </w:t>
      </w:r>
      <w:r w:rsidR="000A359F">
        <w:rPr>
          <w:rFonts w:cs="Times New Roman"/>
          <w:color w:val="337AB7"/>
        </w:rPr>
        <w:t>reservoirs</w:t>
      </w:r>
      <w:r w:rsidRPr="009C57D1">
        <w:rPr>
          <w:rFonts w:cs="Times New Roman"/>
          <w:color w:val="337AB7"/>
        </w:rPr>
        <w:t xml:space="preserve"> </w:t>
      </w:r>
    </w:p>
    <w:p w:rsidR="000A359F" w:rsidRDefault="009C57D1" w:rsidP="000A359F">
      <w:pPr>
        <w:pStyle w:val="BodyText"/>
        <w:spacing w:before="73" w:line="198" w:lineRule="exact"/>
        <w:ind w:left="100" w:right="5987"/>
        <w:rPr>
          <w:rFonts w:ascii="Arial"/>
          <w:rtl/>
        </w:rPr>
      </w:pPr>
      <w:r>
        <w:rPr>
          <w:rFonts w:ascii="Arial"/>
        </w:rPr>
        <w:t xml:space="preserve">Bita Arbab </w:t>
      </w:r>
      <w:r w:rsidR="005973B9">
        <w:rPr>
          <w:rFonts w:ascii="Arial"/>
        </w:rPr>
        <w:t xml:space="preserve"> PhD, </w:t>
      </w:r>
      <w:r>
        <w:rPr>
          <w:rFonts w:ascii="Arial"/>
        </w:rPr>
        <w:t>Hamid Ali Zanjani</w:t>
      </w:r>
      <w:r w:rsidR="005973B9">
        <w:rPr>
          <w:rFonts w:ascii="Arial"/>
        </w:rPr>
        <w:t xml:space="preserve"> </w:t>
      </w:r>
    </w:p>
    <w:p w:rsidR="005973B9" w:rsidRDefault="009C57D1" w:rsidP="000A359F">
      <w:pPr>
        <w:pStyle w:val="BodyText"/>
        <w:spacing w:before="73" w:line="198" w:lineRule="exact"/>
        <w:ind w:right="5987"/>
        <w:rPr>
          <w:rFonts w:ascii="Arial"/>
        </w:rPr>
      </w:pPr>
      <w:r>
        <w:rPr>
          <w:rFonts w:ascii="Arial"/>
        </w:rPr>
        <w:t>Iranian offshore oil company (IOOC)</w:t>
      </w:r>
    </w:p>
    <w:p w:rsidR="001D6DF6" w:rsidRDefault="001D6DF6" w:rsidP="001D6DF6">
      <w:pPr>
        <w:pStyle w:val="Heading3"/>
        <w:spacing w:before="147"/>
        <w:jc w:val="both"/>
      </w:pPr>
      <w:r>
        <w:rPr>
          <w:color w:val="BF5A14"/>
        </w:rPr>
        <w:t xml:space="preserve">Abstract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1D6DF6" w:rsidRPr="005C00C1" w:rsidRDefault="001D6DF6" w:rsidP="000A359F">
      <w:pPr>
        <w:pStyle w:val="BodyText"/>
        <w:spacing w:before="90" w:line="280" w:lineRule="auto"/>
        <w:ind w:left="100"/>
        <w:jc w:val="both"/>
        <w:rPr>
          <w:rtl/>
        </w:rPr>
      </w:pPr>
      <w:r>
        <w:lastRenderedPageBreak/>
        <w:t>This study</w:t>
      </w:r>
      <w:r w:rsidRPr="009C57D1">
        <w:t xml:space="preserve"> </w:t>
      </w:r>
      <w:r>
        <w:t xml:space="preserve">presents causes and reasons for lowering resistivity logs in carbonate deposit. Moreover this abstract elucidate methods for relieving of challenge water saturation estimation in </w:t>
      </w:r>
      <w:r w:rsidRPr="009C57D1">
        <w:t xml:space="preserve">cretaceous carbonate deposits with Low Resistivity Pay, in Persian Gulf. Reservoirs in the Cretaceous </w:t>
      </w:r>
      <w:r>
        <w:t xml:space="preserve">like </w:t>
      </w:r>
      <w:r w:rsidRPr="009C57D1">
        <w:t>Zubair, Buwaib, Shuaiba and Khatiyah formations of Southern fields have been analyzed</w:t>
      </w:r>
      <w:r>
        <w:t xml:space="preserve"> as low resistivity carbonate</w:t>
      </w:r>
      <w:r w:rsidRPr="009C57D1">
        <w:t xml:space="preserve">. Resistivity responses reach less than 6 </w:t>
      </w:r>
      <w:r>
        <w:t xml:space="preserve">and even less than </w:t>
      </w:r>
      <w:r w:rsidRPr="009C57D1">
        <w:t>1 ohm.m.</w:t>
      </w:r>
      <w:r w:rsidR="000A359F">
        <w:t xml:space="preserve"> </w:t>
      </w:r>
      <w:r w:rsidRPr="009C57D1">
        <w:t xml:space="preserve"> </w:t>
      </w:r>
      <w:r>
        <w:t xml:space="preserve"> </w:t>
      </w:r>
      <w:r w:rsidRPr="009C57D1">
        <w:t xml:space="preserve">Significant hydrocarbon accumulations are "hidden" </w:t>
      </w:r>
      <w:r>
        <w:t xml:space="preserve">these </w:t>
      </w:r>
      <w:r w:rsidRPr="009C57D1">
        <w:t>Pay zone, (LRPZ</w:t>
      </w:r>
      <w:r>
        <w:t>).</w:t>
      </w:r>
      <w:r w:rsidRPr="009C57D1">
        <w:t xml:space="preserve"> </w:t>
      </w:r>
      <w:r>
        <w:t>E</w:t>
      </w:r>
      <w:r w:rsidRPr="009C57D1">
        <w:t xml:space="preserve">xperimental analysis </w:t>
      </w:r>
      <w:r>
        <w:t>shows that reservoirs contain clay</w:t>
      </w:r>
      <w:r w:rsidRPr="009C57D1">
        <w:t>-coated grains</w:t>
      </w:r>
      <w:r>
        <w:t xml:space="preserve"> of Lithocodyum algal </w:t>
      </w:r>
      <w:r w:rsidRPr="009C57D1">
        <w:t>and</w:t>
      </w:r>
      <w:r>
        <w:t xml:space="preserve"> is along with Micrtization,</w:t>
      </w:r>
      <w:r w:rsidRPr="009C57D1">
        <w:t xml:space="preserve"> Pyritization of digenetic process </w:t>
      </w:r>
      <w:r>
        <w:t xml:space="preserve">are reasons for </w:t>
      </w:r>
      <w:r w:rsidRPr="009C57D1">
        <w:t>effect</w:t>
      </w:r>
      <w:r>
        <w:t xml:space="preserve"> on resistivity response</w:t>
      </w:r>
      <w:r w:rsidRPr="009C57D1">
        <w:t>. On the other side Smectite and Kaolinite of main clays types have high CEC and greater impact on lowering resistivity</w:t>
      </w:r>
      <w:r>
        <w:t>.</w:t>
      </w:r>
      <w:r w:rsidRPr="009C57D1">
        <w:t xml:space="preserve"> Lønøy method applied to address pore throat sizes which contain Inter crystalline porosity, Chalky Lime</w:t>
      </w:r>
      <w:r>
        <w:t xml:space="preserve">stone, Mudstone micro porosity. </w:t>
      </w:r>
      <w:r w:rsidRPr="005C00C1">
        <w:t>NMR (Nuclear magnetic resonance and Pulse Neutron-Neutron logs have been used to modify the calculated water saturation of the wells. The study shows that reduced specific resistivity is due to texture change and presence of microscopic porosity.</w:t>
      </w:r>
      <w:r>
        <w:t xml:space="preserve"> For defining reliable water saturation, </w:t>
      </w:r>
      <w:r w:rsidRPr="009C57D1">
        <w:t xml:space="preserve">Core </w:t>
      </w:r>
      <w:r>
        <w:t xml:space="preserve">NMR </w:t>
      </w:r>
      <w:r w:rsidRPr="009C57D1">
        <w:t xml:space="preserve">and Log NMR results </w:t>
      </w:r>
      <w:r>
        <w:t>have been used</w:t>
      </w:r>
      <w:r w:rsidRPr="009C57D1">
        <w:t xml:space="preserve">. NMR results explain that decreasing of resistivity in pay zone is related to texture and grain size variation not being existence of moved water. Irreducible water for </w:t>
      </w:r>
      <w:r>
        <w:t>the</w:t>
      </w:r>
      <w:r w:rsidRPr="009C57D1">
        <w:t xml:space="preserve"> reservoir</w:t>
      </w:r>
      <w:r>
        <w:t xml:space="preserve">s is estimated </w:t>
      </w:r>
      <w:r w:rsidRPr="009C57D1">
        <w:t>between 30 to 50 %.</w:t>
      </w:r>
      <w:r>
        <w:t xml:space="preserve"> </w:t>
      </w:r>
      <w:r w:rsidRPr="005C00C1">
        <w:t>Low resistivity zone related to microspores with less than 3 micron.</w:t>
      </w:r>
      <w:r>
        <w:t xml:space="preserve">Variable T2 cut off </w:t>
      </w:r>
      <w:r w:rsidRPr="00CD4031">
        <w:t>is allows to choice suitable T2 cutoff values to differentiate movable from bound fluids adapted for the specific carbonate rock</w:t>
      </w:r>
      <w:r>
        <w:t>.T2 cutoff varies between 45 to 110ms.</w:t>
      </w:r>
      <w:r w:rsidRPr="00CD4031">
        <w:t xml:space="preserve"> The proper T2cutoff for </w:t>
      </w:r>
      <w:r>
        <w:t xml:space="preserve">these </w:t>
      </w:r>
      <w:r w:rsidRPr="00CD4031">
        <w:t>formation</w:t>
      </w:r>
      <w:r>
        <w:t>s</w:t>
      </w:r>
      <w:r w:rsidRPr="00CD4031">
        <w:t xml:space="preserve"> </w:t>
      </w:r>
      <w:r>
        <w:t xml:space="preserve">are </w:t>
      </w:r>
      <w:r w:rsidRPr="00CD4031">
        <w:t xml:space="preserve">extremely crucial to being able to estimate permeability </w:t>
      </w:r>
      <w:r>
        <w:t>and water saturation.</w:t>
      </w:r>
    </w:p>
    <w:p w:rsidR="001D6DF6" w:rsidRDefault="001D6DF6" w:rsidP="001D6DF6">
      <w:pPr>
        <w:pStyle w:val="Heading3"/>
        <w:spacing w:before="74"/>
        <w:rPr>
          <w:b w:val="0"/>
        </w:rPr>
      </w:pPr>
    </w:p>
    <w:p w:rsidR="001D6DF6" w:rsidRDefault="001D6DF6" w:rsidP="001D6DF6">
      <w:pPr>
        <w:pStyle w:val="Heading3"/>
        <w:spacing w:before="74"/>
        <w:rPr>
          <w:b w:val="0"/>
        </w:rPr>
      </w:pPr>
      <w:r w:rsidRPr="001D6DF6">
        <w:rPr>
          <w:b w:val="0"/>
          <w:noProof/>
        </w:rPr>
        <w:drawing>
          <wp:inline distT="0" distB="0" distL="0" distR="0">
            <wp:extent cx="1441094" cy="1292860"/>
            <wp:effectExtent l="19050" t="0" r="6706" b="0"/>
            <wp:docPr id="10" name="Picture 13" descr="http://html.scirp.org/file/10-1210847x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html.scirp.org/file/10-1210847x2.png"/>
                    <pic:cNvPicPr>
                      <a:picLocks noChangeAspect="1" noChangeArrowheads="1"/>
                    </pic:cNvPicPr>
                  </pic:nvPicPr>
                  <pic:blipFill>
                    <a:blip r:embed="rId10" cstate="print"/>
                    <a:srcRect r="21200"/>
                    <a:stretch>
                      <a:fillRect/>
                    </a:stretch>
                  </pic:blipFill>
                  <pic:spPr bwMode="auto">
                    <a:xfrm>
                      <a:off x="0" y="0"/>
                      <a:ext cx="1442496" cy="1294118"/>
                    </a:xfrm>
                    <a:prstGeom prst="rect">
                      <a:avLst/>
                    </a:prstGeom>
                    <a:noFill/>
                    <a:ln w="9525">
                      <a:noFill/>
                      <a:miter lim="800000"/>
                      <a:headEnd/>
                      <a:tailEnd/>
                    </a:ln>
                  </pic:spPr>
                </pic:pic>
              </a:graphicData>
            </a:graphic>
          </wp:inline>
        </w:drawing>
      </w:r>
      <w:r>
        <w:rPr>
          <w:b w:val="0"/>
        </w:rPr>
        <w:t xml:space="preserve"> </w:t>
      </w:r>
      <w:r w:rsidRPr="001D6DF6">
        <w:rPr>
          <w:b w:val="0"/>
          <w:noProof/>
        </w:rPr>
        <w:drawing>
          <wp:inline distT="0" distB="0" distL="0" distR="0">
            <wp:extent cx="1480566" cy="1287476"/>
            <wp:effectExtent l="19050" t="0" r="5334" b="0"/>
            <wp:docPr id="11" name="Picture 16" descr="http://html.scirp.org/file/10-1210847x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html.scirp.org/file/10-1210847x3.png"/>
                    <pic:cNvPicPr>
                      <a:picLocks noChangeAspect="1" noChangeArrowheads="1"/>
                    </pic:cNvPicPr>
                  </pic:nvPicPr>
                  <pic:blipFill>
                    <a:blip r:embed="rId11" cstate="print"/>
                    <a:srcRect r="25406"/>
                    <a:stretch>
                      <a:fillRect/>
                    </a:stretch>
                  </pic:blipFill>
                  <pic:spPr bwMode="auto">
                    <a:xfrm>
                      <a:off x="0" y="0"/>
                      <a:ext cx="1487473" cy="1293482"/>
                    </a:xfrm>
                    <a:prstGeom prst="rect">
                      <a:avLst/>
                    </a:prstGeom>
                    <a:noFill/>
                    <a:ln w="9525">
                      <a:noFill/>
                      <a:miter lim="800000"/>
                      <a:headEnd/>
                      <a:tailEnd/>
                    </a:ln>
                  </pic:spPr>
                </pic:pic>
              </a:graphicData>
            </a:graphic>
          </wp:inline>
        </w:drawing>
      </w:r>
    </w:p>
    <w:p w:rsidR="001D6DF6" w:rsidRPr="001D6DF6" w:rsidRDefault="001D6DF6" w:rsidP="001D6DF6">
      <w:pPr>
        <w:pStyle w:val="BodyText"/>
        <w:spacing w:before="2"/>
        <w:rPr>
          <w:rFonts w:ascii="Arial"/>
          <w:sz w:val="14"/>
          <w:szCs w:val="22"/>
        </w:rPr>
      </w:pPr>
      <w:r w:rsidRPr="001D6DF6">
        <w:rPr>
          <w:rFonts w:ascii="Arial"/>
          <w:sz w:val="14"/>
          <w:szCs w:val="22"/>
        </w:rPr>
        <w:t xml:space="preserve">Figure 1                                 </w:t>
      </w:r>
      <w:r>
        <w:rPr>
          <w:rFonts w:ascii="Arial"/>
          <w:sz w:val="14"/>
          <w:szCs w:val="22"/>
        </w:rPr>
        <w:t xml:space="preserve">                </w:t>
      </w:r>
      <w:r w:rsidRPr="001D6DF6">
        <w:rPr>
          <w:rFonts w:ascii="Arial"/>
          <w:sz w:val="14"/>
          <w:szCs w:val="22"/>
        </w:rPr>
        <w:t xml:space="preserve">  </w:t>
      </w:r>
      <w:r>
        <w:rPr>
          <w:rFonts w:ascii="Arial"/>
          <w:sz w:val="14"/>
          <w:szCs w:val="22"/>
        </w:rPr>
        <w:t xml:space="preserve"> </w:t>
      </w:r>
      <w:r w:rsidRPr="001D6DF6">
        <w:rPr>
          <w:rFonts w:ascii="Arial"/>
          <w:sz w:val="14"/>
          <w:szCs w:val="22"/>
        </w:rPr>
        <w:t>Figure 2</w:t>
      </w:r>
    </w:p>
    <w:p w:rsidR="001D6DF6" w:rsidRPr="001D6DF6" w:rsidRDefault="001D6DF6" w:rsidP="001D6DF6">
      <w:pPr>
        <w:pStyle w:val="BodyText"/>
        <w:spacing w:before="2"/>
        <w:rPr>
          <w:rFonts w:ascii="Arial"/>
          <w:sz w:val="14"/>
          <w:szCs w:val="22"/>
        </w:rPr>
      </w:pPr>
      <w:r w:rsidRPr="001D6DF6">
        <w:rPr>
          <w:rFonts w:ascii="Arial"/>
          <w:b/>
          <w:bCs/>
          <w:sz w:val="14"/>
          <w:szCs w:val="22"/>
        </w:rPr>
        <w:t>Figure 1</w:t>
      </w:r>
      <w:r w:rsidRPr="001D6DF6">
        <w:rPr>
          <w:rFonts w:ascii="Arial"/>
          <w:sz w:val="14"/>
          <w:szCs w:val="22"/>
        </w:rPr>
        <w:t>: Stratigraphic column from the lower, middle, upper cretaceous.</w:t>
      </w:r>
    </w:p>
    <w:p w:rsidR="001D6DF6" w:rsidRPr="001D6DF6" w:rsidRDefault="001D6DF6" w:rsidP="001D6DF6">
      <w:pPr>
        <w:pStyle w:val="BodyText"/>
        <w:spacing w:before="2"/>
        <w:rPr>
          <w:rFonts w:ascii="Arial"/>
          <w:sz w:val="14"/>
          <w:szCs w:val="22"/>
        </w:rPr>
      </w:pPr>
      <w:r w:rsidRPr="001D6DF6">
        <w:rPr>
          <w:rFonts w:ascii="Arial"/>
          <w:b/>
          <w:bCs/>
          <w:sz w:val="14"/>
          <w:szCs w:val="22"/>
        </w:rPr>
        <w:t>Figure 2</w:t>
      </w:r>
      <w:r w:rsidRPr="001D6DF6">
        <w:rPr>
          <w:rFonts w:ascii="Arial"/>
          <w:sz w:val="14"/>
          <w:szCs w:val="22"/>
        </w:rPr>
        <w:t>: Thorium potassium cross plot for clay types. Plot shows that a type of clay of mixed Illite, Montmorillonite and kaolinite for LRPZ formation.</w:t>
      </w:r>
    </w:p>
    <w:p w:rsidR="00AE3E37" w:rsidRDefault="00A9710C" w:rsidP="001D6DF6">
      <w:pPr>
        <w:pStyle w:val="Heading3"/>
        <w:spacing w:before="74"/>
        <w:rPr>
          <w:color w:val="BF5A14"/>
        </w:rPr>
      </w:pPr>
      <w:r>
        <w:rPr>
          <w:b w:val="0"/>
        </w:rPr>
        <w:br w:type="column"/>
      </w:r>
      <w:r w:rsidR="001D6DF6" w:rsidRPr="006E61E4">
        <w:rPr>
          <w:noProof/>
        </w:rPr>
        <w:lastRenderedPageBreak/>
        <w:drawing>
          <wp:inline distT="0" distB="0" distL="0" distR="0">
            <wp:extent cx="2604672" cy="712470"/>
            <wp:effectExtent l="19050" t="19050" r="24228" b="11430"/>
            <wp:docPr id="1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2607225" cy="713168"/>
                    </a:xfrm>
                    <a:prstGeom prst="rect">
                      <a:avLst/>
                    </a:prstGeom>
                    <a:ln w="12700">
                      <a:solidFill>
                        <a:srgbClr val="000000"/>
                      </a:solidFill>
                    </a:ln>
                  </pic:spPr>
                </pic:pic>
              </a:graphicData>
            </a:graphic>
          </wp:inline>
        </w:drawing>
      </w:r>
    </w:p>
    <w:p w:rsidR="00CD4031" w:rsidRDefault="001D6DF6">
      <w:pPr>
        <w:pStyle w:val="Heading3"/>
        <w:spacing w:before="74"/>
      </w:pPr>
      <w:r w:rsidRPr="006E61E4">
        <w:rPr>
          <w:noProof/>
        </w:rPr>
        <w:drawing>
          <wp:inline distT="0" distB="0" distL="0" distR="0">
            <wp:extent cx="2609368" cy="1334262"/>
            <wp:effectExtent l="19050" t="19050" r="19532" b="18288"/>
            <wp:docPr id="2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srcRect t="27741" r="-319"/>
                    <a:stretch/>
                  </pic:blipFill>
                  <pic:spPr bwMode="auto">
                    <a:xfrm>
                      <a:off x="0" y="0"/>
                      <a:ext cx="2605502" cy="1332285"/>
                    </a:xfrm>
                    <a:prstGeom prst="rect">
                      <a:avLst/>
                    </a:prstGeom>
                    <a:ln w="12700">
                      <a:solidFill>
                        <a:srgbClr val="000000"/>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D4031" w:rsidRDefault="00CD4031" w:rsidP="001D6DF6">
      <w:pPr>
        <w:pStyle w:val="BodyText"/>
        <w:spacing w:before="2"/>
      </w:pPr>
      <w:r w:rsidRPr="00CD4031">
        <w:t xml:space="preserve"> </w:t>
      </w:r>
    </w:p>
    <w:p w:rsidR="00CD4031" w:rsidRPr="001D6DF6" w:rsidRDefault="00B36107" w:rsidP="00CD4031">
      <w:pPr>
        <w:pStyle w:val="BodyText"/>
        <w:spacing w:before="2"/>
        <w:rPr>
          <w:rFonts w:ascii="Arial"/>
          <w:sz w:val="14"/>
          <w:szCs w:val="22"/>
        </w:rPr>
      </w:pPr>
      <w:r w:rsidRPr="001D6DF6">
        <w:rPr>
          <w:rFonts w:ascii="Arial"/>
          <w:b/>
          <w:bCs/>
          <w:sz w:val="14"/>
          <w:szCs w:val="22"/>
        </w:rPr>
        <w:t>Figure3</w:t>
      </w:r>
      <w:r w:rsidRPr="001D6DF6">
        <w:rPr>
          <w:rFonts w:ascii="Arial"/>
          <w:sz w:val="14"/>
          <w:szCs w:val="22"/>
        </w:rPr>
        <w:t>: Combination between full set logs and NMR logs with NMR core results</w:t>
      </w:r>
      <w:r w:rsidR="006E61E4" w:rsidRPr="001D6DF6">
        <w:rPr>
          <w:rFonts w:ascii="Arial"/>
          <w:sz w:val="14"/>
          <w:szCs w:val="22"/>
        </w:rPr>
        <w:t xml:space="preserve"> in Shuaiba formation</w:t>
      </w:r>
      <w:r w:rsidRPr="001D6DF6">
        <w:rPr>
          <w:rFonts w:ascii="Arial"/>
          <w:sz w:val="14"/>
          <w:szCs w:val="22"/>
        </w:rPr>
        <w:t>. Water saturation varies between 35% to 50% results extract based on 15 core samples selected for NMR analysis in oil brine and air brine condition to get information about pore size clay bound water, moved oil and water and residual water saturation.</w:t>
      </w:r>
    </w:p>
    <w:p w:rsidR="00CD4031" w:rsidRDefault="00CD4031" w:rsidP="005973B9">
      <w:pPr>
        <w:spacing w:line="204" w:lineRule="exact"/>
        <w:rPr>
          <w:rFonts w:ascii="Arial"/>
          <w:b/>
          <w:color w:val="BF5A14"/>
          <w:sz w:val="20"/>
        </w:rPr>
      </w:pPr>
    </w:p>
    <w:p w:rsidR="005973B9" w:rsidRDefault="001D6DF6" w:rsidP="001D6DF6">
      <w:pPr>
        <w:spacing w:line="204" w:lineRule="exact"/>
        <w:rPr>
          <w:rFonts w:ascii="Arial"/>
          <w:b/>
          <w:sz w:val="20"/>
        </w:rPr>
      </w:pPr>
      <w:r>
        <w:rPr>
          <w:rFonts w:ascii="Arial"/>
          <w:b/>
          <w:color w:val="BF5A14"/>
          <w:sz w:val="20"/>
        </w:rPr>
        <w:t xml:space="preserve">   </w:t>
      </w:r>
      <w:r w:rsidR="005973B9">
        <w:rPr>
          <w:rFonts w:ascii="Arial"/>
          <w:b/>
          <w:color w:val="BF5A14"/>
          <w:sz w:val="20"/>
        </w:rPr>
        <w:t xml:space="preserve">Recent Publications </w:t>
      </w:r>
    </w:p>
    <w:p w:rsidR="00CD4031" w:rsidRPr="00CD4031" w:rsidRDefault="00CD4031" w:rsidP="00CD4031">
      <w:pPr>
        <w:widowControl/>
        <w:numPr>
          <w:ilvl w:val="0"/>
          <w:numId w:val="3"/>
        </w:numPr>
        <w:spacing w:line="360" w:lineRule="auto"/>
        <w:ind w:right="-426"/>
        <w:contextualSpacing/>
        <w:jc w:val="both"/>
        <w:rPr>
          <w:rFonts w:ascii="Calibri" w:eastAsia="Calibri" w:hAnsi="Calibri" w:cs="Calibri"/>
          <w:sz w:val="18"/>
        </w:rPr>
      </w:pPr>
      <w:r w:rsidRPr="00CD4031">
        <w:rPr>
          <w:rFonts w:ascii="Calibri" w:eastAsia="Calibri" w:hAnsi="Calibri" w:cs="Calibri"/>
          <w:sz w:val="18"/>
        </w:rPr>
        <w:t>Lønøy, A., 2006, Making sense of carbonate pore system: AAPG Bulletin, v. 90, no.9, pp. 1381–1405.</w:t>
      </w:r>
    </w:p>
    <w:p w:rsidR="00CD4031" w:rsidRDefault="00CD4031" w:rsidP="00CD4031">
      <w:pPr>
        <w:widowControl/>
        <w:numPr>
          <w:ilvl w:val="0"/>
          <w:numId w:val="3"/>
        </w:numPr>
        <w:spacing w:line="360" w:lineRule="auto"/>
        <w:ind w:right="-426"/>
        <w:contextualSpacing/>
        <w:jc w:val="both"/>
        <w:rPr>
          <w:rFonts w:asciiTheme="majorBidi" w:hAnsiTheme="majorBidi" w:cstheme="majorBidi"/>
          <w:szCs w:val="24"/>
        </w:rPr>
      </w:pPr>
      <w:r w:rsidRPr="00CD4031">
        <w:rPr>
          <w:rFonts w:ascii="Calibri" w:eastAsia="Calibri" w:hAnsi="Calibri" w:cs="Calibri"/>
          <w:sz w:val="18"/>
        </w:rPr>
        <w:t>Lucia, F. J., 1999. Carbonate reservoir characterization. Springer, New York, 226 p</w:t>
      </w:r>
      <w:r w:rsidRPr="009C722B">
        <w:rPr>
          <w:rFonts w:asciiTheme="majorBidi" w:hAnsiTheme="majorBidi" w:cstheme="majorBidi"/>
          <w:szCs w:val="24"/>
        </w:rPr>
        <w:t>.</w:t>
      </w:r>
    </w:p>
    <w:p w:rsidR="00CD4031" w:rsidRDefault="00CD4031" w:rsidP="00CD4031">
      <w:pPr>
        <w:widowControl/>
        <w:numPr>
          <w:ilvl w:val="0"/>
          <w:numId w:val="3"/>
        </w:numPr>
        <w:spacing w:line="360" w:lineRule="auto"/>
        <w:ind w:right="-426"/>
        <w:contextualSpacing/>
        <w:jc w:val="both"/>
        <w:rPr>
          <w:rFonts w:ascii="Calibri" w:eastAsia="Calibri" w:hAnsi="Calibri" w:cs="Calibri"/>
          <w:sz w:val="18"/>
        </w:rPr>
      </w:pPr>
      <w:r w:rsidRPr="00CD4031">
        <w:rPr>
          <w:rFonts w:ascii="Calibri" w:eastAsia="Calibri" w:hAnsi="Calibri" w:cs="Calibri"/>
          <w:sz w:val="18"/>
        </w:rPr>
        <w:t>Obeidi A, Al Aryani F, Al Amoudi M (2010) Developed approach for better understanding of low resistivity</w:t>
      </w:r>
      <w:r w:rsidRPr="00CD4031">
        <w:rPr>
          <w:rFonts w:ascii="Calibri" w:eastAsia="Calibri" w:hAnsi="Calibri" w:cs="Calibri"/>
          <w:sz w:val="18"/>
          <w:rtl/>
        </w:rPr>
        <w:t xml:space="preserve"> </w:t>
      </w:r>
      <w:r w:rsidRPr="00CD4031">
        <w:rPr>
          <w:rFonts w:ascii="Calibri" w:eastAsia="Calibri" w:hAnsi="Calibri" w:cs="Calibri"/>
          <w:sz w:val="18"/>
        </w:rPr>
        <w:t>pay carbonate reservoirs. In: Paper SPE-137663 presented at Abu Dhabi International Conference and</w:t>
      </w:r>
      <w:r w:rsidRPr="00CD4031">
        <w:rPr>
          <w:rFonts w:ascii="Calibri" w:eastAsia="Calibri" w:hAnsi="Calibri" w:cs="Calibri"/>
          <w:sz w:val="18"/>
          <w:rtl/>
        </w:rPr>
        <w:t xml:space="preserve"> </w:t>
      </w:r>
      <w:r w:rsidRPr="00CD4031">
        <w:rPr>
          <w:rFonts w:ascii="Calibri" w:eastAsia="Calibri" w:hAnsi="Calibri" w:cs="Calibri"/>
          <w:sz w:val="18"/>
        </w:rPr>
        <w:t>Exhibition, Abu Dhabi</w:t>
      </w:r>
    </w:p>
    <w:p w:rsidR="00CD4031" w:rsidRPr="009C722B" w:rsidRDefault="00CD4031" w:rsidP="00CD4031">
      <w:pPr>
        <w:widowControl/>
        <w:numPr>
          <w:ilvl w:val="0"/>
          <w:numId w:val="3"/>
        </w:numPr>
        <w:spacing w:line="360" w:lineRule="auto"/>
        <w:ind w:right="-426"/>
        <w:contextualSpacing/>
        <w:jc w:val="both"/>
        <w:rPr>
          <w:rFonts w:asciiTheme="majorBidi" w:hAnsiTheme="majorBidi" w:cstheme="majorBidi"/>
          <w:szCs w:val="24"/>
        </w:rPr>
      </w:pPr>
      <w:r w:rsidRPr="00CD4031">
        <w:rPr>
          <w:rFonts w:ascii="Calibri" w:eastAsia="Calibri" w:hAnsi="Calibri" w:cs="Calibri"/>
          <w:sz w:val="18"/>
        </w:rPr>
        <w:t>Serra, O., 1984</w:t>
      </w:r>
      <w:r w:rsidRPr="00CD4031">
        <w:rPr>
          <w:rFonts w:ascii="Calibri" w:eastAsia="Calibri" w:hAnsi="Calibri" w:cs="Calibri"/>
          <w:sz w:val="18"/>
          <w:rtl/>
        </w:rPr>
        <w:t>.</w:t>
      </w:r>
      <w:r w:rsidRPr="00CD4031">
        <w:rPr>
          <w:rFonts w:ascii="Calibri" w:eastAsia="Calibri" w:hAnsi="Calibri" w:cs="Calibri"/>
          <w:sz w:val="18"/>
        </w:rPr>
        <w:t xml:space="preserve"> Fundamental of Well-Log Interpretation, the Acquition of logging data. Elsevier, 423 p</w:t>
      </w:r>
      <w:r w:rsidRPr="009C722B">
        <w:rPr>
          <w:rFonts w:asciiTheme="majorBidi" w:hAnsiTheme="majorBidi" w:cstheme="majorBidi"/>
          <w:szCs w:val="24"/>
        </w:rPr>
        <w:t>.</w:t>
      </w:r>
    </w:p>
    <w:p w:rsidR="00CD4031" w:rsidRDefault="00CD4031" w:rsidP="00CD4031">
      <w:pPr>
        <w:widowControl/>
        <w:numPr>
          <w:ilvl w:val="0"/>
          <w:numId w:val="3"/>
        </w:numPr>
        <w:spacing w:line="360" w:lineRule="auto"/>
        <w:ind w:right="-426"/>
        <w:contextualSpacing/>
        <w:jc w:val="both"/>
        <w:rPr>
          <w:rFonts w:ascii="Calibri" w:eastAsia="Calibri" w:hAnsi="Calibri" w:cs="Calibri"/>
          <w:sz w:val="18"/>
        </w:rPr>
      </w:pPr>
      <w:r w:rsidRPr="00CD4031">
        <w:rPr>
          <w:rFonts w:ascii="Calibri" w:eastAsia="Calibri" w:hAnsi="Calibri" w:cs="Calibri"/>
          <w:sz w:val="18"/>
        </w:rPr>
        <w:t>Winland, D., 2006 of Amoco, Carbonate Reservoir Characterization, Publication of</w:t>
      </w:r>
      <w:r w:rsidRPr="00CD4031">
        <w:rPr>
          <w:rFonts w:ascii="Calibri" w:eastAsia="Calibri" w:hAnsi="Calibri" w:cs="Calibri"/>
          <w:sz w:val="18"/>
          <w:rtl/>
        </w:rPr>
        <w:t xml:space="preserve"> </w:t>
      </w:r>
      <w:r w:rsidRPr="00CD4031">
        <w:rPr>
          <w:rFonts w:ascii="Calibri" w:eastAsia="Calibri" w:hAnsi="Calibri" w:cs="Calibri"/>
          <w:sz w:val="18"/>
        </w:rPr>
        <w:t>articles in the paper journal "Oil and Gas Business".2006.p206-217</w:t>
      </w:r>
    </w:p>
    <w:p w:rsidR="00CD4031" w:rsidRPr="00CD4031" w:rsidRDefault="00CD4031" w:rsidP="00CD4031">
      <w:pPr>
        <w:widowControl/>
        <w:spacing w:line="360" w:lineRule="auto"/>
        <w:ind w:left="383" w:right="-426"/>
        <w:contextualSpacing/>
        <w:jc w:val="both"/>
        <w:rPr>
          <w:rFonts w:ascii="Calibri" w:eastAsia="Calibri" w:hAnsi="Calibri" w:cs="Calibri"/>
          <w:sz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0A359F" w:rsidRDefault="000E3445" w:rsidP="000A359F">
      <w:pPr>
        <w:pStyle w:val="BodyText"/>
        <w:spacing w:line="120" w:lineRule="exact"/>
        <w:ind w:left="2203"/>
        <w:rPr>
          <w:rFonts w:ascii="Calibri"/>
          <w:noProof/>
          <w:sz w:val="4"/>
          <w:rtl/>
          <w:lang w:val="en-IN" w:eastAsia="en-IN"/>
        </w:rPr>
      </w:pPr>
      <w:r w:rsidRPr="000E3445">
        <w:rPr>
          <w:rFonts w:ascii="Calibri"/>
          <w:noProof/>
          <w:sz w:val="4"/>
          <w:rtl/>
          <w:lang w:val="en-IN" w:eastAsia="en-IN"/>
        </w:rPr>
      </w:r>
      <w:r>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0A359F" w:rsidRDefault="008756E6" w:rsidP="000A359F">
      <w:pPr>
        <w:pStyle w:val="BodyText"/>
        <w:spacing w:line="120" w:lineRule="exact"/>
        <w:jc w:val="both"/>
        <w:rPr>
          <w:noProof/>
          <w:rtl/>
        </w:rPr>
      </w:pPr>
      <w:r>
        <w:rPr>
          <w:noProof/>
        </w:rPr>
        <w:t xml:space="preserve"> </w:t>
      </w:r>
    </w:p>
    <w:p w:rsidR="007716B0" w:rsidRPr="000A359F" w:rsidRDefault="000A359F" w:rsidP="000A359F">
      <w:pPr>
        <w:pStyle w:val="BodyText"/>
        <w:spacing w:line="200" w:lineRule="exact"/>
        <w:ind w:left="1080"/>
        <w:jc w:val="both"/>
        <w:rPr>
          <w:rFonts w:ascii="Calibri"/>
          <w:sz w:val="4"/>
        </w:rPr>
      </w:pPr>
      <w:r>
        <w:rPr>
          <w:rFonts w:ascii="Arial"/>
          <w:noProof/>
          <w:sz w:val="14"/>
        </w:rPr>
        <w:drawing>
          <wp:anchor distT="0" distB="0" distL="114300" distR="114300" simplePos="0" relativeHeight="251662336" behindDoc="0" locked="0" layoutInCell="1" allowOverlap="1">
            <wp:simplePos x="0" y="0"/>
            <wp:positionH relativeFrom="column">
              <wp:posOffset>10795</wp:posOffset>
            </wp:positionH>
            <wp:positionV relativeFrom="paragraph">
              <wp:posOffset>73025</wp:posOffset>
            </wp:positionV>
            <wp:extent cx="676910" cy="526415"/>
            <wp:effectExtent l="0" t="76200" r="0" b="64135"/>
            <wp:wrapThrough wrapText="bothSides">
              <wp:wrapPolygon edited="0">
                <wp:start x="21630" y="-743"/>
                <wp:lineTo x="355" y="-743"/>
                <wp:lineTo x="355" y="21926"/>
                <wp:lineTo x="21630" y="21926"/>
                <wp:lineTo x="21630" y="-743"/>
              </wp:wrapPolygon>
            </wp:wrapThrough>
            <wp:docPr id="6" name="Picture 1" descr="C:\Users\Bita\Desktop\photo_2017-10-10_13-3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ta\Desktop\photo_2017-10-10_13-30-20.jpg"/>
                    <pic:cNvPicPr>
                      <a:picLocks noChangeAspect="1" noChangeArrowheads="1"/>
                    </pic:cNvPicPr>
                  </pic:nvPicPr>
                  <pic:blipFill>
                    <a:blip r:embed="rId14" cstate="print"/>
                    <a:srcRect l="19500" t="25427" r="47994" b="40598"/>
                    <a:stretch>
                      <a:fillRect/>
                    </a:stretch>
                  </pic:blipFill>
                  <pic:spPr bwMode="auto">
                    <a:xfrm rot="16200000">
                      <a:off x="0" y="0"/>
                      <a:ext cx="676910" cy="526415"/>
                    </a:xfrm>
                    <a:prstGeom prst="rect">
                      <a:avLst/>
                    </a:prstGeom>
                    <a:noFill/>
                    <a:ln w="15875">
                      <a:noFill/>
                      <a:miter lim="800000"/>
                      <a:headEnd/>
                      <a:tailEnd/>
                    </a:ln>
                  </pic:spPr>
                </pic:pic>
              </a:graphicData>
            </a:graphic>
          </wp:anchor>
        </w:drawing>
      </w:r>
      <w:r w:rsidR="007716B0" w:rsidRPr="007716B0">
        <w:rPr>
          <w:rFonts w:ascii="Arial"/>
          <w:sz w:val="14"/>
        </w:rPr>
        <w:t xml:space="preserve">Dr.Bita Arbab is a Senior   Petrophysicist in Iranian </w:t>
      </w:r>
      <w:r>
        <w:rPr>
          <w:rFonts w:ascii="Arial"/>
          <w:sz w:val="14"/>
        </w:rPr>
        <w:t>Offshore Oil Company</w:t>
      </w:r>
      <w:r>
        <w:rPr>
          <w:rFonts w:ascii="Arial" w:hint="cs"/>
          <w:sz w:val="14"/>
          <w:rtl/>
        </w:rPr>
        <w:t xml:space="preserve"> </w:t>
      </w:r>
      <w:r w:rsidR="007716B0" w:rsidRPr="007716B0">
        <w:rPr>
          <w:rFonts w:ascii="Arial"/>
          <w:sz w:val="14"/>
        </w:rPr>
        <w:t>(IOOC). She has been working for 15 years as</w:t>
      </w:r>
      <w:r w:rsidR="007716B0" w:rsidRPr="00AC1E34">
        <w:rPr>
          <w:rStyle w:val="text1"/>
        </w:rPr>
        <w:t xml:space="preserve"> </w:t>
      </w:r>
      <w:r w:rsidR="007716B0" w:rsidRPr="007716B0">
        <w:rPr>
          <w:rFonts w:ascii="Arial"/>
          <w:sz w:val="14"/>
        </w:rPr>
        <w:t>a Petrophysicist and Geologist .She obtained MSc Degree in Sedimentology and Sedimentary Rocks of University of Shahid Beheshti Tehran-Iran, Then she studied at degree of Doctor of Philosophy (Ph.D) of Tehran Shomal university. She has been working many carbonate and Clastic project .Also she has published many papers at Petrophysic and Geology studying. She has a good knowledge for Formation Evaluation using High Tech Petrophysical logging including: LWD, Vision Services (GVR), PEX, CMR, NMR, DSI, Sonic Scanner MDT,FMI ,UBI,CBL,USIT and traditional logs.</w:t>
      </w:r>
    </w:p>
    <w:p w:rsidR="00AE3E37" w:rsidRDefault="00A9710C" w:rsidP="007716B0">
      <w:pPr>
        <w:spacing w:before="62"/>
        <w:ind w:left="4217" w:right="4235"/>
        <w:jc w:val="center"/>
        <w:rPr>
          <w:rFonts w:ascii="Arial"/>
          <w:sz w:val="14"/>
        </w:rPr>
      </w:pPr>
      <w:r>
        <w:rPr>
          <w:rFonts w:ascii="Arial"/>
          <w:sz w:val="14"/>
        </w:rPr>
        <w:t xml:space="preserve">Email: </w:t>
      </w:r>
      <w:hyperlink r:id="rId15" w:history="1">
        <w:r w:rsidR="007716B0" w:rsidRPr="00804591">
          <w:rPr>
            <w:rStyle w:val="Hyperlink"/>
            <w:rFonts w:ascii="Arial"/>
            <w:sz w:val="14"/>
          </w:rPr>
          <w:t>bitaarbab@yahoo.com</w:t>
        </w:r>
      </w:hyperlink>
    </w:p>
    <w:p w:rsidR="000A359F" w:rsidRDefault="000E3445" w:rsidP="000A359F">
      <w:pPr>
        <w:pStyle w:val="BodyText"/>
        <w:spacing w:before="2"/>
        <w:rPr>
          <w:rFonts w:ascii="Minion Pro"/>
          <w:sz w:val="24"/>
        </w:rPr>
        <w:sectPr w:rsidR="000A359F">
          <w:type w:val="continuous"/>
          <w:pgSz w:w="11910" w:h="16840"/>
          <w:pgMar w:top="1740" w:right="600" w:bottom="840" w:left="620" w:header="720" w:footer="720" w:gutter="0"/>
          <w:cols w:space="720"/>
        </w:sectPr>
      </w:pPr>
      <w:r w:rsidRPr="000E3445">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rsidP="000A359F">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7647" w:rsidRDefault="00FB7647">
      <w:r>
        <w:separator/>
      </w:r>
    </w:p>
  </w:endnote>
  <w:endnote w:type="continuationSeparator" w:id="0">
    <w:p w:rsidR="00FB7647" w:rsidRDefault="00FB764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dvOT863180fb">
    <w:panose1 w:val="00000000000000000000"/>
    <w:charset w:val="00"/>
    <w:family w:val="roman"/>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E3445">
    <w:pPr>
      <w:pStyle w:val="BodyText"/>
      <w:spacing w:line="14" w:lineRule="auto"/>
      <w:rPr>
        <w:sz w:val="20"/>
      </w:rPr>
    </w:pPr>
    <w:r w:rsidRPr="000E3445">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0E3445">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0E3445">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7647" w:rsidRDefault="00FB7647">
      <w:r>
        <w:separator/>
      </w:r>
    </w:p>
  </w:footnote>
  <w:footnote w:type="continuationSeparator" w:id="0">
    <w:p w:rsidR="00FB7647" w:rsidRDefault="00FB76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E3445">
    <w:pPr>
      <w:pStyle w:val="BodyText"/>
      <w:spacing w:line="14" w:lineRule="auto"/>
      <w:rPr>
        <w:sz w:val="20"/>
      </w:rPr>
    </w:pPr>
    <w:r w:rsidRPr="000E3445">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0492BEC"/>
    <w:multiLevelType w:val="hybridMultilevel"/>
    <w:tmpl w:val="57221262"/>
    <w:lvl w:ilvl="0" w:tplc="CF765B06">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AE3E37"/>
    <w:rsid w:val="000A359F"/>
    <w:rsid w:val="000E2911"/>
    <w:rsid w:val="000E3445"/>
    <w:rsid w:val="001263DF"/>
    <w:rsid w:val="001D6DF6"/>
    <w:rsid w:val="002455EC"/>
    <w:rsid w:val="00292ED9"/>
    <w:rsid w:val="00404E5B"/>
    <w:rsid w:val="00414F7B"/>
    <w:rsid w:val="004355DC"/>
    <w:rsid w:val="00462BBC"/>
    <w:rsid w:val="004749B4"/>
    <w:rsid w:val="00494130"/>
    <w:rsid w:val="004A3A2C"/>
    <w:rsid w:val="004F3523"/>
    <w:rsid w:val="0057043E"/>
    <w:rsid w:val="005973B9"/>
    <w:rsid w:val="005B3A56"/>
    <w:rsid w:val="005C00C1"/>
    <w:rsid w:val="005E0070"/>
    <w:rsid w:val="006060CE"/>
    <w:rsid w:val="0063497F"/>
    <w:rsid w:val="006E61E4"/>
    <w:rsid w:val="007716B0"/>
    <w:rsid w:val="00873DF0"/>
    <w:rsid w:val="008756E6"/>
    <w:rsid w:val="008A08B6"/>
    <w:rsid w:val="009B2D44"/>
    <w:rsid w:val="009C57D1"/>
    <w:rsid w:val="00A07E82"/>
    <w:rsid w:val="00A220E0"/>
    <w:rsid w:val="00A26187"/>
    <w:rsid w:val="00A9710C"/>
    <w:rsid w:val="00AE3E37"/>
    <w:rsid w:val="00B21A57"/>
    <w:rsid w:val="00B36107"/>
    <w:rsid w:val="00B8267F"/>
    <w:rsid w:val="00C33602"/>
    <w:rsid w:val="00CD4031"/>
    <w:rsid w:val="00CD6F55"/>
    <w:rsid w:val="00D64161"/>
    <w:rsid w:val="00DE3104"/>
    <w:rsid w:val="00E26B10"/>
    <w:rsid w:val="00E32822"/>
    <w:rsid w:val="00F72EEA"/>
    <w:rsid w:val="00F84CAE"/>
    <w:rsid w:val="00F90726"/>
    <w:rsid w:val="00FB7647"/>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text1">
    <w:name w:val="text1"/>
    <w:basedOn w:val="DefaultParagraphFont"/>
    <w:rsid w:val="007716B0"/>
  </w:style>
  <w:style w:type="character" w:styleId="Emphasis">
    <w:name w:val="Emphasis"/>
    <w:basedOn w:val="DefaultParagraphFont"/>
    <w:uiPriority w:val="20"/>
    <w:qFormat/>
    <w:rsid w:val="00CD4031"/>
    <w:rPr>
      <w:i/>
      <w:iCs/>
    </w:rPr>
  </w:style>
  <w:style w:type="character" w:customStyle="1" w:styleId="fontstyle01">
    <w:name w:val="fontstyle01"/>
    <w:basedOn w:val="DefaultParagraphFont"/>
    <w:rsid w:val="00CD4031"/>
    <w:rPr>
      <w:rFonts w:ascii="AdvOT863180fb" w:hAnsi="AdvOT863180fb" w:hint="default"/>
      <w:b w:val="0"/>
      <w:bCs w:val="0"/>
      <w:i w:val="0"/>
      <w:iCs w:val="0"/>
      <w:color w:val="000000"/>
      <w:sz w:val="22"/>
      <w:szCs w:val="22"/>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bitaarbab@yahoo.com" TargetMode="Externa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F0A5B-4950-471A-9EC4-94EAB9209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632</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Bita</cp:lastModifiedBy>
  <cp:revision>5</cp:revision>
  <dcterms:created xsi:type="dcterms:W3CDTF">2017-12-12T10:43:00Z</dcterms:created>
  <dcterms:modified xsi:type="dcterms:W3CDTF">2017-12-13T11:33:00Z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