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2D4658" w:rsidP="00494130">
      <w:pPr>
        <w:pStyle w:val="Heading1"/>
        <w:spacing w:before="170"/>
        <w:ind w:left="0"/>
      </w:pPr>
      <w:r w:rsidRPr="002D4658">
        <w:rPr>
          <w:color w:val="337AB7"/>
        </w:rPr>
        <w:t>Modifying the Hall Plot for Analysis of Immiscible Gas Injection Wells - Part II: IOR</w:t>
      </w:r>
    </w:p>
    <w:p w:rsidR="00AE3E37" w:rsidRDefault="002D4658">
      <w:pPr>
        <w:pStyle w:val="BodyText"/>
        <w:rPr>
          <w:rFonts w:ascii="Arial"/>
          <w:sz w:val="20"/>
        </w:rPr>
      </w:pPr>
      <w:r w:rsidRPr="002D4658">
        <w:rPr>
          <w:rFonts w:ascii="Arial"/>
        </w:rPr>
        <w:t>O.A. Talabi, Z. Yew, Schlumberger</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13"/>
          <w:footerReference w:type="default" r:id="rId14"/>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
    <w:p w:rsidR="002D4658" w:rsidRDefault="002D4658" w:rsidP="002D4658">
      <w:pPr>
        <w:pStyle w:val="BodyText"/>
        <w:spacing w:before="90" w:line="280" w:lineRule="auto"/>
        <w:ind w:left="100"/>
        <w:jc w:val="both"/>
      </w:pPr>
      <w:r>
        <w:t xml:space="preserve">The Hall plot is a graph of an injection well’s cumulative pressure against its cumulative injected volume, ideally presenting as straight line. Changes in the gradient of this line can indicate a change in </w:t>
      </w:r>
      <w:r>
        <w:t>injectivity behavior</w:t>
      </w:r>
      <w:r>
        <w:t xml:space="preserve">. </w:t>
      </w:r>
      <w:r>
        <w:t>D</w:t>
      </w:r>
      <w:r>
        <w:t xml:space="preserve">eveloped for single-phase, steady-state, radial flow of liquids, it has proven useful in the surveillance of water injection </w:t>
      </w:r>
      <w:r>
        <w:t>wells</w:t>
      </w:r>
      <w:r>
        <w:t xml:space="preserve">. However, published studies into the validity of its equations and assumptions for gas injection scenarios are limited. </w:t>
      </w:r>
      <w:r>
        <w:t>U</w:t>
      </w:r>
      <w:r>
        <w:t xml:space="preserve">tilizing the Hall plot to </w:t>
      </w:r>
      <w:r>
        <w:t>analyze</w:t>
      </w:r>
      <w:r>
        <w:t xml:space="preserve"> immiscible gas injection into an oil phase for improved oil recovery poses challenges due to the near-wellbore relative permeability of gas to the oil phase. This paper presents one useful and practical approach to achieve this correction.</w:t>
      </w:r>
    </w:p>
    <w:p w:rsidR="002D4658" w:rsidRDefault="002D4658" w:rsidP="002D4658">
      <w:pPr>
        <w:pStyle w:val="BodyText"/>
        <w:spacing w:before="90" w:line="280" w:lineRule="auto"/>
        <w:ind w:left="100"/>
        <w:jc w:val="both"/>
      </w:pPr>
      <w:r>
        <w:t>To account for the varying near-wellbore relative permeability of gas in the oil phase, a function relating the relative permeability of gas in the oil phase to the cumulative gas injection is developed and included in previously developed equations that account for compressibility and viscosity variations. These updated equations are then rearranged in a form that generates a straight-line, giving us a modified Hall plot that accounts for the non-linearity due to relative permeability effects. The validity of the functions developed were tested with a variety of relative permeability curves and reservoir models having different degrees of heterogeneity using a commercial reservoir simulator.</w:t>
      </w:r>
    </w:p>
    <w:p w:rsidR="002D4658" w:rsidRDefault="002D4658" w:rsidP="002D4658">
      <w:pPr>
        <w:pStyle w:val="BodyText"/>
        <w:spacing w:before="90" w:line="280" w:lineRule="auto"/>
        <w:ind w:left="100"/>
        <w:jc w:val="both"/>
      </w:pPr>
      <w:r>
        <w:t>It</w:t>
      </w:r>
      <w:r>
        <w:t xml:space="preserve"> was confirmed that without </w:t>
      </w:r>
      <w:r>
        <w:t>the correction</w:t>
      </w:r>
      <w:r>
        <w:t xml:space="preserve">, the Hall plot becomes a curve, which makes it difficult to identify changes in well </w:t>
      </w:r>
      <w:r>
        <w:t>behavior</w:t>
      </w:r>
      <w:r>
        <w:t xml:space="preserve">. Correcting for this using the approach presented in this paper, straightens the Hall plot </w:t>
      </w:r>
      <w:r>
        <w:t>allowing</w:t>
      </w:r>
      <w:r>
        <w:t xml:space="preserve"> changes in slope </w:t>
      </w:r>
      <w:r>
        <w:t>to</w:t>
      </w:r>
      <w:r>
        <w:t xml:space="preserve"> be identified</w:t>
      </w:r>
      <w:r>
        <w:t>.</w:t>
      </w:r>
    </w:p>
    <w:p w:rsidR="00AE3E37" w:rsidRDefault="002D4658" w:rsidP="002D4658">
      <w:pPr>
        <w:pStyle w:val="BodyText"/>
        <w:spacing w:before="90" w:line="280" w:lineRule="auto"/>
        <w:ind w:left="100"/>
        <w:jc w:val="both"/>
      </w:pPr>
      <w:r>
        <w:t>The results from this and the preceding work demonstrate that account</w:t>
      </w:r>
      <w:r>
        <w:t>ing</w:t>
      </w:r>
      <w:r>
        <w:t xml:space="preserve"> for varying compressibility, viscosity and relative permeability, </w:t>
      </w:r>
      <w:r>
        <w:t>allows</w:t>
      </w:r>
      <w:r>
        <w:t xml:space="preserve"> the Hall plot </w:t>
      </w:r>
      <w:r>
        <w:t>to</w:t>
      </w:r>
      <w:r>
        <w:t xml:space="preserve"> be used qualitatively by engineers to identify changes </w:t>
      </w:r>
      <w:r>
        <w:t>in the injectivity of gas wells</w:t>
      </w:r>
      <w:r w:rsidR="00A9710C">
        <w:t>.</w:t>
      </w:r>
    </w:p>
    <w:p w:rsidR="00AE3E37" w:rsidRDefault="00A9710C">
      <w:pPr>
        <w:pStyle w:val="Heading3"/>
        <w:spacing w:before="74"/>
      </w:pPr>
      <w:r>
        <w:rPr>
          <w:b w:val="0"/>
        </w:rPr>
        <w:br w:type="column"/>
      </w:r>
      <w:r>
        <w:rPr>
          <w:color w:val="BF5A14"/>
        </w:rPr>
        <w:t>Image</w:t>
      </w:r>
    </w:p>
    <w:p w:rsidR="00AE3E37" w:rsidRDefault="002D4658">
      <w:pPr>
        <w:pStyle w:val="BodyText"/>
        <w:spacing w:before="2"/>
        <w:rPr>
          <w:rFonts w:ascii="Arial"/>
          <w:b/>
          <w:sz w:val="16"/>
        </w:rPr>
      </w:pPr>
      <w:r>
        <w:rPr>
          <w:noProof/>
        </w:rPr>
        <w:drawing>
          <wp:inline distT="0" distB="0" distL="0" distR="0" wp14:anchorId="57433F70" wp14:editId="14769833">
            <wp:extent cx="3165475" cy="1537335"/>
            <wp:effectExtent l="19050" t="19050" r="15875" b="247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165475" cy="1537335"/>
                    </a:xfrm>
                    <a:prstGeom prst="rect">
                      <a:avLst/>
                    </a:prstGeom>
                    <a:ln w="12700">
                      <a:solidFill>
                        <a:schemeClr val="tx1"/>
                      </a:solidFill>
                    </a:ln>
                  </pic:spPr>
                </pic:pic>
              </a:graphicData>
            </a:graphic>
          </wp:inline>
        </w:drawing>
      </w:r>
    </w:p>
    <w:p w:rsidR="002D4658" w:rsidRDefault="002D4658">
      <w:pPr>
        <w:pStyle w:val="BodyText"/>
        <w:spacing w:before="2"/>
        <w:rPr>
          <w:rFonts w:ascii="Arial"/>
          <w:b/>
          <w:sz w:val="16"/>
        </w:rPr>
      </w:pPr>
      <w:r>
        <w:rPr>
          <w:rFonts w:ascii="Arial"/>
          <w:b/>
          <w:sz w:val="16"/>
        </w:rPr>
        <w:t>Figure 1: Example of uncorrected Hall Plot and corrected Hall Plot</w:t>
      </w:r>
    </w:p>
    <w:p w:rsidR="005973B9" w:rsidRDefault="005973B9" w:rsidP="005973B9">
      <w:pPr>
        <w:spacing w:line="204" w:lineRule="exact"/>
        <w:rPr>
          <w:rFonts w:ascii="Arial"/>
          <w:b/>
          <w:sz w:val="20"/>
        </w:rPr>
      </w:pPr>
      <w:r>
        <w:rPr>
          <w:rFonts w:ascii="Arial"/>
          <w:b/>
          <w:color w:val="BF5A14"/>
          <w:sz w:val="20"/>
        </w:rPr>
        <w:br/>
        <w:t xml:space="preserve">Recent Publications </w:t>
      </w:r>
    </w:p>
    <w:p w:rsidR="00C450D6" w:rsidRPr="00C450D6" w:rsidRDefault="00C450D6" w:rsidP="00C450D6">
      <w:pPr>
        <w:pStyle w:val="ListParagraph"/>
        <w:numPr>
          <w:ilvl w:val="0"/>
          <w:numId w:val="4"/>
        </w:numPr>
        <w:tabs>
          <w:tab w:val="left" w:pos="384"/>
        </w:tabs>
        <w:ind w:right="117"/>
        <w:rPr>
          <w:sz w:val="18"/>
        </w:rPr>
      </w:pPr>
      <w:r w:rsidRPr="00C450D6">
        <w:rPr>
          <w:sz w:val="18"/>
        </w:rPr>
        <w:t>Hall, H.N. 1963. “How To Analyze Waterflood Injection Well Performance.” World Oil (October 1963): 128-30.</w:t>
      </w:r>
    </w:p>
    <w:p w:rsidR="00C450D6" w:rsidRPr="00C450D6" w:rsidRDefault="00C450D6" w:rsidP="00C450D6">
      <w:pPr>
        <w:pStyle w:val="ListParagraph"/>
        <w:numPr>
          <w:ilvl w:val="0"/>
          <w:numId w:val="4"/>
        </w:numPr>
        <w:tabs>
          <w:tab w:val="left" w:pos="384"/>
        </w:tabs>
        <w:ind w:right="117"/>
        <w:rPr>
          <w:sz w:val="18"/>
        </w:rPr>
      </w:pPr>
      <w:r w:rsidRPr="00C450D6">
        <w:rPr>
          <w:sz w:val="18"/>
        </w:rPr>
        <w:t>Izgec, B. and Kabir, C.S., 2009. “Real-Time Performance Analysis of Water-Injection Wells.” SPE Reservoir Evaluation &amp; Engineering, 12(1): 116-123, SPE-109876-PA. doi:10.2118/109876-PA</w:t>
      </w:r>
    </w:p>
    <w:p w:rsidR="00C450D6" w:rsidRPr="00C450D6" w:rsidRDefault="00C450D6" w:rsidP="00C450D6">
      <w:pPr>
        <w:pStyle w:val="ListParagraph"/>
        <w:numPr>
          <w:ilvl w:val="0"/>
          <w:numId w:val="4"/>
        </w:numPr>
        <w:tabs>
          <w:tab w:val="left" w:pos="384"/>
        </w:tabs>
        <w:ind w:right="117"/>
        <w:rPr>
          <w:sz w:val="18"/>
        </w:rPr>
      </w:pPr>
      <w:r w:rsidRPr="00C450D6">
        <w:rPr>
          <w:sz w:val="18"/>
        </w:rPr>
        <w:t>Laochamroonvorapongse, R., C.S. Kabir and Larry W. Lake. 2014. “Performance Assessment of Miscible and Immiscible Water-Alternating Gas Floods with Simple Tools,” Journal of Petroleum Science and Engineering, 122, pp. 18-30.</w:t>
      </w:r>
    </w:p>
    <w:p w:rsidR="00C450D6" w:rsidRPr="00C450D6" w:rsidRDefault="00C450D6" w:rsidP="00C450D6">
      <w:pPr>
        <w:pStyle w:val="ListParagraph"/>
        <w:numPr>
          <w:ilvl w:val="0"/>
          <w:numId w:val="4"/>
        </w:numPr>
        <w:tabs>
          <w:tab w:val="left" w:pos="384"/>
        </w:tabs>
        <w:ind w:right="117"/>
        <w:rPr>
          <w:sz w:val="18"/>
        </w:rPr>
      </w:pPr>
      <w:r w:rsidRPr="00C450D6">
        <w:rPr>
          <w:sz w:val="18"/>
        </w:rPr>
        <w:t>Silin, D. B., Holtzman, R., Patzek, T. W., Brink, J. L., &amp; Minner, M. L. 2005. “Waterflood Surveillance and Control: Incorporating Hall Plot And Slope Analysis.” In Proceedings - SPE Annual Technical Conference and Exhibition, ATCE 2005 (pp. 1191-1205)</w:t>
      </w:r>
    </w:p>
    <w:p w:rsidR="00AE3E37" w:rsidRPr="008756E6" w:rsidRDefault="00C450D6" w:rsidP="00C450D6">
      <w:pPr>
        <w:pStyle w:val="ListParagraph"/>
        <w:numPr>
          <w:ilvl w:val="0"/>
          <w:numId w:val="4"/>
        </w:numPr>
        <w:tabs>
          <w:tab w:val="left" w:pos="384"/>
        </w:tabs>
        <w:ind w:right="117"/>
      </w:pPr>
      <w:r w:rsidRPr="00C450D6">
        <w:rPr>
          <w:sz w:val="18"/>
        </w:rPr>
        <w:t>Talabi, O. A., 2016. “Modifying the Hall Plot for Analysis of Immiscible Gas Injection Wells.” Presented at the Offshore Technology Conference.</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E80A02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bookmarkStart w:id="0" w:name="_GoBack"/>
      <w:bookmarkEnd w:id="0"/>
    </w:p>
    <w:sectPr w:rsidR="00AE3E37" w:rsidSect="00C450D6">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55FC" w:rsidRDefault="00FC55FC">
      <w:r>
        <w:separator/>
      </w:r>
    </w:p>
  </w:endnote>
  <w:endnote w:type="continuationSeparator" w:id="0">
    <w:p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55FC" w:rsidRDefault="00FC55FC">
      <w:r>
        <w:separator/>
      </w:r>
    </w:p>
  </w:footnote>
  <w:footnote w:type="continuationSeparator" w:id="0">
    <w:p w:rsidR="00FC55FC" w:rsidRDefault="00FC5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F0C3577"/>
    <w:multiLevelType w:val="hybridMultilevel"/>
    <w:tmpl w:val="C4A81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E520D"/>
    <w:rsid w:val="002455EC"/>
    <w:rsid w:val="00292ED9"/>
    <w:rsid w:val="002D4658"/>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450D6"/>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F65DF5"/>
  <w15:docId w15:val="{56514B46-E816-40EB-97CB-7D0D3940E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1.png"/><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XMLData TextToDisplay="%HOSTNAME%">SLB-70Z94S1.DIR.slb.com</XMLData>
</file>

<file path=customXml/item2.xml><?xml version="1.0" encoding="utf-8"?>
<XMLData TextToDisplay="%USERNAME%">OTalabi</XMLData>
</file>

<file path=customXml/item3.xml><?xml version="1.0" encoding="utf-8"?>
<XMLData TextToDisplay="%EMAILADDRESS%">OTalabi@slb.com</XMLData>
</file>

<file path=customXml/item4.xml><?xml version="1.0" encoding="utf-8"?>
<XMLData TextToDisplay="%DOCUMENTGUID%">{00000000-0000-0000-0000-000000000000}</XMLData>
</file>

<file path=customXml/item5.xml><?xml version="1.0" encoding="utf-8"?>
<XMLData TextToDisplay="%CLASSIFICATIONDATETIME%">06:46 07/09/2017</XMLData>
</file>

<file path=customXml/item6.xml><?xml version="1.0" encoding="utf-8"?>
<XMLData TextToDisplay="RightsWATCHMark">8|SCHLUMBERGER-EXT-Public|{00000000-0000-0000-0000-000000000000}</XMLData>
</file>

<file path=customXml/itemProps1.xml><?xml version="1.0" encoding="utf-8"?>
<ds:datastoreItem xmlns:ds="http://schemas.openxmlformats.org/officeDocument/2006/customXml" ds:itemID="{14EA210C-3CB9-45E6-9AE8-792AEBDE26F0}">
  <ds:schemaRefs/>
</ds:datastoreItem>
</file>

<file path=customXml/itemProps2.xml><?xml version="1.0" encoding="utf-8"?>
<ds:datastoreItem xmlns:ds="http://schemas.openxmlformats.org/officeDocument/2006/customXml" ds:itemID="{6823E73C-D0D1-4A52-92F5-80B816CD0744}">
  <ds:schemaRefs/>
</ds:datastoreItem>
</file>

<file path=customXml/itemProps3.xml><?xml version="1.0" encoding="utf-8"?>
<ds:datastoreItem xmlns:ds="http://schemas.openxmlformats.org/officeDocument/2006/customXml" ds:itemID="{078663D5-917A-4A5D-B627-F2B6320C75DE}">
  <ds:schemaRefs/>
</ds:datastoreItem>
</file>

<file path=customXml/itemProps4.xml><?xml version="1.0" encoding="utf-8"?>
<ds:datastoreItem xmlns:ds="http://schemas.openxmlformats.org/officeDocument/2006/customXml" ds:itemID="{07B2CD2F-1823-4676-8E35-0AD34A6CA436}">
  <ds:schemaRefs/>
</ds:datastoreItem>
</file>

<file path=customXml/itemProps5.xml><?xml version="1.0" encoding="utf-8"?>
<ds:datastoreItem xmlns:ds="http://schemas.openxmlformats.org/officeDocument/2006/customXml" ds:itemID="{7FF3C01F-25CB-432C-B2B9-85C677BC0A2A}">
  <ds:schemaRefs/>
</ds:datastoreItem>
</file>

<file path=customXml/itemProps6.xml><?xml version="1.0" encoding="utf-8"?>
<ds:datastoreItem xmlns:ds="http://schemas.openxmlformats.org/officeDocument/2006/customXml" ds:itemID="{7433C2A3-4D27-40F6-AAA4-2B3A5D04CB69}">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467</Words>
  <Characters>2667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Oluwole A. Talabi</cp:lastModifiedBy>
  <cp:revision>2</cp:revision>
  <dcterms:created xsi:type="dcterms:W3CDTF">2017-09-07T06:46:00Z</dcterms:created>
  <dcterms:modified xsi:type="dcterms:W3CDTF">2017-09-07T06:46:00Z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RightsWATCHMark">
    <vt:lpwstr>8|SCHLUMBERGER-EXT-Public|{00000000-0000-0000-0000-000000000000}</vt:lpwstr>
  </property>
</Properties>
</file>