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E2011E" w:rsidRDefault="00E2011E" w:rsidP="00FF3C05">
      <w:pPr>
        <w:pStyle w:val="Heading1"/>
        <w:spacing w:before="170"/>
        <w:ind w:left="0"/>
      </w:pPr>
      <w:r w:rsidRPr="00E2011E">
        <w:rPr>
          <w:color w:val="337AB7"/>
        </w:rPr>
        <w:t xml:space="preserve">Wellbore </w:t>
      </w:r>
      <w:r w:rsidR="00FF3C05">
        <w:rPr>
          <w:color w:val="337AB7"/>
        </w:rPr>
        <w:t>s</w:t>
      </w:r>
      <w:r w:rsidRPr="00E2011E">
        <w:rPr>
          <w:color w:val="337AB7"/>
        </w:rPr>
        <w:t xml:space="preserve">tability post-analysis for </w:t>
      </w:r>
      <w:r w:rsidRPr="00E2011E">
        <w:rPr>
          <w:rStyle w:val="fontstyle01"/>
          <w:rFonts w:ascii="Minion Pro" w:hAnsi="Minion Pro" w:cstheme="majorBidi"/>
          <w:color w:val="0070C0"/>
          <w:sz w:val="36"/>
          <w:szCs w:val="36"/>
        </w:rPr>
        <w:t xml:space="preserve">several </w:t>
      </w:r>
      <w:r w:rsidR="00FF3C05">
        <w:rPr>
          <w:rStyle w:val="fontstyle01"/>
          <w:rFonts w:ascii="Minion Pro" w:hAnsi="Minion Pro" w:cstheme="majorBidi"/>
          <w:color w:val="0070C0"/>
          <w:sz w:val="36"/>
          <w:szCs w:val="36"/>
        </w:rPr>
        <w:t>depths</w:t>
      </w:r>
      <w:r w:rsidRPr="00E2011E">
        <w:rPr>
          <w:rStyle w:val="fontstyle01"/>
          <w:rFonts w:ascii="Minion Pro" w:hAnsi="Minion Pro" w:cstheme="majorBidi"/>
          <w:color w:val="0070C0"/>
          <w:sz w:val="36"/>
          <w:szCs w:val="36"/>
        </w:rPr>
        <w:t xml:space="preserve"> </w:t>
      </w:r>
      <w:r w:rsidRPr="00E2011E">
        <w:rPr>
          <w:rFonts w:cstheme="majorBidi"/>
          <w:color w:val="0070C0"/>
        </w:rPr>
        <w:t>in the south of Iran</w:t>
      </w:r>
    </w:p>
    <w:p w:rsidR="005F00F3" w:rsidRDefault="005F00F3" w:rsidP="005F00F3">
      <w:pPr>
        <w:pStyle w:val="BodyText"/>
        <w:spacing w:before="73" w:line="198" w:lineRule="exact"/>
        <w:ind w:left="100" w:right="5987"/>
        <w:jc w:val="both"/>
        <w:rPr>
          <w:rFonts w:ascii="Arial"/>
        </w:rPr>
      </w:pPr>
      <w:r>
        <w:rPr>
          <w:rFonts w:ascii="Arial"/>
        </w:rPr>
        <w:t xml:space="preserve">Ehsan </w:t>
      </w:r>
      <w:proofErr w:type="spellStart"/>
      <w:r>
        <w:rPr>
          <w:rFonts w:ascii="Arial"/>
        </w:rPr>
        <w:t>Jafari</w:t>
      </w:r>
      <w:proofErr w:type="spellEnd"/>
      <w:r>
        <w:rPr>
          <w:rFonts w:ascii="Arial"/>
        </w:rPr>
        <w:t xml:space="preserve"> </w:t>
      </w:r>
      <w:proofErr w:type="spellStart"/>
      <w:r>
        <w:rPr>
          <w:rFonts w:ascii="Arial"/>
        </w:rPr>
        <w:t>Dastgerdi</w:t>
      </w:r>
      <w:proofErr w:type="spellEnd"/>
      <w:r>
        <w:rPr>
          <w:rFonts w:ascii="Arial"/>
        </w:rPr>
        <w:t xml:space="preserve">, Petroleum Engineering MSc, </w:t>
      </w:r>
      <w:proofErr w:type="spellStart"/>
      <w:r>
        <w:rPr>
          <w:rFonts w:ascii="Arial"/>
        </w:rPr>
        <w:t>Sahand</w:t>
      </w:r>
      <w:proofErr w:type="spellEnd"/>
      <w:r>
        <w:rPr>
          <w:rFonts w:ascii="Arial"/>
        </w:rPr>
        <w:t xml:space="preserve"> University of Technology, Iran </w:t>
      </w:r>
    </w:p>
    <w:p w:rsidR="005F00F3" w:rsidRDefault="005F00F3" w:rsidP="005F00F3">
      <w:pPr>
        <w:pStyle w:val="BodyText"/>
        <w:spacing w:before="73" w:line="198" w:lineRule="exact"/>
        <w:ind w:left="100" w:right="5987"/>
        <w:jc w:val="both"/>
        <w:rPr>
          <w:rFonts w:ascii="Arial"/>
        </w:rPr>
      </w:pPr>
      <w:r>
        <w:rPr>
          <w:rFonts w:ascii="Arial"/>
        </w:rPr>
        <w:t xml:space="preserve">Mohammad </w:t>
      </w:r>
      <w:proofErr w:type="spellStart"/>
      <w:r>
        <w:rPr>
          <w:rFonts w:ascii="Arial"/>
        </w:rPr>
        <w:t>Fazaelizadeh</w:t>
      </w:r>
      <w:proofErr w:type="spellEnd"/>
      <w:r>
        <w:rPr>
          <w:rFonts w:ascii="Arial"/>
        </w:rPr>
        <w:t xml:space="preserve">, Assistant Professor, </w:t>
      </w:r>
      <w:proofErr w:type="spellStart"/>
      <w:r>
        <w:rPr>
          <w:rFonts w:ascii="Arial"/>
        </w:rPr>
        <w:t>S</w:t>
      </w:r>
      <w:r>
        <w:rPr>
          <w:rFonts w:ascii="Arial"/>
        </w:rPr>
        <w:t>ahand</w:t>
      </w:r>
      <w:proofErr w:type="spellEnd"/>
      <w:r>
        <w:rPr>
          <w:rFonts w:ascii="Arial"/>
        </w:rPr>
        <w:t xml:space="preserve"> University of Technology, Iran</w:t>
      </w:r>
    </w:p>
    <w:p w:rsidR="005F00F3" w:rsidRDefault="005F00F3" w:rsidP="005F00F3">
      <w:pPr>
        <w:pStyle w:val="BodyText"/>
        <w:spacing w:before="73" w:line="198" w:lineRule="exact"/>
        <w:ind w:left="100" w:right="5987"/>
        <w:jc w:val="both"/>
        <w:rPr>
          <w:rFonts w:ascii="Arial"/>
        </w:rPr>
      </w:pPr>
      <w:proofErr w:type="spellStart"/>
      <w:r>
        <w:rPr>
          <w:rFonts w:ascii="Arial"/>
        </w:rPr>
        <w:t>Eghbal</w:t>
      </w:r>
      <w:proofErr w:type="spellEnd"/>
      <w:r>
        <w:rPr>
          <w:rFonts w:ascii="Arial"/>
        </w:rPr>
        <w:t xml:space="preserve"> </w:t>
      </w:r>
      <w:proofErr w:type="spellStart"/>
      <w:r>
        <w:rPr>
          <w:rFonts w:ascii="Arial"/>
        </w:rPr>
        <w:t>Sahraei</w:t>
      </w:r>
      <w:proofErr w:type="spellEnd"/>
      <w:r>
        <w:rPr>
          <w:rFonts w:ascii="Arial"/>
        </w:rPr>
        <w:t xml:space="preserve">, </w:t>
      </w:r>
      <w:proofErr w:type="spellStart"/>
      <w:r>
        <w:rPr>
          <w:rFonts w:ascii="Arial"/>
        </w:rPr>
        <w:t>As</w:t>
      </w:r>
      <w:r>
        <w:rPr>
          <w:rFonts w:ascii="Arial"/>
        </w:rPr>
        <w:t>sociate</w:t>
      </w:r>
      <w:r>
        <w:rPr>
          <w:rFonts w:ascii="Arial"/>
        </w:rPr>
        <w:t>Professor</w:t>
      </w:r>
      <w:proofErr w:type="spellEnd"/>
      <w:r>
        <w:rPr>
          <w:rFonts w:ascii="Arial"/>
        </w:rPr>
        <w:t xml:space="preserve">, </w:t>
      </w:r>
      <w:proofErr w:type="spellStart"/>
      <w:r>
        <w:rPr>
          <w:rFonts w:ascii="Arial"/>
        </w:rPr>
        <w:t>Sahand</w:t>
      </w:r>
      <w:proofErr w:type="spellEnd"/>
      <w:r>
        <w:rPr>
          <w:rFonts w:ascii="Arial"/>
        </w:rPr>
        <w:t xml:space="preserve"> University of Technology, Iran</w:t>
      </w:r>
    </w:p>
    <w:p w:rsidR="005F00F3" w:rsidRDefault="005F00F3" w:rsidP="005F00F3">
      <w:pPr>
        <w:pStyle w:val="BodyText"/>
        <w:spacing w:before="73" w:line="198" w:lineRule="exact"/>
        <w:ind w:left="100" w:right="5987"/>
        <w:jc w:val="both"/>
        <w:rPr>
          <w:rFonts w:ascii="Arial"/>
        </w:rPr>
      </w:pPr>
      <w:proofErr w:type="spellStart"/>
      <w:r>
        <w:rPr>
          <w:rFonts w:ascii="Arial"/>
        </w:rPr>
        <w:t>Javad</w:t>
      </w:r>
      <w:proofErr w:type="spellEnd"/>
      <w:r>
        <w:rPr>
          <w:rFonts w:ascii="Arial"/>
        </w:rPr>
        <w:t xml:space="preserve"> </w:t>
      </w:r>
      <w:proofErr w:type="spellStart"/>
      <w:r>
        <w:rPr>
          <w:rFonts w:ascii="Arial"/>
        </w:rPr>
        <w:t>Hosseinian</w:t>
      </w:r>
      <w:proofErr w:type="spellEnd"/>
      <w:r>
        <w:rPr>
          <w:rFonts w:ascii="Arial"/>
        </w:rPr>
        <w:t xml:space="preserve">, Petroleum Engineering MSc, </w:t>
      </w:r>
      <w:proofErr w:type="spellStart"/>
      <w:r>
        <w:rPr>
          <w:rFonts w:ascii="Arial"/>
        </w:rPr>
        <w:t>Sahand</w:t>
      </w:r>
      <w:proofErr w:type="spellEnd"/>
      <w:r>
        <w:rPr>
          <w:rFonts w:ascii="Arial"/>
        </w:rPr>
        <w:t xml:space="preserve"> University of Technology, Iran </w:t>
      </w:r>
    </w:p>
    <w:p w:rsidR="005F00F3" w:rsidRDefault="005F00F3" w:rsidP="005F00F3">
      <w:pPr>
        <w:pStyle w:val="BodyText"/>
        <w:spacing w:before="73" w:line="198" w:lineRule="exact"/>
        <w:ind w:left="100" w:right="5987"/>
        <w:jc w:val="both"/>
        <w:rPr>
          <w:rFonts w:ascii="Arial"/>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5F00F3">
      <w:pPr>
        <w:pStyle w:val="Heading3"/>
        <w:spacing w:before="147"/>
        <w:ind w:left="0"/>
        <w:jc w:val="both"/>
      </w:pPr>
      <w:r>
        <w:rPr>
          <w:color w:val="BF5A14"/>
        </w:rPr>
        <w:lastRenderedPageBreak/>
        <w:t>Abstract</w:t>
      </w:r>
      <w:r w:rsidR="00404E5B">
        <w:rPr>
          <w:color w:val="BF5A14"/>
        </w:rPr>
        <w:t xml:space="preserve"> </w:t>
      </w:r>
    </w:p>
    <w:p w:rsidR="005F00F3" w:rsidRDefault="005F00F3" w:rsidP="005F00F3">
      <w:pPr>
        <w:spacing w:line="276" w:lineRule="auto"/>
        <w:jc w:val="both"/>
        <w:rPr>
          <w:rFonts w:cstheme="majorBidi"/>
          <w:color w:val="000000"/>
          <w:sz w:val="18"/>
          <w:szCs w:val="18"/>
        </w:rPr>
      </w:pPr>
    </w:p>
    <w:p w:rsidR="005F00F3" w:rsidRPr="005F00F3" w:rsidRDefault="005F00F3" w:rsidP="005F00F3">
      <w:pPr>
        <w:spacing w:line="276" w:lineRule="auto"/>
        <w:jc w:val="both"/>
        <w:rPr>
          <w:rFonts w:cstheme="majorBidi"/>
          <w:color w:val="231F20"/>
          <w:sz w:val="18"/>
          <w:szCs w:val="18"/>
        </w:rPr>
      </w:pPr>
      <w:r w:rsidRPr="005F00F3">
        <w:rPr>
          <w:rFonts w:cstheme="majorBidi"/>
          <w:color w:val="000000"/>
          <w:sz w:val="18"/>
          <w:szCs w:val="18"/>
        </w:rPr>
        <w:t xml:space="preserve">Nowadays with the emergence of directional and horizontal drillings and the problems regarding that, having a stable well is a necessity. </w:t>
      </w:r>
      <w:r w:rsidRPr="005F00F3">
        <w:rPr>
          <w:rStyle w:val="fontstyle01"/>
          <w:rFonts w:ascii="Tw Cen MT" w:hAnsi="Tw Cen MT" w:cstheme="majorBidi"/>
          <w:sz w:val="18"/>
          <w:szCs w:val="18"/>
        </w:rPr>
        <w:t>Wellbore stability has critical importance in the success of drilling operations. One of the</w:t>
      </w:r>
      <w:r w:rsidRPr="005F00F3">
        <w:rPr>
          <w:rFonts w:cstheme="majorBidi"/>
          <w:color w:val="231F20"/>
          <w:sz w:val="18"/>
          <w:szCs w:val="18"/>
        </w:rPr>
        <w:t xml:space="preserve"> </w:t>
      </w:r>
      <w:r w:rsidRPr="005F00F3">
        <w:rPr>
          <w:rStyle w:val="fontstyle01"/>
          <w:rFonts w:ascii="Tw Cen MT" w:hAnsi="Tw Cen MT" w:cstheme="majorBidi"/>
          <w:sz w:val="18"/>
          <w:szCs w:val="18"/>
        </w:rPr>
        <w:t xml:space="preserve">main </w:t>
      </w:r>
      <w:r w:rsidRPr="005F00F3">
        <w:rPr>
          <w:rStyle w:val="fontstyle01"/>
          <w:rFonts w:ascii="Tw Cen MT" w:hAnsi="Tw Cen MT" w:cstheme="majorBidi"/>
          <w:sz w:val="18"/>
          <w:szCs w:val="18"/>
        </w:rPr>
        <w:t>objectives</w:t>
      </w:r>
      <w:r w:rsidRPr="005F00F3">
        <w:rPr>
          <w:rStyle w:val="fontstyle01"/>
          <w:rFonts w:ascii="Tw Cen MT" w:hAnsi="Tw Cen MT" w:cstheme="majorBidi"/>
          <w:sz w:val="18"/>
          <w:szCs w:val="18"/>
        </w:rPr>
        <w:t xml:space="preserve"> of any drilling operation is drill the well as cost-e</w:t>
      </w:r>
      <w:r w:rsidRPr="005F00F3">
        <w:rPr>
          <w:rStyle w:val="fontstyle01"/>
          <w:rFonts w:ascii="Cambria Math" w:hAnsi="Cambria Math" w:cs="Cambria Math"/>
          <w:sz w:val="18"/>
          <w:szCs w:val="18"/>
        </w:rPr>
        <w:t>ﬀ</w:t>
      </w:r>
      <w:r w:rsidRPr="005F00F3">
        <w:rPr>
          <w:rStyle w:val="fontstyle01"/>
          <w:rFonts w:ascii="Tw Cen MT" w:hAnsi="Tw Cen MT" w:cstheme="majorBidi"/>
          <w:sz w:val="18"/>
          <w:szCs w:val="18"/>
        </w:rPr>
        <w:t xml:space="preserve">ective and stable as possible. </w:t>
      </w:r>
      <w:r w:rsidRPr="005F00F3">
        <w:rPr>
          <w:rFonts w:cstheme="majorBidi"/>
          <w:color w:val="000000"/>
          <w:sz w:val="18"/>
          <w:szCs w:val="18"/>
        </w:rPr>
        <w:t xml:space="preserve">Several parameters such as in-situ stress, formation strength, drilling direction, </w:t>
      </w:r>
      <w:proofErr w:type="gramStart"/>
      <w:r w:rsidRPr="005F00F3">
        <w:rPr>
          <w:rFonts w:cstheme="majorBidi"/>
          <w:color w:val="000000"/>
          <w:sz w:val="18"/>
          <w:szCs w:val="18"/>
        </w:rPr>
        <w:t>pore</w:t>
      </w:r>
      <w:proofErr w:type="gramEnd"/>
      <w:r w:rsidRPr="005F00F3">
        <w:rPr>
          <w:rFonts w:cstheme="majorBidi"/>
          <w:color w:val="000000"/>
          <w:sz w:val="18"/>
          <w:szCs w:val="18"/>
        </w:rPr>
        <w:t xml:space="preserve"> pressure and drilling fluid pressure play role in wellbore instability. The controllable parameters are the mud weight and wellbore trajectory. The proper choice of drilling fluid plays a prominent role in wellbore stability. Exceeding from allowed mud density may cause tensile failure and cause fractures in the wellbore, whereas, lowering mud weight from a certain value causes shear failure and wellbore collapse. In this study, </w:t>
      </w:r>
      <w:r w:rsidRPr="005F00F3">
        <w:rPr>
          <w:rStyle w:val="fontstyle01"/>
          <w:rFonts w:ascii="Tw Cen MT" w:hAnsi="Tw Cen MT" w:cstheme="majorBidi"/>
          <w:sz w:val="18"/>
          <w:szCs w:val="18"/>
        </w:rPr>
        <w:t xml:space="preserve">few reported depths of several wells </w:t>
      </w:r>
      <w:r w:rsidRPr="005F00F3">
        <w:rPr>
          <w:rFonts w:cstheme="majorBidi"/>
          <w:color w:val="000000"/>
          <w:sz w:val="18"/>
          <w:szCs w:val="18"/>
        </w:rPr>
        <w:t>located in the south of Iran</w:t>
      </w:r>
      <w:r w:rsidRPr="005F00F3">
        <w:rPr>
          <w:rStyle w:val="fontstyle01"/>
          <w:rFonts w:ascii="Tw Cen MT" w:hAnsi="Tw Cen MT" w:cstheme="majorBidi"/>
          <w:sz w:val="18"/>
          <w:szCs w:val="18"/>
        </w:rPr>
        <w:t xml:space="preserve"> that had imposed wellbore instability</w:t>
      </w:r>
      <w:r w:rsidRPr="005F00F3">
        <w:rPr>
          <w:rFonts w:cstheme="majorBidi"/>
          <w:color w:val="231F20"/>
          <w:sz w:val="18"/>
          <w:szCs w:val="18"/>
        </w:rPr>
        <w:t xml:space="preserve"> </w:t>
      </w:r>
      <w:r w:rsidRPr="005F00F3">
        <w:rPr>
          <w:rStyle w:val="fontstyle01"/>
          <w:rFonts w:ascii="Tw Cen MT" w:hAnsi="Tw Cen MT" w:cstheme="majorBidi"/>
          <w:sz w:val="18"/>
          <w:szCs w:val="18"/>
        </w:rPr>
        <w:t xml:space="preserve">on drilling operation were analyzed. </w:t>
      </w:r>
      <w:r w:rsidRPr="005F00F3">
        <w:rPr>
          <w:rFonts w:cstheme="majorBidi"/>
          <w:color w:val="000000"/>
          <w:sz w:val="18"/>
          <w:szCs w:val="18"/>
        </w:rPr>
        <w:t xml:space="preserve">In daily drilling reports for this depth, collapse, tight hole, and the stuck pipe were reported. At first, </w:t>
      </w:r>
      <w:r w:rsidRPr="005F00F3">
        <w:rPr>
          <w:rStyle w:val="fontstyle01"/>
          <w:rFonts w:ascii="Tw Cen MT" w:hAnsi="Tw Cen MT" w:cstheme="majorBidi"/>
          <w:sz w:val="18"/>
          <w:szCs w:val="18"/>
        </w:rPr>
        <w:t>geo-mechanical parameters were extracted from well logging data</w:t>
      </w:r>
      <w:r w:rsidRPr="005F00F3">
        <w:rPr>
          <w:rFonts w:cstheme="majorBidi"/>
          <w:color w:val="231F20"/>
          <w:sz w:val="18"/>
          <w:szCs w:val="18"/>
        </w:rPr>
        <w:t xml:space="preserve"> </w:t>
      </w:r>
      <w:r w:rsidRPr="005F00F3">
        <w:rPr>
          <w:rStyle w:val="fontstyle01"/>
          <w:rFonts w:ascii="Tw Cen MT" w:hAnsi="Tw Cen MT" w:cstheme="majorBidi"/>
          <w:sz w:val="18"/>
          <w:szCs w:val="18"/>
        </w:rPr>
        <w:t xml:space="preserve">and DGRs (daily geological reports). </w:t>
      </w:r>
      <w:r>
        <w:rPr>
          <w:rStyle w:val="fontstyle01"/>
          <w:rFonts w:ascii="Tw Cen MT" w:hAnsi="Tw Cen MT" w:cstheme="majorBidi"/>
          <w:sz w:val="18"/>
          <w:szCs w:val="18"/>
        </w:rPr>
        <w:t xml:space="preserve">At next, </w:t>
      </w:r>
      <w:r>
        <w:rPr>
          <w:rFonts w:cstheme="majorBidi"/>
          <w:color w:val="000000"/>
          <w:sz w:val="18"/>
          <w:szCs w:val="18"/>
        </w:rPr>
        <w:t>t</w:t>
      </w:r>
      <w:r w:rsidRPr="005F00F3">
        <w:rPr>
          <w:rFonts w:cstheme="majorBidi"/>
          <w:color w:val="000000"/>
          <w:sz w:val="18"/>
          <w:szCs w:val="18"/>
        </w:rPr>
        <w:t xml:space="preserve">he simulation results of collapse pressure, fracture pressure, </w:t>
      </w:r>
      <w:r>
        <w:rPr>
          <w:rFonts w:cstheme="majorBidi"/>
          <w:color w:val="231F20"/>
          <w:sz w:val="18"/>
          <w:szCs w:val="18"/>
        </w:rPr>
        <w:t>n</w:t>
      </w:r>
      <w:r w:rsidRPr="005F00F3">
        <w:rPr>
          <w:rFonts w:cstheme="majorBidi"/>
          <w:color w:val="231F20"/>
          <w:sz w:val="18"/>
          <w:szCs w:val="18"/>
        </w:rPr>
        <w:t xml:space="preserve">ormalized </w:t>
      </w:r>
      <w:r>
        <w:rPr>
          <w:rFonts w:cstheme="majorBidi"/>
          <w:color w:val="231F20"/>
          <w:sz w:val="18"/>
          <w:szCs w:val="18"/>
        </w:rPr>
        <w:t>y</w:t>
      </w:r>
      <w:r w:rsidRPr="005F00F3">
        <w:rPr>
          <w:rFonts w:cstheme="majorBidi"/>
          <w:color w:val="231F20"/>
          <w:sz w:val="18"/>
          <w:szCs w:val="18"/>
        </w:rPr>
        <w:t xml:space="preserve">ielded </w:t>
      </w:r>
      <w:r>
        <w:rPr>
          <w:rFonts w:cstheme="majorBidi"/>
          <w:color w:val="231F20"/>
          <w:sz w:val="18"/>
          <w:szCs w:val="18"/>
        </w:rPr>
        <w:t>z</w:t>
      </w:r>
      <w:r w:rsidRPr="005F00F3">
        <w:rPr>
          <w:rFonts w:cstheme="majorBidi"/>
          <w:color w:val="231F20"/>
          <w:sz w:val="18"/>
          <w:szCs w:val="18"/>
        </w:rPr>
        <w:t xml:space="preserve">one </w:t>
      </w:r>
      <w:r>
        <w:rPr>
          <w:rFonts w:cstheme="majorBidi"/>
          <w:color w:val="231F20"/>
          <w:sz w:val="18"/>
          <w:szCs w:val="18"/>
        </w:rPr>
        <w:t>r</w:t>
      </w:r>
      <w:r w:rsidRPr="005F00F3">
        <w:rPr>
          <w:rFonts w:cstheme="majorBidi"/>
          <w:color w:val="231F20"/>
          <w:sz w:val="18"/>
          <w:szCs w:val="18"/>
        </w:rPr>
        <w:t>adius</w:t>
      </w:r>
      <w:r w:rsidRPr="005F00F3">
        <w:rPr>
          <w:rFonts w:cstheme="majorBidi"/>
          <w:sz w:val="18"/>
          <w:szCs w:val="18"/>
        </w:rPr>
        <w:t xml:space="preserve">, </w:t>
      </w:r>
      <w:r w:rsidRPr="005F00F3">
        <w:rPr>
          <w:rFonts w:cstheme="majorBidi"/>
          <w:color w:val="231F20"/>
          <w:sz w:val="18"/>
          <w:szCs w:val="18"/>
        </w:rPr>
        <w:t>fracture initiation angle</w:t>
      </w:r>
      <w:r w:rsidRPr="005F00F3">
        <w:rPr>
          <w:rFonts w:cstheme="majorBidi"/>
          <w:sz w:val="18"/>
          <w:szCs w:val="18"/>
        </w:rPr>
        <w:t xml:space="preserve">, </w:t>
      </w:r>
      <w:r w:rsidRPr="005F00F3">
        <w:rPr>
          <w:rStyle w:val="fontstyle01"/>
          <w:rFonts w:ascii="Tw Cen MT" w:hAnsi="Tw Cen MT" w:cstheme="majorBidi"/>
          <w:sz w:val="18"/>
          <w:szCs w:val="18"/>
        </w:rPr>
        <w:t>wellbore shape and mud window</w:t>
      </w:r>
      <w:r w:rsidRPr="005F00F3">
        <w:rPr>
          <w:rFonts w:cstheme="majorBidi"/>
          <w:color w:val="000000"/>
          <w:sz w:val="18"/>
          <w:szCs w:val="18"/>
        </w:rPr>
        <w:t xml:space="preserve"> were shown for few instable depths of these wells. At final stage, sensitivity analysis was run and also appropriate mud window and stable direction for solving or decreasing the problems were recommended. </w:t>
      </w:r>
    </w:p>
    <w:p w:rsidR="00AE3E37" w:rsidRDefault="00A9710C">
      <w:pPr>
        <w:pStyle w:val="Heading3"/>
        <w:spacing w:before="74"/>
        <w:rPr>
          <w:color w:val="BF5A14"/>
        </w:rPr>
      </w:pPr>
      <w:r>
        <w:rPr>
          <w:b w:val="0"/>
        </w:rPr>
        <w:br w:type="column"/>
      </w:r>
      <w:r>
        <w:rPr>
          <w:color w:val="BF5A14"/>
        </w:rPr>
        <w:lastRenderedPageBreak/>
        <w:t>Image</w:t>
      </w:r>
    </w:p>
    <w:p w:rsidR="00DA51C1" w:rsidRDefault="00DA51C1" w:rsidP="00DA51C1">
      <w:pPr>
        <w:pStyle w:val="Heading3"/>
        <w:spacing w:before="74"/>
        <w:ind w:left="0"/>
        <w:rPr>
          <w:color w:val="BF5A14"/>
        </w:rPr>
      </w:pPr>
    </w:p>
    <w:p w:rsidR="00DA51C1" w:rsidRDefault="00DA51C1" w:rsidP="00E2011E">
      <w:pPr>
        <w:pStyle w:val="Heading3"/>
        <w:spacing w:before="74"/>
        <w:jc w:val="center"/>
      </w:pPr>
      <w:r>
        <w:rPr>
          <w:noProof/>
        </w:rPr>
        <w:drawing>
          <wp:inline distT="0" distB="0" distL="0" distR="0">
            <wp:extent cx="3194539" cy="1376101"/>
            <wp:effectExtent l="0" t="0" r="6350" b="0"/>
            <wp:docPr id="17" name="Picture 17" descr="C:\Users\Ehsan J\Desktop\s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C:\Users\Ehsan J\Desktop\sd.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92774" cy="1375341"/>
                    </a:xfrm>
                    <a:prstGeom prst="rect">
                      <a:avLst/>
                    </a:prstGeom>
                    <a:noFill/>
                    <a:ln>
                      <a:noFill/>
                    </a:ln>
                  </pic:spPr>
                </pic:pic>
              </a:graphicData>
            </a:graphic>
          </wp:inline>
        </w:drawing>
      </w:r>
    </w:p>
    <w:p w:rsidR="005973B9" w:rsidRDefault="00F5507A" w:rsidP="00F5507A">
      <w:pPr>
        <w:spacing w:line="204" w:lineRule="exact"/>
        <w:rPr>
          <w:rFonts w:ascii="Arial"/>
          <w:b/>
          <w:sz w:val="20"/>
        </w:rPr>
      </w:pPr>
      <w:r>
        <w:rPr>
          <w:rFonts w:ascii="Arial"/>
          <w:b/>
          <w:color w:val="BF5A14"/>
          <w:sz w:val="20"/>
        </w:rPr>
        <w:br/>
        <w:t>Recent Publications</w:t>
      </w:r>
      <w:bookmarkStart w:id="0" w:name="_GoBack"/>
      <w:bookmarkEnd w:id="0"/>
    </w:p>
    <w:p w:rsidR="005973B9" w:rsidRDefault="00F11064" w:rsidP="00F11064">
      <w:pPr>
        <w:pStyle w:val="ListParagraph"/>
        <w:numPr>
          <w:ilvl w:val="0"/>
          <w:numId w:val="3"/>
        </w:numPr>
        <w:tabs>
          <w:tab w:val="left" w:pos="384"/>
        </w:tabs>
        <w:spacing w:before="103" w:line="216" w:lineRule="exact"/>
        <w:ind w:right="138" w:hanging="283"/>
        <w:rPr>
          <w:sz w:val="18"/>
        </w:rPr>
      </w:pPr>
      <w:r w:rsidRPr="00F11064">
        <w:rPr>
          <w:rFonts w:asciiTheme="minorHAnsi" w:eastAsia="Tw Cen MT" w:hAnsiTheme="minorHAnsi" w:cstheme="minorHAnsi"/>
          <w:color w:val="000000"/>
          <w:sz w:val="18"/>
          <w:szCs w:val="18"/>
        </w:rPr>
        <w:t>Al-</w:t>
      </w:r>
      <w:proofErr w:type="spellStart"/>
      <w:r w:rsidRPr="00F11064">
        <w:rPr>
          <w:rFonts w:asciiTheme="minorHAnsi" w:eastAsia="Tw Cen MT" w:hAnsiTheme="minorHAnsi" w:cstheme="minorHAnsi"/>
          <w:color w:val="000000"/>
          <w:sz w:val="18"/>
          <w:szCs w:val="18"/>
        </w:rPr>
        <w:t>Ajmi</w:t>
      </w:r>
      <w:proofErr w:type="spellEnd"/>
      <w:r>
        <w:rPr>
          <w:rFonts w:ascii="Arial" w:eastAsia="Tw Cen MT" w:hAnsi="Arial" w:cs="Arial" w:hint="cs"/>
          <w:color w:val="000000"/>
          <w:sz w:val="18"/>
          <w:szCs w:val="18"/>
        </w:rPr>
        <w:t>,</w:t>
      </w:r>
      <w:r w:rsidRPr="00F11064">
        <w:rPr>
          <w:rFonts w:asciiTheme="minorHAnsi" w:eastAsia="Tw Cen MT" w:hAnsiTheme="minorHAnsi" w:cstheme="minorHAnsi"/>
          <w:color w:val="000000"/>
          <w:sz w:val="18"/>
          <w:szCs w:val="18"/>
          <w:rtl/>
        </w:rPr>
        <w:t xml:space="preserve"> </w:t>
      </w:r>
      <w:r w:rsidRPr="00F11064">
        <w:rPr>
          <w:rFonts w:asciiTheme="minorHAnsi" w:eastAsia="Tw Cen MT" w:hAnsiTheme="minorHAnsi" w:cstheme="minorHAnsi"/>
          <w:color w:val="000000"/>
          <w:sz w:val="18"/>
          <w:szCs w:val="18"/>
        </w:rPr>
        <w:t>Zimmerman</w:t>
      </w:r>
      <w:r>
        <w:rPr>
          <w:rFonts w:ascii="Arial" w:eastAsia="Tw Cen MT" w:hAnsi="Arial" w:cs="Arial" w:hint="cs"/>
          <w:color w:val="000000"/>
          <w:sz w:val="18"/>
          <w:szCs w:val="18"/>
        </w:rPr>
        <w:t>,</w:t>
      </w:r>
      <w:r w:rsidRPr="00F11064">
        <w:rPr>
          <w:rFonts w:asciiTheme="minorHAnsi" w:eastAsia="Tw Cen MT" w:hAnsiTheme="minorHAnsi" w:cstheme="minorHAnsi"/>
          <w:color w:val="000000"/>
          <w:sz w:val="18"/>
          <w:szCs w:val="18"/>
          <w:rtl/>
        </w:rPr>
        <w:t xml:space="preserve"> </w:t>
      </w:r>
      <w:r w:rsidRPr="00F11064">
        <w:rPr>
          <w:rFonts w:asciiTheme="minorHAnsi" w:eastAsia="Tw Cen MT" w:hAnsiTheme="minorHAnsi" w:cstheme="minorHAnsi"/>
          <w:color w:val="000000"/>
          <w:sz w:val="18"/>
          <w:szCs w:val="18"/>
        </w:rPr>
        <w:t>A new well path optimization model for increased mechanical</w:t>
      </w:r>
      <w:r>
        <w:rPr>
          <w:rFonts w:asciiTheme="minorHAnsi" w:eastAsia="Tw Cen MT" w:hAnsiTheme="minorHAnsi" w:cstheme="minorHAnsi"/>
          <w:color w:val="000000"/>
          <w:sz w:val="18"/>
          <w:szCs w:val="18"/>
        </w:rPr>
        <w:t xml:space="preserve"> </w:t>
      </w:r>
      <w:r w:rsidRPr="00F11064">
        <w:rPr>
          <w:rFonts w:asciiTheme="minorHAnsi" w:eastAsia="Tw Cen MT" w:hAnsiTheme="minorHAnsi" w:cstheme="minorHAnsi"/>
          <w:color w:val="000000"/>
          <w:sz w:val="18"/>
          <w:szCs w:val="18"/>
        </w:rPr>
        <w:t>borehole stability</w:t>
      </w:r>
      <w:r>
        <w:rPr>
          <w:rFonts w:ascii="Arial" w:eastAsia="Tw Cen MT" w:hAnsi="Arial" w:cs="Arial" w:hint="cs"/>
          <w:color w:val="000000"/>
          <w:sz w:val="18"/>
          <w:szCs w:val="18"/>
        </w:rPr>
        <w:t>,</w:t>
      </w:r>
      <w:r w:rsidRPr="00F11064">
        <w:rPr>
          <w:rFonts w:asciiTheme="minorHAnsi" w:eastAsia="Tw Cen MT" w:hAnsiTheme="minorHAnsi" w:cstheme="minorHAnsi"/>
          <w:color w:val="000000"/>
          <w:sz w:val="18"/>
          <w:szCs w:val="18"/>
          <w:rtl/>
        </w:rPr>
        <w:t xml:space="preserve"> </w:t>
      </w:r>
      <w:r w:rsidRPr="00F11064">
        <w:rPr>
          <w:rFonts w:asciiTheme="minorHAnsi" w:eastAsia="Tw Cen MT" w:hAnsiTheme="minorHAnsi" w:cstheme="minorHAnsi"/>
          <w:color w:val="000000"/>
          <w:sz w:val="18"/>
          <w:szCs w:val="18"/>
        </w:rPr>
        <w:t>Journal of Petroleum Science and Engineering</w:t>
      </w:r>
      <w:r>
        <w:rPr>
          <w:rFonts w:ascii="Arial" w:eastAsia="Tw Cen MT" w:hAnsi="Arial" w:cs="Arial" w:hint="cs"/>
          <w:color w:val="000000"/>
          <w:sz w:val="18"/>
          <w:szCs w:val="18"/>
        </w:rPr>
        <w:t>,</w:t>
      </w:r>
      <w:r w:rsidRPr="00F11064">
        <w:rPr>
          <w:rFonts w:asciiTheme="minorHAnsi" w:eastAsia="Tw Cen MT" w:hAnsiTheme="minorHAnsi" w:cstheme="minorHAnsi"/>
          <w:color w:val="000000"/>
          <w:sz w:val="18"/>
          <w:szCs w:val="18"/>
          <w:rtl/>
        </w:rPr>
        <w:t xml:space="preserve"> </w:t>
      </w:r>
      <w:r w:rsidRPr="00F11064">
        <w:rPr>
          <w:rFonts w:asciiTheme="minorHAnsi" w:eastAsia="Tw Cen MT" w:hAnsiTheme="minorHAnsi" w:cstheme="minorHAnsi"/>
          <w:color w:val="000000"/>
          <w:sz w:val="18"/>
          <w:szCs w:val="18"/>
        </w:rPr>
        <w:t xml:space="preserve">November </w:t>
      </w:r>
      <w:r>
        <w:rPr>
          <w:rFonts w:asciiTheme="minorHAnsi" w:eastAsia="Tw Cen MT" w:hAnsiTheme="minorHAnsi" w:cstheme="minorHAnsi"/>
          <w:color w:val="000000"/>
          <w:sz w:val="18"/>
          <w:szCs w:val="18"/>
        </w:rPr>
        <w:t>2009</w:t>
      </w:r>
      <w:r w:rsidR="005973B9" w:rsidRPr="005973B9">
        <w:rPr>
          <w:sz w:val="18"/>
        </w:rPr>
        <w:t>.</w:t>
      </w:r>
    </w:p>
    <w:p w:rsidR="00F11064" w:rsidRPr="00F11064" w:rsidRDefault="00F11064" w:rsidP="00F11064">
      <w:pPr>
        <w:pStyle w:val="ListParagraph"/>
        <w:numPr>
          <w:ilvl w:val="0"/>
          <w:numId w:val="3"/>
        </w:numPr>
        <w:tabs>
          <w:tab w:val="left" w:pos="384"/>
        </w:tabs>
        <w:spacing w:line="216" w:lineRule="exact"/>
        <w:ind w:right="138" w:hanging="283"/>
        <w:rPr>
          <w:rFonts w:asciiTheme="minorHAnsi" w:hAnsiTheme="minorHAnsi" w:cstheme="minorHAnsi"/>
          <w:sz w:val="12"/>
          <w:szCs w:val="16"/>
        </w:rPr>
      </w:pPr>
      <w:r w:rsidRPr="00F11064">
        <w:rPr>
          <w:rFonts w:asciiTheme="minorHAnsi" w:eastAsia="Tw Cen MT" w:hAnsiTheme="minorHAnsi" w:cstheme="minorHAnsi"/>
          <w:color w:val="000000"/>
          <w:sz w:val="18"/>
          <w:szCs w:val="18"/>
        </w:rPr>
        <w:t>Wang and sterling, (</w:t>
      </w:r>
      <w:r>
        <w:rPr>
          <w:rFonts w:asciiTheme="minorHAnsi" w:eastAsia="Tw Cen MT" w:hAnsiTheme="minorHAnsi" w:cstheme="minorHAnsi"/>
          <w:color w:val="000000"/>
          <w:sz w:val="18"/>
          <w:szCs w:val="18"/>
        </w:rPr>
        <w:t>2009</w:t>
      </w:r>
      <w:r w:rsidRPr="00F11064">
        <w:rPr>
          <w:rFonts w:asciiTheme="minorHAnsi" w:eastAsia="Tw Cen MT" w:hAnsiTheme="minorHAnsi" w:cstheme="minorHAnsi"/>
          <w:color w:val="000000"/>
          <w:sz w:val="18"/>
          <w:szCs w:val="18"/>
        </w:rPr>
        <w:t>).’’Stability Analysis of a borehole wall during horizontal</w:t>
      </w:r>
      <w:r>
        <w:rPr>
          <w:rFonts w:asciiTheme="minorHAnsi" w:eastAsia="Tw Cen MT" w:hAnsiTheme="minorHAnsi" w:cstheme="minorHAnsi"/>
          <w:color w:val="000000"/>
          <w:sz w:val="16"/>
          <w:szCs w:val="16"/>
        </w:rPr>
        <w:t xml:space="preserve"> </w:t>
      </w:r>
      <w:r>
        <w:rPr>
          <w:rFonts w:asciiTheme="minorHAnsi" w:eastAsia="Tw Cen MT" w:hAnsiTheme="minorHAnsi" w:cstheme="minorHAnsi"/>
          <w:color w:val="000000"/>
          <w:sz w:val="18"/>
          <w:szCs w:val="18"/>
        </w:rPr>
        <w:t xml:space="preserve">directional drilling’’. </w:t>
      </w:r>
      <w:r w:rsidRPr="00F11064">
        <w:rPr>
          <w:rFonts w:asciiTheme="minorHAnsi" w:eastAsia="Tw Cen MT" w:hAnsiTheme="minorHAnsi" w:cstheme="minorHAnsi"/>
          <w:color w:val="000000"/>
          <w:sz w:val="18"/>
          <w:szCs w:val="18"/>
        </w:rPr>
        <w:t>Tunneling and underground Space technology</w:t>
      </w:r>
      <w:r w:rsidRPr="00F11064">
        <w:rPr>
          <w:rFonts w:asciiTheme="minorHAnsi" w:eastAsia="Tw Cen MT" w:hAnsiTheme="minorHAnsi" w:cstheme="minorHAnsi"/>
          <w:sz w:val="16"/>
          <w:szCs w:val="16"/>
        </w:rPr>
        <w:t xml:space="preserve"> </w:t>
      </w:r>
    </w:p>
    <w:p w:rsidR="00F11064" w:rsidRPr="00F11064" w:rsidRDefault="00F11064" w:rsidP="00F11064">
      <w:pPr>
        <w:pStyle w:val="ListParagraph"/>
        <w:numPr>
          <w:ilvl w:val="0"/>
          <w:numId w:val="3"/>
        </w:numPr>
        <w:tabs>
          <w:tab w:val="left" w:pos="384"/>
        </w:tabs>
        <w:spacing w:before="92" w:line="218" w:lineRule="exact"/>
        <w:ind w:hanging="283"/>
        <w:rPr>
          <w:rFonts w:asciiTheme="minorHAnsi" w:hAnsiTheme="minorHAnsi" w:cstheme="minorHAnsi"/>
          <w:sz w:val="12"/>
          <w:szCs w:val="16"/>
        </w:rPr>
      </w:pPr>
      <w:proofErr w:type="spellStart"/>
      <w:r w:rsidRPr="00F11064">
        <w:rPr>
          <w:rFonts w:asciiTheme="minorHAnsi" w:eastAsia="Tw Cen MT" w:hAnsiTheme="minorHAnsi" w:cstheme="minorHAnsi"/>
          <w:color w:val="000000"/>
          <w:sz w:val="18"/>
          <w:szCs w:val="18"/>
        </w:rPr>
        <w:t>Rudarsko-geološko-naftni</w:t>
      </w:r>
      <w:proofErr w:type="spellEnd"/>
      <w:r w:rsidRPr="00F11064">
        <w:rPr>
          <w:rFonts w:asciiTheme="minorHAnsi" w:eastAsia="Tw Cen MT" w:hAnsiTheme="minorHAnsi" w:cstheme="minorHAnsi"/>
          <w:color w:val="000000"/>
          <w:sz w:val="18"/>
          <w:szCs w:val="18"/>
        </w:rPr>
        <w:t xml:space="preserve"> </w:t>
      </w:r>
      <w:proofErr w:type="spellStart"/>
      <w:r w:rsidRPr="00F11064">
        <w:rPr>
          <w:rFonts w:asciiTheme="minorHAnsi" w:eastAsia="Tw Cen MT" w:hAnsiTheme="minorHAnsi" w:cstheme="minorHAnsi"/>
          <w:color w:val="000000"/>
          <w:sz w:val="18"/>
          <w:szCs w:val="18"/>
        </w:rPr>
        <w:t>Zbornik</w:t>
      </w:r>
      <w:proofErr w:type="spellEnd"/>
      <w:r>
        <w:rPr>
          <w:rFonts w:ascii="Arial" w:eastAsia="Tw Cen MT" w:hAnsi="Arial" w:cs="Arial" w:hint="cs"/>
          <w:color w:val="000000"/>
          <w:sz w:val="18"/>
          <w:szCs w:val="18"/>
        </w:rPr>
        <w:t>,</w:t>
      </w:r>
      <w:r w:rsidRPr="00F11064">
        <w:rPr>
          <w:rFonts w:asciiTheme="minorHAnsi" w:eastAsia="Tw Cen MT" w:hAnsiTheme="minorHAnsi" w:cstheme="minorHAnsi"/>
          <w:color w:val="000000"/>
          <w:sz w:val="18"/>
          <w:szCs w:val="18"/>
          <w:rtl/>
        </w:rPr>
        <w:t xml:space="preserve"> </w:t>
      </w:r>
      <w:r w:rsidRPr="00F11064">
        <w:rPr>
          <w:rFonts w:asciiTheme="minorHAnsi" w:eastAsia="Tw Cen MT" w:hAnsiTheme="minorHAnsi" w:cstheme="minorHAnsi"/>
          <w:color w:val="000000"/>
          <w:sz w:val="18"/>
          <w:szCs w:val="18"/>
        </w:rPr>
        <w:t>WELLBORE INSTABILITY: CAUSES AND</w:t>
      </w:r>
      <w:r>
        <w:rPr>
          <w:rFonts w:asciiTheme="minorHAnsi" w:eastAsia="Tw Cen MT" w:hAnsiTheme="minorHAnsi" w:cstheme="minorHAnsi"/>
          <w:color w:val="000000"/>
          <w:sz w:val="16"/>
          <w:szCs w:val="16"/>
        </w:rPr>
        <w:t xml:space="preserve"> </w:t>
      </w:r>
      <w:r w:rsidRPr="00F11064">
        <w:rPr>
          <w:rFonts w:asciiTheme="minorHAnsi" w:eastAsia="Tw Cen MT" w:hAnsiTheme="minorHAnsi" w:cstheme="minorHAnsi"/>
          <w:color w:val="000000"/>
          <w:sz w:val="18"/>
          <w:szCs w:val="18"/>
        </w:rPr>
        <w:t>CONSEQUENCES</w:t>
      </w:r>
      <w:r>
        <w:rPr>
          <w:rFonts w:ascii="Arial" w:eastAsia="Tw Cen MT" w:hAnsi="Arial" w:cs="Arial" w:hint="cs"/>
          <w:color w:val="000000"/>
          <w:sz w:val="18"/>
          <w:szCs w:val="18"/>
        </w:rPr>
        <w:t>,</w:t>
      </w:r>
      <w:r w:rsidRPr="00F11064">
        <w:rPr>
          <w:rFonts w:asciiTheme="minorHAnsi" w:eastAsia="Tw Cen MT" w:hAnsiTheme="minorHAnsi" w:cstheme="minorHAnsi"/>
          <w:color w:val="000000"/>
          <w:sz w:val="18"/>
          <w:szCs w:val="18"/>
          <w:rtl/>
        </w:rPr>
        <w:t xml:space="preserve"> </w:t>
      </w:r>
      <w:r w:rsidRPr="00F11064">
        <w:rPr>
          <w:rFonts w:asciiTheme="minorHAnsi" w:eastAsia="Tw Cen MT" w:hAnsiTheme="minorHAnsi" w:cstheme="minorHAnsi"/>
          <w:color w:val="000000"/>
          <w:sz w:val="18"/>
          <w:szCs w:val="18"/>
        </w:rPr>
        <w:t>Zagreb 2007</w:t>
      </w:r>
      <w:r w:rsidRPr="00F11064">
        <w:rPr>
          <w:rFonts w:asciiTheme="minorHAnsi" w:eastAsia="Tw Cen MT" w:hAnsiTheme="minorHAnsi" w:cstheme="minorHAnsi"/>
          <w:sz w:val="16"/>
          <w:szCs w:val="16"/>
        </w:rPr>
        <w:t xml:space="preserve"> </w:t>
      </w:r>
    </w:p>
    <w:p w:rsidR="00F11064" w:rsidRPr="00F11064" w:rsidRDefault="00F11064" w:rsidP="00F11064">
      <w:pPr>
        <w:pStyle w:val="ListParagraph"/>
        <w:numPr>
          <w:ilvl w:val="0"/>
          <w:numId w:val="3"/>
        </w:numPr>
        <w:tabs>
          <w:tab w:val="left" w:pos="384"/>
        </w:tabs>
        <w:spacing w:before="92" w:line="218" w:lineRule="exact"/>
        <w:ind w:hanging="283"/>
        <w:rPr>
          <w:rFonts w:asciiTheme="minorHAnsi" w:hAnsiTheme="minorHAnsi" w:cstheme="minorHAnsi"/>
          <w:sz w:val="18"/>
          <w:szCs w:val="18"/>
        </w:rPr>
      </w:pPr>
      <w:proofErr w:type="spellStart"/>
      <w:r w:rsidRPr="00F11064">
        <w:rPr>
          <w:rFonts w:asciiTheme="minorHAnsi" w:hAnsiTheme="minorHAnsi" w:cstheme="minorHAnsi"/>
          <w:color w:val="000000"/>
          <w:sz w:val="18"/>
          <w:szCs w:val="18"/>
        </w:rPr>
        <w:t>M.Bai</w:t>
      </w:r>
      <w:proofErr w:type="spellEnd"/>
      <w:r w:rsidRPr="00F11064">
        <w:rPr>
          <w:rFonts w:asciiTheme="minorHAnsi" w:hAnsiTheme="minorHAnsi" w:cstheme="minorHAnsi"/>
          <w:color w:val="000000"/>
          <w:sz w:val="18"/>
          <w:szCs w:val="18"/>
        </w:rPr>
        <w:t xml:space="preserve"> et al, (2012).’’ Parametric sensitivity investigation: Analysis of wellbore stability.’’ Harmonizing Rock Engineering and the Environment – </w:t>
      </w:r>
      <w:proofErr w:type="spellStart"/>
      <w:r w:rsidRPr="00F11064">
        <w:rPr>
          <w:rFonts w:asciiTheme="minorHAnsi" w:hAnsiTheme="minorHAnsi" w:cstheme="minorHAnsi"/>
          <w:color w:val="000000"/>
          <w:sz w:val="18"/>
          <w:szCs w:val="18"/>
        </w:rPr>
        <w:t>Qian</w:t>
      </w:r>
      <w:proofErr w:type="spellEnd"/>
      <w:r w:rsidRPr="00F11064">
        <w:rPr>
          <w:rFonts w:asciiTheme="minorHAnsi" w:hAnsiTheme="minorHAnsi" w:cstheme="minorHAnsi"/>
          <w:color w:val="000000"/>
          <w:sz w:val="18"/>
          <w:szCs w:val="18"/>
        </w:rPr>
        <w:t xml:space="preserve"> &amp;Zhou (</w:t>
      </w:r>
      <w:proofErr w:type="spellStart"/>
      <w:r w:rsidRPr="00F11064">
        <w:rPr>
          <w:rFonts w:asciiTheme="minorHAnsi" w:hAnsiTheme="minorHAnsi" w:cstheme="minorHAnsi"/>
          <w:color w:val="000000"/>
          <w:sz w:val="18"/>
          <w:szCs w:val="18"/>
        </w:rPr>
        <w:t>Eds</w:t>
      </w:r>
      <w:proofErr w:type="spellEnd"/>
      <w:r w:rsidRPr="00F11064">
        <w:rPr>
          <w:rFonts w:asciiTheme="minorHAnsi" w:hAnsiTheme="minorHAnsi" w:cstheme="minorHAnsi"/>
          <w:color w:val="000000"/>
          <w:sz w:val="18"/>
          <w:szCs w:val="18"/>
        </w:rPr>
        <w:t>) © 2012 Taylor &amp; Francis Group, London, ISBN 220-0-703-00777-0</w:t>
      </w:r>
      <w:r w:rsidRPr="00F11064">
        <w:rPr>
          <w:rFonts w:asciiTheme="minorHAnsi" w:hAnsiTheme="minorHAnsi" w:cstheme="minorHAnsi"/>
          <w:sz w:val="18"/>
          <w:szCs w:val="18"/>
        </w:rPr>
        <w:t xml:space="preserve"> </w:t>
      </w:r>
    </w:p>
    <w:p w:rsidR="005973B9" w:rsidRDefault="005973B9" w:rsidP="00F11064">
      <w:pPr>
        <w:pStyle w:val="BodyText"/>
        <w:spacing w:before="85" w:line="216" w:lineRule="exact"/>
        <w:ind w:left="383" w:right="138" w:hanging="284"/>
        <w:jc w:val="both"/>
        <w:rPr>
          <w:rFonts w:ascii="Calibri" w:hAnsi="Calibri"/>
        </w:rPr>
      </w:pPr>
      <w:r>
        <w:rPr>
          <w:rFonts w:ascii="Calibri" w:hAnsi="Calibri"/>
        </w:rPr>
        <w:t xml:space="preserve">5. </w:t>
      </w:r>
      <w:r w:rsidR="00F11064">
        <w:rPr>
          <w:rFonts w:ascii="Calibri" w:hAnsi="Calibri"/>
        </w:rPr>
        <w:t xml:space="preserve">  </w:t>
      </w:r>
      <w:r w:rsidR="00F11064" w:rsidRPr="00F11064">
        <w:rPr>
          <w:rFonts w:asciiTheme="minorHAnsi" w:hAnsiTheme="minorHAnsi" w:cstheme="minorHAnsi"/>
          <w:color w:val="000000"/>
        </w:rPr>
        <w:t>Wang and sterling, (9002).’’</w:t>
      </w:r>
      <w:r w:rsidR="00F11064">
        <w:rPr>
          <w:rFonts w:asciiTheme="minorHAnsi" w:hAnsiTheme="minorHAnsi" w:cstheme="minorHAnsi"/>
          <w:color w:val="000000"/>
        </w:rPr>
        <w:t xml:space="preserve"> </w:t>
      </w:r>
      <w:proofErr w:type="gramStart"/>
      <w:r w:rsidR="00F11064" w:rsidRPr="00F11064">
        <w:rPr>
          <w:rFonts w:asciiTheme="minorHAnsi" w:hAnsiTheme="minorHAnsi" w:cstheme="minorHAnsi"/>
          <w:color w:val="000000"/>
        </w:rPr>
        <w:t>Stabil</w:t>
      </w:r>
      <w:r w:rsidR="00F11064">
        <w:rPr>
          <w:rFonts w:asciiTheme="minorHAnsi" w:hAnsiTheme="minorHAnsi" w:cstheme="minorHAnsi"/>
          <w:color w:val="000000"/>
        </w:rPr>
        <w:t xml:space="preserve">ity Analysis of a borehole wall </w:t>
      </w:r>
      <w:r w:rsidR="00F11064" w:rsidRPr="00F11064">
        <w:rPr>
          <w:rFonts w:asciiTheme="minorHAnsi" w:hAnsiTheme="minorHAnsi" w:cstheme="minorHAnsi"/>
          <w:color w:val="000000"/>
        </w:rPr>
        <w:t>during horizontal</w:t>
      </w:r>
      <w:r w:rsidR="00F11064">
        <w:rPr>
          <w:rFonts w:asciiTheme="minorHAnsi" w:hAnsiTheme="minorHAnsi" w:cstheme="minorHAnsi"/>
          <w:color w:val="000000"/>
        </w:rPr>
        <w:t xml:space="preserve"> </w:t>
      </w:r>
      <w:r w:rsidR="00F11064" w:rsidRPr="00F11064">
        <w:rPr>
          <w:rFonts w:asciiTheme="minorHAnsi" w:hAnsiTheme="minorHAnsi" w:cstheme="minorHAnsi"/>
          <w:color w:val="000000"/>
        </w:rPr>
        <w:t>direct</w:t>
      </w:r>
      <w:r w:rsidR="00F11064">
        <w:rPr>
          <w:rFonts w:asciiTheme="minorHAnsi" w:hAnsiTheme="minorHAnsi" w:cstheme="minorHAnsi"/>
          <w:color w:val="000000"/>
        </w:rPr>
        <w:t>ional drilling.’’</w:t>
      </w:r>
      <w:proofErr w:type="gramEnd"/>
      <w:r w:rsidR="00F11064">
        <w:rPr>
          <w:rFonts w:asciiTheme="minorHAnsi" w:hAnsiTheme="minorHAnsi" w:cstheme="minorHAnsi"/>
          <w:color w:val="000000"/>
        </w:rPr>
        <w:t xml:space="preserve"> </w:t>
      </w:r>
      <w:proofErr w:type="gramStart"/>
      <w:r w:rsidR="00F11064">
        <w:rPr>
          <w:rFonts w:asciiTheme="minorHAnsi" w:hAnsiTheme="minorHAnsi" w:cstheme="minorHAnsi"/>
          <w:color w:val="000000"/>
        </w:rPr>
        <w:t xml:space="preserve">Tunneling and </w:t>
      </w:r>
      <w:r w:rsidR="00F11064" w:rsidRPr="00F11064">
        <w:rPr>
          <w:rFonts w:asciiTheme="minorHAnsi" w:hAnsiTheme="minorHAnsi" w:cstheme="minorHAnsi"/>
          <w:color w:val="000000"/>
        </w:rPr>
        <w:t>underground Space technology 99</w:t>
      </w:r>
      <w:r w:rsidR="00F11064">
        <w:rPr>
          <w:rFonts w:ascii="Arial" w:hAnsi="Arial" w:cs="Arial"/>
          <w:color w:val="000000"/>
        </w:rPr>
        <w:t>,</w:t>
      </w:r>
      <w:r w:rsidR="00F11064" w:rsidRPr="00F11064">
        <w:rPr>
          <w:rFonts w:asciiTheme="minorHAnsi" w:hAnsiTheme="minorHAnsi" w:cstheme="minorHAnsi"/>
          <w:color w:val="000000"/>
        </w:rPr>
        <w:t>290-259.</w:t>
      </w:r>
      <w:proofErr w:type="gramEnd"/>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DA51C1" w:rsidP="00DA51C1">
      <w:pPr>
        <w:spacing w:before="92"/>
        <w:ind w:right="4234"/>
        <w:rPr>
          <w:rFonts w:ascii="Arial"/>
        </w:rPr>
      </w:pPr>
      <w:r>
        <w:rPr>
          <w:noProof/>
        </w:rPr>
        <w:drawing>
          <wp:inline distT="0" distB="0" distL="0" distR="0">
            <wp:extent cx="614562" cy="592015"/>
            <wp:effectExtent l="0" t="0" r="0" b="0"/>
            <wp:docPr id="18" name="Picture 18" descr="C:\Users\Ehsan J\Desktop\x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C:\Users\Ehsan J\Desktop\xs.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4808" cy="592252"/>
                    </a:xfrm>
                    <a:prstGeom prst="rect">
                      <a:avLst/>
                    </a:prstGeom>
                    <a:noFill/>
                    <a:ln>
                      <a:noFill/>
                    </a:ln>
                  </pic:spPr>
                </pic:pic>
              </a:graphicData>
            </a:graphic>
          </wp:inline>
        </w:drawing>
      </w:r>
      <w:r w:rsidR="008756E6">
        <w:rPr>
          <w:noProof/>
        </w:rPr>
        <w:t xml:space="preserve">              </w:t>
      </w:r>
    </w:p>
    <w:p w:rsidR="00DA51C1" w:rsidRDefault="00DA51C1" w:rsidP="005F00F3">
      <w:pPr>
        <w:rPr>
          <w:rFonts w:ascii="Arial"/>
          <w:sz w:val="14"/>
        </w:rPr>
      </w:pPr>
    </w:p>
    <w:p w:rsidR="005F00F3" w:rsidRDefault="005F00F3" w:rsidP="00F11064">
      <w:r>
        <w:rPr>
          <w:rFonts w:ascii="Arial"/>
          <w:sz w:val="14"/>
        </w:rPr>
        <w:t xml:space="preserve">Ehsan </w:t>
      </w:r>
      <w:proofErr w:type="spellStart"/>
      <w:r>
        <w:rPr>
          <w:rFonts w:ascii="Arial"/>
          <w:sz w:val="14"/>
        </w:rPr>
        <w:t>Jafari</w:t>
      </w:r>
      <w:proofErr w:type="spellEnd"/>
      <w:r>
        <w:rPr>
          <w:rFonts w:ascii="Arial"/>
          <w:sz w:val="14"/>
        </w:rPr>
        <w:t xml:space="preserve"> </w:t>
      </w:r>
      <w:proofErr w:type="spellStart"/>
      <w:r>
        <w:rPr>
          <w:rFonts w:ascii="Arial"/>
          <w:sz w:val="14"/>
        </w:rPr>
        <w:t>Dastgerdi</w:t>
      </w:r>
      <w:proofErr w:type="spellEnd"/>
      <w:r>
        <w:rPr>
          <w:rFonts w:ascii="Arial"/>
          <w:sz w:val="14"/>
        </w:rPr>
        <w:t xml:space="preserve"> obtained a BS degree in Reservoir Engineering from the Shiraz University, Iran. He is MS Student in Drilling</w:t>
      </w:r>
      <w:r>
        <w:rPr>
          <w:rFonts w:ascii="Arial"/>
          <w:sz w:val="14"/>
        </w:rPr>
        <w:t xml:space="preserve"> and Production</w:t>
      </w:r>
      <w:r>
        <w:rPr>
          <w:rFonts w:ascii="Arial"/>
          <w:sz w:val="14"/>
        </w:rPr>
        <w:t xml:space="preserve"> Engineering at </w:t>
      </w:r>
      <w:proofErr w:type="spellStart"/>
      <w:r>
        <w:rPr>
          <w:rFonts w:ascii="Arial"/>
          <w:sz w:val="14"/>
        </w:rPr>
        <w:t>S</w:t>
      </w:r>
      <w:r>
        <w:rPr>
          <w:rFonts w:ascii="Arial"/>
          <w:sz w:val="14"/>
        </w:rPr>
        <w:t>ahand</w:t>
      </w:r>
      <w:proofErr w:type="spellEnd"/>
      <w:r>
        <w:rPr>
          <w:rFonts w:ascii="Arial"/>
          <w:sz w:val="14"/>
        </w:rPr>
        <w:t xml:space="preserve"> University of Technology, T</w:t>
      </w:r>
      <w:r>
        <w:rPr>
          <w:rFonts w:ascii="Arial"/>
          <w:sz w:val="14"/>
        </w:rPr>
        <w:t>abriz</w:t>
      </w:r>
      <w:r>
        <w:rPr>
          <w:rFonts w:ascii="Arial"/>
          <w:sz w:val="14"/>
        </w:rPr>
        <w:t xml:space="preserve">, Iran. His research interests include </w:t>
      </w:r>
      <w:r w:rsidR="00F11064">
        <w:rPr>
          <w:rFonts w:ascii="Arial"/>
          <w:sz w:val="14"/>
        </w:rPr>
        <w:t>D</w:t>
      </w:r>
      <w:r>
        <w:rPr>
          <w:rFonts w:ascii="Arial"/>
          <w:sz w:val="14"/>
        </w:rPr>
        <w:t xml:space="preserve">rilling </w:t>
      </w:r>
      <w:r w:rsidR="00F11064">
        <w:rPr>
          <w:rFonts w:ascii="Arial"/>
          <w:sz w:val="14"/>
        </w:rPr>
        <w:t>E</w:t>
      </w:r>
      <w:r>
        <w:rPr>
          <w:rFonts w:ascii="Arial"/>
          <w:sz w:val="14"/>
        </w:rPr>
        <w:t>ngineering</w:t>
      </w:r>
      <w:r w:rsidR="00F11064">
        <w:rPr>
          <w:rFonts w:ascii="Arial"/>
          <w:sz w:val="14"/>
        </w:rPr>
        <w:t xml:space="preserve"> and</w:t>
      </w:r>
      <w:r>
        <w:rPr>
          <w:rFonts w:ascii="Arial"/>
          <w:sz w:val="14"/>
        </w:rPr>
        <w:t xml:space="preserve"> </w:t>
      </w:r>
      <w:r w:rsidR="00F11064">
        <w:rPr>
          <w:rFonts w:ascii="Arial"/>
          <w:sz w:val="14"/>
        </w:rPr>
        <w:t>R</w:t>
      </w:r>
      <w:r>
        <w:rPr>
          <w:rFonts w:ascii="Arial"/>
          <w:sz w:val="14"/>
        </w:rPr>
        <w:t xml:space="preserve">ock </w:t>
      </w:r>
      <w:r w:rsidR="00F11064">
        <w:rPr>
          <w:rFonts w:ascii="Arial"/>
          <w:sz w:val="14"/>
        </w:rPr>
        <w:t>M</w:t>
      </w:r>
      <w:r>
        <w:rPr>
          <w:rFonts w:ascii="Arial"/>
          <w:sz w:val="14"/>
        </w:rPr>
        <w:t xml:space="preserve">echanic. </w:t>
      </w:r>
    </w:p>
    <w:p w:rsidR="005F00F3" w:rsidRDefault="005F00F3" w:rsidP="005F00F3">
      <w:pPr>
        <w:spacing w:before="41" w:line="154" w:lineRule="exact"/>
        <w:ind w:left="213" w:right="231"/>
        <w:jc w:val="both"/>
        <w:rPr>
          <w:rFonts w:ascii="Arial"/>
          <w:sz w:val="14"/>
        </w:rPr>
      </w:pPr>
      <w:r>
        <w:rPr>
          <w:rFonts w:ascii="Arial"/>
          <w:sz w:val="14"/>
        </w:rPr>
        <w:t>.</w:t>
      </w:r>
    </w:p>
    <w:p w:rsidR="005F00F3" w:rsidRDefault="005F00F3" w:rsidP="005F00F3">
      <w:pPr>
        <w:spacing w:before="62"/>
        <w:ind w:left="4217" w:right="4235"/>
        <w:jc w:val="center"/>
        <w:rPr>
          <w:rFonts w:ascii="Arial"/>
          <w:sz w:val="14"/>
        </w:rPr>
      </w:pPr>
      <w:r>
        <w:rPr>
          <w:rFonts w:ascii="Arial"/>
          <w:sz w:val="14"/>
        </w:rPr>
        <w:t xml:space="preserve">Email: </w:t>
      </w:r>
      <w:hyperlink r:id="rId12" w:history="1">
        <w:r w:rsidRPr="00C75B41">
          <w:rPr>
            <w:rStyle w:val="Hyperlink"/>
            <w:rFonts w:ascii="Arial"/>
            <w:sz w:val="14"/>
          </w:rPr>
          <w:t>e_jafari@sut.ac.ir</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1B7D9B33" wp14:editId="3CB7A59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E2011E" w:rsidRDefault="00AE3E37" w:rsidP="00E2011E">
      <w:pPr>
        <w:spacing w:before="39"/>
        <w:ind w:left="100"/>
        <w:rPr>
          <w:rFonts w:ascii="Minion Pro"/>
          <w:b/>
          <w:sz w:val="20"/>
        </w:rPr>
        <w:sectPr w:rsidR="00AE3E37" w:rsidRPr="00E2011E">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44BA" w:rsidRDefault="007B44BA">
      <w:r>
        <w:separator/>
      </w:r>
    </w:p>
  </w:endnote>
  <w:endnote w:type="continuationSeparator" w:id="0">
    <w:p w:rsidR="007B44BA" w:rsidRDefault="007B4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Times New Roman"/>
    <w:panose1 w:val="00000000000000000000"/>
    <w:charset w:val="00"/>
    <w:family w:val="roman"/>
    <w:notTrueType/>
    <w:pitch w:val="default"/>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44BA" w:rsidRDefault="007B44BA">
      <w:r>
        <w:separator/>
      </w:r>
    </w:p>
  </w:footnote>
  <w:footnote w:type="continuationSeparator" w:id="0">
    <w:p w:rsidR="007B44BA" w:rsidRDefault="007B44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5F00F3"/>
    <w:rsid w:val="006060CE"/>
    <w:rsid w:val="0063497F"/>
    <w:rsid w:val="007B44BA"/>
    <w:rsid w:val="00873DF0"/>
    <w:rsid w:val="008756E6"/>
    <w:rsid w:val="008A08B6"/>
    <w:rsid w:val="009B2D44"/>
    <w:rsid w:val="00A07E82"/>
    <w:rsid w:val="00A9710C"/>
    <w:rsid w:val="00AE3E37"/>
    <w:rsid w:val="00B21A57"/>
    <w:rsid w:val="00C33602"/>
    <w:rsid w:val="00CD6F55"/>
    <w:rsid w:val="00DA51C1"/>
    <w:rsid w:val="00DE3104"/>
    <w:rsid w:val="00E2011E"/>
    <w:rsid w:val="00E26B10"/>
    <w:rsid w:val="00F11064"/>
    <w:rsid w:val="00F5507A"/>
    <w:rsid w:val="00F72EEA"/>
    <w:rsid w:val="00F84CAE"/>
    <w:rsid w:val="00FC55FC"/>
    <w:rsid w:val="00FE5B1F"/>
    <w:rsid w:val="00FF3C0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ontstyle01">
    <w:name w:val="fontstyle01"/>
    <w:basedOn w:val="DefaultParagraphFont"/>
    <w:rsid w:val="005F00F3"/>
    <w:rPr>
      <w:rFonts w:ascii="MinionPro-Regular" w:hAnsi="MinionPro-Regular" w:hint="default"/>
      <w:b w:val="0"/>
      <w:bCs w:val="0"/>
      <w:i w:val="0"/>
      <w:iCs w:val="0"/>
      <w:color w:val="231F20"/>
      <w:sz w:val="26"/>
      <w:szCs w:val="26"/>
    </w:rPr>
  </w:style>
  <w:style w:type="table" w:styleId="TableGrid">
    <w:name w:val="Table Grid"/>
    <w:aliases w:val="Pooriya"/>
    <w:basedOn w:val="TableNormal"/>
    <w:uiPriority w:val="39"/>
    <w:rsid w:val="005F00F3"/>
    <w:pPr>
      <w:widowControl/>
      <w:spacing w:after="160" w:line="259"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ontstyle01">
    <w:name w:val="fontstyle01"/>
    <w:basedOn w:val="DefaultParagraphFont"/>
    <w:rsid w:val="005F00F3"/>
    <w:rPr>
      <w:rFonts w:ascii="MinionPro-Regular" w:hAnsi="MinionPro-Regular" w:hint="default"/>
      <w:b w:val="0"/>
      <w:bCs w:val="0"/>
      <w:i w:val="0"/>
      <w:iCs w:val="0"/>
      <w:color w:val="231F20"/>
      <w:sz w:val="26"/>
      <w:szCs w:val="26"/>
    </w:rPr>
  </w:style>
  <w:style w:type="table" w:styleId="TableGrid">
    <w:name w:val="Table Grid"/>
    <w:aliases w:val="Pooriya"/>
    <w:basedOn w:val="TableNormal"/>
    <w:uiPriority w:val="39"/>
    <w:rsid w:val="005F00F3"/>
    <w:pPr>
      <w:widowControl/>
      <w:spacing w:after="160" w:line="259"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07165">
      <w:bodyDiv w:val="1"/>
      <w:marLeft w:val="0"/>
      <w:marRight w:val="0"/>
      <w:marTop w:val="0"/>
      <w:marBottom w:val="0"/>
      <w:divBdr>
        <w:top w:val="none" w:sz="0" w:space="0" w:color="auto"/>
        <w:left w:val="none" w:sz="0" w:space="0" w:color="auto"/>
        <w:bottom w:val="none" w:sz="0" w:space="0" w:color="auto"/>
        <w:right w:val="none" w:sz="0" w:space="0" w:color="auto"/>
      </w:divBdr>
    </w:div>
    <w:div w:id="8233503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500689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e_jafari@sut.ac.i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477</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Ehsan J</cp:lastModifiedBy>
  <cp:revision>4</cp:revision>
  <dcterms:created xsi:type="dcterms:W3CDTF">2017-07-25T20:02:00Z</dcterms:created>
  <dcterms:modified xsi:type="dcterms:W3CDTF">2017-07-25T20:04:00Z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