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24D" w:rsidRPr="00984DBD" w:rsidRDefault="00F4424D" w:rsidP="00F4424D">
      <w:pPr>
        <w:spacing w:line="276" w:lineRule="auto"/>
        <w:rPr>
          <w:rFonts w:ascii="Minion Pro" w:eastAsia="Minion Pro" w:hAnsi="Minion Pro" w:cs="Minion Pro"/>
          <w:b/>
          <w:bCs/>
          <w:color w:val="337AB7"/>
          <w:sz w:val="36"/>
          <w:szCs w:val="36"/>
        </w:rPr>
      </w:pPr>
      <w:r w:rsidRPr="00984DBD">
        <w:rPr>
          <w:rFonts w:ascii="Minion Pro" w:eastAsia="Minion Pro" w:hAnsi="Minion Pro" w:cs="Minion Pro"/>
          <w:b/>
          <w:bCs/>
          <w:color w:val="337AB7"/>
          <w:sz w:val="36"/>
          <w:szCs w:val="36"/>
        </w:rPr>
        <w:t>Effectiveness of indigenous microbial enhanced oil recovery in a post-polymer flooded reservoir</w:t>
      </w:r>
    </w:p>
    <w:p w:rsidR="00F4424D" w:rsidRPr="00841B23" w:rsidRDefault="0071385A" w:rsidP="00F4424D">
      <w:pPr>
        <w:rPr>
          <w:rFonts w:ascii="Arial"/>
          <w:sz w:val="18"/>
          <w:szCs w:val="18"/>
        </w:rPr>
      </w:pPr>
      <w:hyperlink r:id="rId8" w:history="1">
        <w:r w:rsidR="00F4424D" w:rsidRPr="00841B23">
          <w:rPr>
            <w:rFonts w:ascii="Arial"/>
            <w:sz w:val="18"/>
            <w:szCs w:val="18"/>
          </w:rPr>
          <w:t>Jian-Jun Le</w:t>
        </w:r>
      </w:hyperlink>
      <w:r w:rsidR="00F4424D" w:rsidRPr="00841B23">
        <w:rPr>
          <w:rFonts w:ascii="Arial"/>
          <w:sz w:val="18"/>
          <w:szCs w:val="18"/>
        </w:rPr>
        <w:t xml:space="preserve"> </w:t>
      </w:r>
      <w:r w:rsidR="00F4424D">
        <w:rPr>
          <w:rFonts w:ascii="Arial" w:eastAsiaTheme="minorEastAsia" w:hint="eastAsia"/>
          <w:sz w:val="18"/>
          <w:szCs w:val="18"/>
          <w:lang w:eastAsia="zh-CN"/>
        </w:rPr>
        <w:t xml:space="preserve"> </w:t>
      </w:r>
      <w:hyperlink r:id="rId9" w:anchor="cor1" w:tooltip="Corresponding author contact information" w:history="1"/>
      <w:hyperlink r:id="rId10" w:tooltip="E-mail the corresponding author" w:history="1"/>
      <w:r w:rsidR="00F4424D" w:rsidRPr="00841B23">
        <w:rPr>
          <w:rFonts w:ascii="Arial"/>
          <w:sz w:val="18"/>
          <w:szCs w:val="18"/>
        </w:rPr>
        <w:t xml:space="preserve">Exploration and Development Research Institute of </w:t>
      </w:r>
      <w:r w:rsidR="00F4424D" w:rsidRPr="00841B23">
        <w:rPr>
          <w:rFonts w:ascii="Arial" w:hint="eastAsia"/>
          <w:sz w:val="18"/>
          <w:szCs w:val="18"/>
        </w:rPr>
        <w:t>PetroChina Daqing</w:t>
      </w:r>
      <w:r w:rsidR="00F4424D" w:rsidRPr="00841B23">
        <w:rPr>
          <w:rFonts w:ascii="Arial"/>
          <w:sz w:val="18"/>
          <w:szCs w:val="18"/>
        </w:rPr>
        <w:t xml:space="preserve"> Oilfield Company, </w:t>
      </w:r>
      <w:r w:rsidR="00F4424D">
        <w:rPr>
          <w:rFonts w:ascii="Arial"/>
          <w:sz w:val="18"/>
          <w:szCs w:val="18"/>
        </w:rPr>
        <w:t>Ltd. , Heilongjiang</w:t>
      </w:r>
      <w:r w:rsidR="00F4424D" w:rsidRPr="00841B23">
        <w:rPr>
          <w:rFonts w:ascii="Arial"/>
          <w:sz w:val="18"/>
          <w:szCs w:val="18"/>
        </w:rPr>
        <w:t>, PR China</w:t>
      </w:r>
    </w:p>
    <w:p w:rsidR="00F4424D" w:rsidRPr="00841B23" w:rsidRDefault="0071385A" w:rsidP="00F4424D">
      <w:pPr>
        <w:rPr>
          <w:rFonts w:ascii="Arial" w:eastAsiaTheme="minorEastAsia"/>
          <w:sz w:val="18"/>
          <w:szCs w:val="18"/>
          <w:lang w:eastAsia="zh-CN"/>
        </w:rPr>
      </w:pPr>
      <w:hyperlink r:id="rId11" w:history="1">
        <w:r w:rsidR="00F4424D" w:rsidRPr="00841B23">
          <w:rPr>
            <w:rFonts w:ascii="Arial"/>
            <w:sz w:val="18"/>
            <w:szCs w:val="18"/>
          </w:rPr>
          <w:t>Xiao-Lin Wu</w:t>
        </w:r>
      </w:hyperlink>
      <w:r w:rsidR="00F4424D" w:rsidRPr="00841B23">
        <w:rPr>
          <w:rFonts w:ascii="Arial"/>
          <w:sz w:val="18"/>
          <w:szCs w:val="18"/>
        </w:rPr>
        <w:t xml:space="preserve"> </w:t>
      </w:r>
      <w:r w:rsidR="00F4424D">
        <w:rPr>
          <w:rFonts w:ascii="Arial" w:eastAsiaTheme="minorEastAsia" w:hint="eastAsia"/>
          <w:sz w:val="18"/>
          <w:szCs w:val="18"/>
          <w:lang w:eastAsia="zh-CN"/>
        </w:rPr>
        <w:t xml:space="preserve"> </w:t>
      </w:r>
      <w:r w:rsidR="00F4424D" w:rsidRPr="00841B23">
        <w:rPr>
          <w:rFonts w:ascii="Arial"/>
          <w:sz w:val="18"/>
          <w:szCs w:val="18"/>
        </w:rPr>
        <w:t xml:space="preserve">Exploration and Development Research Institute of </w:t>
      </w:r>
      <w:r w:rsidR="00F4424D" w:rsidRPr="00841B23">
        <w:rPr>
          <w:rFonts w:ascii="Arial" w:hint="eastAsia"/>
          <w:sz w:val="18"/>
          <w:szCs w:val="18"/>
        </w:rPr>
        <w:t>PetroChina Daqing</w:t>
      </w:r>
      <w:r w:rsidR="00F4424D" w:rsidRPr="00841B23">
        <w:rPr>
          <w:rFonts w:ascii="Arial"/>
          <w:sz w:val="18"/>
          <w:szCs w:val="18"/>
        </w:rPr>
        <w:t xml:space="preserve"> Oilfield Company, </w:t>
      </w:r>
      <w:r w:rsidR="00F4424D">
        <w:rPr>
          <w:rFonts w:ascii="Arial"/>
          <w:sz w:val="18"/>
          <w:szCs w:val="18"/>
        </w:rPr>
        <w:t>Ltd. , Heilongjiang</w:t>
      </w:r>
      <w:r w:rsidR="00F4424D" w:rsidRPr="00841B23">
        <w:rPr>
          <w:rFonts w:ascii="Arial"/>
          <w:sz w:val="18"/>
          <w:szCs w:val="18"/>
        </w:rPr>
        <w:t>, PR China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12"/>
          <w:footerReference w:type="default" r:id="rId13"/>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F4424D">
      <w:pPr>
        <w:pStyle w:val="a3"/>
        <w:spacing w:before="90" w:line="280" w:lineRule="auto"/>
        <w:ind w:left="100"/>
        <w:jc w:val="both"/>
        <w:rPr>
          <w:rFonts w:eastAsiaTheme="minorEastAsia"/>
          <w:snapToGrid w:val="0"/>
          <w:lang w:eastAsia="zh-CN"/>
        </w:rPr>
      </w:pPr>
      <w:r w:rsidRPr="00984DBD">
        <w:rPr>
          <w:snapToGrid w:val="0"/>
        </w:rPr>
        <w:t>T</w:t>
      </w:r>
      <w:r w:rsidRPr="00984DBD">
        <w:rPr>
          <w:rFonts w:hint="eastAsia"/>
          <w:snapToGrid w:val="0"/>
        </w:rPr>
        <w:t>he t</w:t>
      </w:r>
      <w:r w:rsidRPr="00984DBD">
        <w:rPr>
          <w:snapToGrid w:val="0"/>
        </w:rPr>
        <w:t>wo round field t</w:t>
      </w:r>
      <w:r w:rsidRPr="00984DBD">
        <w:rPr>
          <w:rFonts w:hint="eastAsia"/>
          <w:snapToGrid w:val="0"/>
        </w:rPr>
        <w:t>rials</w:t>
      </w:r>
      <w:r w:rsidRPr="00984DBD">
        <w:rPr>
          <w:snapToGrid w:val="0"/>
        </w:rPr>
        <w:t xml:space="preserve"> of activating indigenous microbial community were carried out in an oil</w:t>
      </w:r>
      <w:r w:rsidRPr="00984DBD">
        <w:rPr>
          <w:rFonts w:hint="eastAsia"/>
          <w:snapToGrid w:val="0"/>
        </w:rPr>
        <w:t xml:space="preserve"> </w:t>
      </w:r>
      <w:r w:rsidRPr="00984DBD">
        <w:rPr>
          <w:snapToGrid w:val="0"/>
        </w:rPr>
        <w:t>reservoir post</w:t>
      </w:r>
      <w:r w:rsidRPr="00984DBD">
        <w:rPr>
          <w:rFonts w:hint="eastAsia"/>
          <w:snapToGrid w:val="0"/>
        </w:rPr>
        <w:t xml:space="preserve"> </w:t>
      </w:r>
      <w:r w:rsidRPr="00984DBD">
        <w:rPr>
          <w:snapToGrid w:val="0"/>
        </w:rPr>
        <w:t xml:space="preserve">polymer flooding. The </w:t>
      </w:r>
      <w:r w:rsidRPr="00984DBD">
        <w:rPr>
          <w:rFonts w:hint="eastAsia"/>
          <w:snapToGrid w:val="0"/>
        </w:rPr>
        <w:t>trial test effect</w:t>
      </w:r>
      <w:r w:rsidRPr="00984DBD">
        <w:rPr>
          <w:snapToGrid w:val="0"/>
        </w:rPr>
        <w:t xml:space="preserve"> showed that</w:t>
      </w:r>
      <w:r w:rsidRPr="00984DBD">
        <w:rPr>
          <w:rFonts w:hint="eastAsia"/>
          <w:snapToGrid w:val="0"/>
        </w:rPr>
        <w:t xml:space="preserve"> t</w:t>
      </w:r>
      <w:r w:rsidRPr="00984DBD">
        <w:rPr>
          <w:snapToGrid w:val="0"/>
        </w:rPr>
        <w:t>he</w:t>
      </w:r>
      <w:r w:rsidRPr="00984DBD">
        <w:rPr>
          <w:rFonts w:hint="eastAsia"/>
          <w:snapToGrid w:val="0"/>
        </w:rPr>
        <w:t xml:space="preserve"> d</w:t>
      </w:r>
      <w:r w:rsidRPr="00984DBD">
        <w:rPr>
          <w:snapToGrid w:val="0"/>
        </w:rPr>
        <w:t xml:space="preserve">ominant bacteria of 4 production wells, Thauera of </w:t>
      </w:r>
      <w:r w:rsidRPr="00984DBD">
        <w:rPr>
          <w:rFonts w:ascii="Arial" w:hAnsi="Arial" w:cs="Arial"/>
          <w:snapToGrid w:val="0"/>
        </w:rPr>
        <w:t>β</w:t>
      </w:r>
      <w:r w:rsidRPr="00984DBD">
        <w:rPr>
          <w:snapToGrid w:val="0"/>
        </w:rPr>
        <w:t xml:space="preserve">-proteobacteria, Pseudomonas and Acinetobacter of  </w:t>
      </w:r>
      <w:r w:rsidRPr="00984DBD">
        <w:rPr>
          <w:rFonts w:ascii="Arial" w:hAnsi="Arial" w:cs="Arial"/>
          <w:snapToGrid w:val="0"/>
        </w:rPr>
        <w:t>γ</w:t>
      </w:r>
      <w:r w:rsidRPr="00984DBD">
        <w:rPr>
          <w:snapToGrid w:val="0"/>
        </w:rPr>
        <w:t xml:space="preserve">-proteobacteria were directed activation, which showed a consistent enhancement. The abundance of Methanosaeta and Methanolinea increased, and showed a regular alternation with </w:t>
      </w:r>
      <w:r w:rsidRPr="00984DBD">
        <w:rPr>
          <w:rFonts w:hint="eastAsia"/>
          <w:snapToGrid w:val="0"/>
        </w:rPr>
        <w:t>an</w:t>
      </w:r>
      <w:r w:rsidRPr="00984DBD">
        <w:rPr>
          <w:snapToGrid w:val="0"/>
        </w:rPr>
        <w:t xml:space="preserve"> increase of oil production.</w:t>
      </w:r>
      <w:r w:rsidRPr="00984DBD">
        <w:rPr>
          <w:rFonts w:hint="eastAsia"/>
          <w:snapToGrid w:val="0"/>
        </w:rPr>
        <w:t xml:space="preserve"> It contributes to production of </w:t>
      </w:r>
      <w:r w:rsidRPr="00984DBD">
        <w:rPr>
          <w:snapToGrid w:val="0"/>
        </w:rPr>
        <w:t>biogas</w:t>
      </w:r>
      <w:r w:rsidRPr="00984DBD">
        <w:rPr>
          <w:rFonts w:hint="eastAsia"/>
          <w:snapToGrid w:val="0"/>
        </w:rPr>
        <w:t>, leading to</w:t>
      </w:r>
      <w:r w:rsidRPr="00984DBD">
        <w:rPr>
          <w:snapToGrid w:val="0"/>
        </w:rPr>
        <w:t xml:space="preserve"> increas</w:t>
      </w:r>
      <w:r w:rsidRPr="00984DBD">
        <w:rPr>
          <w:rFonts w:hint="eastAsia"/>
          <w:snapToGrid w:val="0"/>
        </w:rPr>
        <w:t>ing of t</w:t>
      </w:r>
      <w:r w:rsidRPr="00984DBD">
        <w:rPr>
          <w:snapToGrid w:val="0"/>
        </w:rPr>
        <w:t>he injection pressure from 11.3MPa to 13.9MPa before the experiment</w:t>
      </w:r>
      <w:r w:rsidRPr="00984DBD">
        <w:rPr>
          <w:rFonts w:hint="eastAsia"/>
          <w:snapToGrid w:val="0"/>
        </w:rPr>
        <w:t xml:space="preserve"> which</w:t>
      </w:r>
      <w:r w:rsidRPr="00984DBD">
        <w:rPr>
          <w:snapToGrid w:val="0"/>
        </w:rPr>
        <w:t xml:space="preserve"> increased by more than 2.0MPa.The contents of CO2 and CH4 varied alternately with each other, which was consistent with the order of injection of each activator. H2 was detected in the reservoir associated with the gas in the observation area. A large amount of enriched</w:t>
      </w:r>
      <w:r w:rsidRPr="00984DBD">
        <w:rPr>
          <w:rFonts w:hint="eastAsia"/>
          <w:snapToGrid w:val="0"/>
        </w:rPr>
        <w:t xml:space="preserve"> </w:t>
      </w:r>
      <w:r w:rsidRPr="00984DBD">
        <w:rPr>
          <w:snapToGrid w:val="0"/>
        </w:rPr>
        <w:t>bio</w:t>
      </w:r>
      <w:r w:rsidRPr="00984DBD">
        <w:rPr>
          <w:rFonts w:hint="eastAsia"/>
          <w:snapToGrid w:val="0"/>
        </w:rPr>
        <w:t>-</w:t>
      </w:r>
      <w:r w:rsidRPr="00984DBD">
        <w:rPr>
          <w:snapToGrid w:val="0"/>
        </w:rPr>
        <w:t xml:space="preserve">gas was dissolved </w:t>
      </w:r>
      <w:r w:rsidRPr="00984DBD">
        <w:rPr>
          <w:rFonts w:hint="eastAsia"/>
          <w:snapToGrid w:val="0"/>
        </w:rPr>
        <w:t xml:space="preserve">into </w:t>
      </w:r>
      <w:r w:rsidRPr="00984DBD">
        <w:rPr>
          <w:snapToGrid w:val="0"/>
        </w:rPr>
        <w:t>and mixed with crude oil</w:t>
      </w:r>
      <w:r w:rsidRPr="00984DBD">
        <w:rPr>
          <w:rFonts w:hint="eastAsia"/>
          <w:snapToGrid w:val="0"/>
        </w:rPr>
        <w:t>, which brought increasing of t</w:t>
      </w:r>
      <w:r w:rsidRPr="00984DBD">
        <w:rPr>
          <w:snapToGrid w:val="0"/>
        </w:rPr>
        <w:t xml:space="preserve">he proportion of light components in the whole hydrocarbon </w:t>
      </w:r>
      <w:r w:rsidRPr="00984DBD">
        <w:rPr>
          <w:rFonts w:hint="eastAsia"/>
          <w:snapToGrid w:val="0"/>
        </w:rPr>
        <w:t xml:space="preserve">of the recovered oil. The other effect was activated microbial metabolites productions formed bio-plugs, which benefits for improving of </w:t>
      </w:r>
      <w:r w:rsidRPr="00984DBD">
        <w:rPr>
          <w:snapToGrid w:val="0"/>
        </w:rPr>
        <w:t>the absorption profile</w:t>
      </w:r>
      <w:r w:rsidRPr="00984DBD">
        <w:rPr>
          <w:rFonts w:hint="eastAsia"/>
          <w:snapToGrid w:val="0"/>
        </w:rPr>
        <w:t xml:space="preserve"> </w:t>
      </w:r>
      <w:r w:rsidRPr="00984DBD">
        <w:rPr>
          <w:snapToGrid w:val="0"/>
        </w:rPr>
        <w:t xml:space="preserve">and </w:t>
      </w:r>
      <w:r w:rsidRPr="00984DBD">
        <w:rPr>
          <w:rFonts w:hint="eastAsia"/>
          <w:snapToGrid w:val="0"/>
        </w:rPr>
        <w:t xml:space="preserve">the </w:t>
      </w:r>
      <w:r w:rsidRPr="00984DBD">
        <w:rPr>
          <w:snapToGrid w:val="0"/>
        </w:rPr>
        <w:t>production profile. Under the condition</w:t>
      </w:r>
      <w:r w:rsidRPr="00984DBD">
        <w:rPr>
          <w:rFonts w:hint="eastAsia"/>
          <w:snapToGrid w:val="0"/>
        </w:rPr>
        <w:t>s</w:t>
      </w:r>
      <w:r w:rsidRPr="00984DBD">
        <w:rPr>
          <w:snapToGrid w:val="0"/>
        </w:rPr>
        <w:t xml:space="preserve"> of activator injection concentration of 1.34%, dosage of 0.0785 PV and injection volume of 21</w:t>
      </w:r>
      <w:r w:rsidRPr="00984DBD">
        <w:rPr>
          <w:rFonts w:hint="eastAsia"/>
          <w:snapToGrid w:val="0"/>
        </w:rPr>
        <w:t>,</w:t>
      </w:r>
      <w:r w:rsidRPr="00984DBD">
        <w:rPr>
          <w:snapToGrid w:val="0"/>
        </w:rPr>
        <w:t>419m3, the cumulative oil production was 20</w:t>
      </w:r>
      <w:r w:rsidRPr="00984DBD">
        <w:rPr>
          <w:rFonts w:hint="eastAsia"/>
          <w:snapToGrid w:val="0"/>
        </w:rPr>
        <w:t>,</w:t>
      </w:r>
      <w:r w:rsidRPr="00984DBD">
        <w:rPr>
          <w:snapToGrid w:val="0"/>
        </w:rPr>
        <w:t>524t,</w:t>
      </w:r>
      <w:r w:rsidRPr="00984DBD">
        <w:rPr>
          <w:rFonts w:hint="eastAsia"/>
          <w:snapToGrid w:val="0"/>
        </w:rPr>
        <w:t xml:space="preserve"> t</w:t>
      </w:r>
      <w:r w:rsidRPr="00984DBD">
        <w:rPr>
          <w:snapToGrid w:val="0"/>
        </w:rPr>
        <w:t>he cumulative increment oil was 6</w:t>
      </w:r>
      <w:r w:rsidRPr="00984DBD">
        <w:rPr>
          <w:rFonts w:hint="eastAsia"/>
          <w:snapToGrid w:val="0"/>
        </w:rPr>
        <w:t>,</w:t>
      </w:r>
      <w:r w:rsidRPr="00984DBD">
        <w:rPr>
          <w:snapToGrid w:val="0"/>
        </w:rPr>
        <w:t xml:space="preserve">243t, the recovery rate was 3.93% (OOIP), and the input / output ratio was 1: </w:t>
      </w:r>
      <w:smartTag w:uri="urn:schemas-microsoft-com:office:smarttags" w:element="chmetcnv">
        <w:smartTagPr>
          <w:attr w:name="UnitName" w:val="in"/>
          <w:attr w:name="SourceValue" w:val="6.38"/>
          <w:attr w:name="HasSpace" w:val="True"/>
          <w:attr w:name="Negative" w:val="False"/>
          <w:attr w:name="NumberType" w:val="1"/>
          <w:attr w:name="TCSC" w:val="0"/>
        </w:smartTagPr>
        <w:r w:rsidRPr="00984DBD">
          <w:rPr>
            <w:snapToGrid w:val="0"/>
          </w:rPr>
          <w:t>6.38</w:t>
        </w:r>
        <w:r w:rsidRPr="00984DBD">
          <w:rPr>
            <w:rFonts w:hint="eastAsia"/>
            <w:snapToGrid w:val="0"/>
          </w:rPr>
          <w:t xml:space="preserve"> in</w:t>
        </w:r>
      </w:smartTag>
      <w:r w:rsidRPr="00984DBD">
        <w:rPr>
          <w:rFonts w:hint="eastAsia"/>
          <w:snapToGrid w:val="0"/>
        </w:rPr>
        <w:t xml:space="preserve"> the trial</w:t>
      </w:r>
      <w:r w:rsidRPr="00984DBD">
        <w:rPr>
          <w:snapToGrid w:val="0"/>
        </w:rPr>
        <w:t xml:space="preserve">. Our trial suggested </w:t>
      </w:r>
      <w:r w:rsidRPr="00984DBD">
        <w:rPr>
          <w:rFonts w:hint="eastAsia"/>
          <w:snapToGrid w:val="0"/>
        </w:rPr>
        <w:t xml:space="preserve">that </w:t>
      </w:r>
      <w:r w:rsidRPr="00984DBD">
        <w:rPr>
          <w:snapToGrid w:val="0"/>
        </w:rPr>
        <w:t>IMEOR can be implemented for effective enhancement of further oil recovery from polymer flooded oil reservoirs.</w:t>
      </w:r>
    </w:p>
    <w:p w:rsidR="00EA39B8" w:rsidRPr="00EA39B8" w:rsidRDefault="00EA39B8">
      <w:pPr>
        <w:pStyle w:val="a3"/>
        <w:spacing w:before="90" w:line="280" w:lineRule="auto"/>
        <w:ind w:left="100"/>
        <w:jc w:val="both"/>
        <w:rPr>
          <w:rFonts w:eastAsiaTheme="minorEastAsia"/>
          <w:snapToGrid w:val="0"/>
          <w:lang w:eastAsia="zh-CN"/>
        </w:rPr>
      </w:pPr>
      <w:r w:rsidRPr="00EA39B8">
        <w:rPr>
          <w:rFonts w:ascii="Arial" w:eastAsia="Arial" w:hAnsi="Arial" w:cs="Arial"/>
          <w:b/>
          <w:bCs/>
          <w:color w:val="BF5A14"/>
          <w:sz w:val="20"/>
          <w:szCs w:val="20"/>
        </w:rPr>
        <w:t>Key word</w:t>
      </w:r>
    </w:p>
    <w:p w:rsidR="00EA39B8" w:rsidRPr="00EA39B8" w:rsidRDefault="00EA39B8">
      <w:pPr>
        <w:pStyle w:val="a3"/>
        <w:spacing w:before="90" w:line="280" w:lineRule="auto"/>
        <w:ind w:left="100"/>
        <w:jc w:val="both"/>
        <w:rPr>
          <w:snapToGrid w:val="0"/>
        </w:rPr>
      </w:pPr>
      <w:r w:rsidRPr="00EA39B8">
        <w:rPr>
          <w:rFonts w:hint="eastAsia"/>
          <w:snapToGrid w:val="0"/>
        </w:rPr>
        <w:t>P</w:t>
      </w:r>
      <w:r w:rsidRPr="00EA39B8">
        <w:rPr>
          <w:snapToGrid w:val="0"/>
        </w:rPr>
        <w:t>ost-polymer flooded</w:t>
      </w:r>
      <w:r w:rsidRPr="00EA39B8">
        <w:rPr>
          <w:rFonts w:hint="eastAsia"/>
          <w:snapToGrid w:val="0"/>
        </w:rPr>
        <w:t xml:space="preserve"> </w:t>
      </w:r>
      <w:r w:rsidRPr="00EA39B8">
        <w:rPr>
          <w:snapToGrid w:val="0"/>
        </w:rPr>
        <w:t>Reservoir</w:t>
      </w:r>
      <w:r w:rsidRPr="00984DBD">
        <w:rPr>
          <w:snapToGrid w:val="0"/>
        </w:rPr>
        <w:t xml:space="preserve">, </w:t>
      </w:r>
      <w:r w:rsidRPr="00EA39B8">
        <w:rPr>
          <w:snapToGrid w:val="0"/>
        </w:rPr>
        <w:t>Activator</w:t>
      </w:r>
      <w:r w:rsidRPr="00984DBD">
        <w:rPr>
          <w:snapToGrid w:val="0"/>
        </w:rPr>
        <w:t xml:space="preserve">, </w:t>
      </w:r>
      <w:r w:rsidRPr="00EA39B8">
        <w:rPr>
          <w:snapToGrid w:val="0"/>
        </w:rPr>
        <w:t>Indigenous microbial</w:t>
      </w:r>
      <w:r w:rsidRPr="00984DBD">
        <w:rPr>
          <w:snapToGrid w:val="0"/>
        </w:rPr>
        <w:t xml:space="preserve">, </w:t>
      </w:r>
      <w:r w:rsidRPr="00EA39B8">
        <w:rPr>
          <w:snapToGrid w:val="0"/>
        </w:rPr>
        <w:t>Biogas</w:t>
      </w:r>
      <w:r w:rsidRPr="00984DBD">
        <w:rPr>
          <w:snapToGrid w:val="0"/>
        </w:rPr>
        <w:t xml:space="preserve">, </w:t>
      </w:r>
      <w:r w:rsidRPr="00EA39B8">
        <w:rPr>
          <w:snapToGrid w:val="0"/>
        </w:rPr>
        <w:t>Dynamic change</w:t>
      </w:r>
      <w:r w:rsidRPr="00984DBD">
        <w:rPr>
          <w:snapToGrid w:val="0"/>
        </w:rPr>
        <w:t xml:space="preserve">, </w:t>
      </w:r>
      <w:r w:rsidRPr="00EA39B8">
        <w:rPr>
          <w:snapToGrid w:val="0"/>
        </w:rPr>
        <w:t>Indigenous microbial enhanced oil recovery (IMEOR).</w:t>
      </w:r>
    </w:p>
    <w:p w:rsidR="00AE3E37" w:rsidRDefault="00A9710C">
      <w:pPr>
        <w:pStyle w:val="3"/>
        <w:spacing w:before="74"/>
      </w:pPr>
      <w:r>
        <w:rPr>
          <w:b w:val="0"/>
        </w:rPr>
        <w:br w:type="column"/>
      </w:r>
      <w:r>
        <w:rPr>
          <w:color w:val="BF5A14"/>
        </w:rPr>
        <w:lastRenderedPageBreak/>
        <w:t>Image</w:t>
      </w:r>
    </w:p>
    <w:p w:rsidR="00AE3E37" w:rsidRPr="009C4E20" w:rsidRDefault="002D0FAA">
      <w:pPr>
        <w:pStyle w:val="a3"/>
        <w:spacing w:before="2"/>
        <w:rPr>
          <w:rFonts w:ascii="Arial" w:eastAsiaTheme="minorEastAsia"/>
          <w:b/>
          <w:sz w:val="16"/>
          <w:lang w:eastAsia="zh-CN"/>
        </w:rPr>
      </w:pPr>
      <w:r>
        <w:rPr>
          <w:noProof/>
          <w:lang w:eastAsia="zh-CN"/>
        </w:rPr>
        <w:drawing>
          <wp:inline distT="0" distB="0" distL="0" distR="0">
            <wp:extent cx="3162300" cy="1735455"/>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3162300" cy="1735455"/>
                    </a:xfrm>
                    <a:prstGeom prst="rect">
                      <a:avLst/>
                    </a:prstGeom>
                    <a:noFill/>
                    <a:ln w="9525">
                      <a:noFill/>
                      <a:miter lim="800000"/>
                      <a:headEnd/>
                      <a:tailEnd/>
                    </a:ln>
                  </pic:spPr>
                </pic:pic>
              </a:graphicData>
            </a:graphic>
          </wp:inline>
        </w:drawing>
      </w:r>
      <w:r w:rsidR="009C4E20">
        <w:rPr>
          <w:rFonts w:ascii="Arial" w:eastAsiaTheme="minorEastAsia" w:hint="eastAsia"/>
          <w:b/>
          <w:sz w:val="16"/>
          <w:lang w:eastAsia="zh-CN"/>
        </w:rPr>
        <w:t xml:space="preserve"> </w:t>
      </w:r>
    </w:p>
    <w:p w:rsidR="005973B9" w:rsidRPr="002D0FAA" w:rsidRDefault="005973B9" w:rsidP="005973B9">
      <w:pPr>
        <w:spacing w:line="204" w:lineRule="exact"/>
        <w:rPr>
          <w:rFonts w:ascii="Arial" w:eastAsiaTheme="minorEastAsia" w:hint="eastAsia"/>
          <w:b/>
          <w:sz w:val="20"/>
          <w:lang w:eastAsia="zh-CN"/>
        </w:rPr>
      </w:pPr>
      <w:r>
        <w:rPr>
          <w:rFonts w:ascii="Arial"/>
          <w:b/>
          <w:color w:val="BF5A14"/>
          <w:sz w:val="20"/>
        </w:rPr>
        <w:br/>
        <w:t>Recent Publications (minimum 5)</w:t>
      </w:r>
    </w:p>
    <w:p w:rsidR="005973B9" w:rsidRDefault="00F87062" w:rsidP="00F87062">
      <w:pPr>
        <w:pStyle w:val="a4"/>
        <w:numPr>
          <w:ilvl w:val="0"/>
          <w:numId w:val="3"/>
        </w:numPr>
        <w:tabs>
          <w:tab w:val="left" w:pos="384"/>
        </w:tabs>
        <w:spacing w:line="216" w:lineRule="exact"/>
        <w:ind w:right="137" w:hanging="283"/>
        <w:rPr>
          <w:sz w:val="18"/>
        </w:rPr>
      </w:pPr>
      <w:r w:rsidRPr="00F87062">
        <w:rPr>
          <w:sz w:val="18"/>
        </w:rPr>
        <w:t>Le, J.-J., Bai, L.-L.,</w:t>
      </w:r>
      <w:r>
        <w:rPr>
          <w:rFonts w:eastAsiaTheme="minorEastAsia" w:hint="eastAsia"/>
          <w:sz w:val="18"/>
          <w:lang w:eastAsia="zh-CN"/>
        </w:rPr>
        <w:t xml:space="preserve"> </w:t>
      </w:r>
      <w:r w:rsidRPr="00F87062">
        <w:rPr>
          <w:sz w:val="18"/>
        </w:rPr>
        <w:t xml:space="preserve">Wang, R., </w:t>
      </w:r>
      <w:r w:rsidR="000311FF">
        <w:rPr>
          <w:rFonts w:eastAsiaTheme="minorEastAsia" w:hint="eastAsia"/>
          <w:sz w:val="18"/>
          <w:lang w:eastAsia="zh-CN"/>
        </w:rPr>
        <w:t>(</w:t>
      </w:r>
      <w:r w:rsidR="000311FF">
        <w:rPr>
          <w:sz w:val="18"/>
        </w:rPr>
        <w:t>2015</w:t>
      </w:r>
      <w:r w:rsidR="000311FF">
        <w:rPr>
          <w:rFonts w:eastAsiaTheme="minorEastAsia" w:hint="eastAsia"/>
          <w:sz w:val="18"/>
          <w:lang w:eastAsia="zh-CN"/>
        </w:rPr>
        <w:t xml:space="preserve">) </w:t>
      </w:r>
      <w:r w:rsidRPr="00F87062">
        <w:rPr>
          <w:sz w:val="18"/>
        </w:rPr>
        <w:t xml:space="preserve"> Laboratory evaluation and field trial of activation indigenous microbial displacements in the reservoirs after polymer floodin</w:t>
      </w:r>
      <w:r w:rsidR="007E5FD8">
        <w:rPr>
          <w:sz w:val="18"/>
        </w:rPr>
        <w:t xml:space="preserve">g. China. J. Biotech. July 25, </w:t>
      </w:r>
      <w:r w:rsidRPr="00F87062">
        <w:rPr>
          <w:sz w:val="18"/>
        </w:rPr>
        <w:t>31, 99–106 .</w:t>
      </w:r>
    </w:p>
    <w:p w:rsidR="00F87062" w:rsidRPr="00F87062" w:rsidRDefault="00F87062" w:rsidP="00F87062">
      <w:pPr>
        <w:pStyle w:val="a4"/>
        <w:numPr>
          <w:ilvl w:val="0"/>
          <w:numId w:val="3"/>
        </w:numPr>
        <w:rPr>
          <w:sz w:val="18"/>
        </w:rPr>
      </w:pPr>
      <w:r w:rsidRPr="00F87062">
        <w:rPr>
          <w:sz w:val="18"/>
        </w:rPr>
        <w:t>Le, J.-J., Liu, F.,</w:t>
      </w:r>
      <w:r>
        <w:rPr>
          <w:rFonts w:eastAsiaTheme="minorEastAsia" w:hint="eastAsia"/>
          <w:sz w:val="18"/>
          <w:lang w:eastAsia="zh-CN"/>
        </w:rPr>
        <w:t xml:space="preserve"> </w:t>
      </w:r>
      <w:r w:rsidRPr="00F87062">
        <w:rPr>
          <w:sz w:val="18"/>
        </w:rPr>
        <w:t xml:space="preserve">Zhang, J.-Y., </w:t>
      </w:r>
      <w:r w:rsidR="000311FF">
        <w:rPr>
          <w:rFonts w:eastAsiaTheme="minorEastAsia" w:hint="eastAsia"/>
          <w:sz w:val="18"/>
          <w:lang w:eastAsia="zh-CN"/>
        </w:rPr>
        <w:t>(</w:t>
      </w:r>
      <w:r w:rsidRPr="00F87062">
        <w:rPr>
          <w:sz w:val="18"/>
        </w:rPr>
        <w:t>2014</w:t>
      </w:r>
      <w:r w:rsidR="000311FF">
        <w:rPr>
          <w:rFonts w:eastAsiaTheme="minorEastAsia" w:hint="eastAsia"/>
          <w:sz w:val="18"/>
          <w:lang w:eastAsia="zh-CN"/>
        </w:rPr>
        <w:t xml:space="preserve">) </w:t>
      </w:r>
      <w:r w:rsidRPr="00F87062">
        <w:rPr>
          <w:sz w:val="18"/>
        </w:rPr>
        <w:t>A field test of activation indigenous microorganism for microbial enhanced oil recovery in reservoir aft</w:t>
      </w:r>
      <w:r>
        <w:rPr>
          <w:sz w:val="18"/>
        </w:rPr>
        <w:t xml:space="preserve">er polymer flood. </w:t>
      </w:r>
      <w:r w:rsidR="00195D92">
        <w:rPr>
          <w:rFonts w:eastAsiaTheme="minorEastAsia" w:hint="eastAsia"/>
          <w:sz w:val="18"/>
          <w:lang w:eastAsia="zh-CN"/>
        </w:rPr>
        <w:t xml:space="preserve"> </w:t>
      </w:r>
      <w:r>
        <w:rPr>
          <w:sz w:val="18"/>
        </w:rPr>
        <w:t>Acta. Petrol</w:t>
      </w:r>
      <w:r w:rsidR="007E5FD8">
        <w:rPr>
          <w:sz w:val="18"/>
        </w:rPr>
        <w:t xml:space="preserve">. Sin. 35, </w:t>
      </w:r>
      <w:r w:rsidR="00380022">
        <w:rPr>
          <w:sz w:val="18"/>
        </w:rPr>
        <w:t>99–106</w:t>
      </w:r>
      <w:r w:rsidRPr="00F87062">
        <w:rPr>
          <w:sz w:val="18"/>
        </w:rPr>
        <w:t>.</w:t>
      </w:r>
    </w:p>
    <w:p w:rsidR="007E5FD8" w:rsidRPr="007E5FD8" w:rsidRDefault="007E5FD8" w:rsidP="007E5FD8">
      <w:pPr>
        <w:pStyle w:val="a4"/>
        <w:numPr>
          <w:ilvl w:val="0"/>
          <w:numId w:val="3"/>
        </w:numPr>
        <w:tabs>
          <w:tab w:val="left" w:pos="384"/>
        </w:tabs>
        <w:spacing w:before="92" w:line="218" w:lineRule="exact"/>
        <w:ind w:hanging="283"/>
        <w:rPr>
          <w:rFonts w:eastAsiaTheme="minorEastAsia"/>
          <w:sz w:val="18"/>
        </w:rPr>
      </w:pPr>
      <w:r w:rsidRPr="00F87062">
        <w:rPr>
          <w:sz w:val="18"/>
        </w:rPr>
        <w:t>Le, J.-J.,</w:t>
      </w:r>
      <w:r w:rsidR="00067D1D">
        <w:rPr>
          <w:rFonts w:eastAsiaTheme="minorEastAsia" w:hint="eastAsia"/>
          <w:sz w:val="18"/>
          <w:lang w:eastAsia="zh-CN"/>
        </w:rPr>
        <w:t xml:space="preserve"> </w:t>
      </w:r>
      <w:r>
        <w:rPr>
          <w:rFonts w:eastAsiaTheme="minorEastAsia" w:hint="eastAsia"/>
          <w:sz w:val="18"/>
          <w:lang w:eastAsia="zh-CN"/>
        </w:rPr>
        <w:t>(</w:t>
      </w:r>
      <w:r w:rsidRPr="007E5FD8">
        <w:rPr>
          <w:rFonts w:eastAsiaTheme="minorEastAsia"/>
          <w:sz w:val="18"/>
        </w:rPr>
        <w:t>2014</w:t>
      </w:r>
      <w:r>
        <w:rPr>
          <w:rFonts w:eastAsiaTheme="minorEastAsia" w:hint="eastAsia"/>
          <w:sz w:val="18"/>
          <w:lang w:eastAsia="zh-CN"/>
        </w:rPr>
        <w:t xml:space="preserve">) </w:t>
      </w:r>
      <w:r w:rsidRPr="007E5FD8">
        <w:rPr>
          <w:sz w:val="18"/>
        </w:rPr>
        <w:t>Evaluation and Application of Endogenous Microorganism Activator in Reservoir after Chemical Flooding</w:t>
      </w:r>
      <w:r>
        <w:rPr>
          <w:rFonts w:eastAsiaTheme="minorEastAsia" w:hint="eastAsia"/>
          <w:sz w:val="18"/>
          <w:lang w:eastAsia="zh-CN"/>
        </w:rPr>
        <w:t>.</w:t>
      </w:r>
      <w:r w:rsidRPr="007E5FD8">
        <w:rPr>
          <w:rFonts w:ascii="Arial" w:eastAsia="宋体" w:hAnsi="Arial" w:cs="+mn-cs"/>
          <w:color w:val="000000"/>
          <w:kern w:val="24"/>
          <w:sz w:val="20"/>
          <w:szCs w:val="20"/>
          <w:lang w:eastAsia="zh-CN"/>
        </w:rPr>
        <w:t xml:space="preserve"> </w:t>
      </w:r>
      <w:r w:rsidR="00380022">
        <w:rPr>
          <w:rFonts w:eastAsiaTheme="minorEastAsia"/>
          <w:sz w:val="18"/>
        </w:rPr>
        <w:t>Advanced Materials Research</w:t>
      </w:r>
      <w:r w:rsidRPr="007E5FD8">
        <w:rPr>
          <w:rFonts w:eastAsiaTheme="minorEastAsia" w:hint="eastAsia"/>
          <w:sz w:val="18"/>
        </w:rPr>
        <w:t>，</w:t>
      </w:r>
      <w:r w:rsidRPr="007E5FD8">
        <w:rPr>
          <w:rFonts w:eastAsiaTheme="minorEastAsia"/>
          <w:sz w:val="18"/>
        </w:rPr>
        <w:t>Publication date: 2014.12.9</w:t>
      </w:r>
      <w:r w:rsidRPr="007E5FD8">
        <w:rPr>
          <w:rFonts w:eastAsiaTheme="minorEastAsia" w:hint="eastAsia"/>
          <w:sz w:val="18"/>
        </w:rPr>
        <w:t>，</w:t>
      </w:r>
      <w:r w:rsidRPr="007E5FD8">
        <w:rPr>
          <w:rFonts w:eastAsiaTheme="minorEastAsia"/>
          <w:sz w:val="18"/>
        </w:rPr>
        <w:t>Chapter 3: Biology, Biotechnologies and Biomedical Engineering</w:t>
      </w:r>
      <w:r w:rsidRPr="007E5FD8">
        <w:rPr>
          <w:rFonts w:eastAsiaTheme="minorEastAsia" w:hint="eastAsia"/>
          <w:sz w:val="18"/>
        </w:rPr>
        <w:t>，</w:t>
      </w:r>
      <w:r w:rsidRPr="007E5FD8">
        <w:rPr>
          <w:rFonts w:eastAsiaTheme="minorEastAsia"/>
          <w:sz w:val="18"/>
        </w:rPr>
        <w:t xml:space="preserve"> </w:t>
      </w:r>
      <w:r>
        <w:rPr>
          <w:rFonts w:eastAsiaTheme="minorEastAsia"/>
          <w:sz w:val="18"/>
        </w:rPr>
        <w:t>vol</w:t>
      </w:r>
      <w:r>
        <w:rPr>
          <w:rFonts w:eastAsiaTheme="minorEastAsia" w:hint="eastAsia"/>
          <w:sz w:val="18"/>
          <w:lang w:eastAsia="zh-CN"/>
        </w:rPr>
        <w:t xml:space="preserve"> </w:t>
      </w:r>
      <w:r w:rsidRPr="007E5FD8">
        <w:rPr>
          <w:rFonts w:eastAsiaTheme="minorEastAsia"/>
          <w:sz w:val="18"/>
        </w:rPr>
        <w:t>1051</w:t>
      </w:r>
      <w:r>
        <w:rPr>
          <w:rFonts w:eastAsiaTheme="minorEastAsia" w:hint="eastAsia"/>
          <w:sz w:val="18"/>
          <w:lang w:eastAsia="zh-CN"/>
        </w:rPr>
        <w:t xml:space="preserve">, </w:t>
      </w:r>
      <w:r w:rsidRPr="007E5FD8">
        <w:rPr>
          <w:rFonts w:eastAsiaTheme="minorEastAsia"/>
          <w:sz w:val="18"/>
        </w:rPr>
        <w:t>404-409</w:t>
      </w:r>
      <w:r>
        <w:rPr>
          <w:rFonts w:eastAsiaTheme="minorEastAsia" w:hint="eastAsia"/>
          <w:sz w:val="18"/>
          <w:lang w:eastAsia="zh-CN"/>
        </w:rPr>
        <w:t>.</w:t>
      </w:r>
    </w:p>
    <w:p w:rsidR="005973B9" w:rsidRDefault="007E5FD8" w:rsidP="007E5FD8">
      <w:pPr>
        <w:pStyle w:val="a4"/>
        <w:numPr>
          <w:ilvl w:val="0"/>
          <w:numId w:val="3"/>
        </w:numPr>
        <w:tabs>
          <w:tab w:val="left" w:pos="384"/>
        </w:tabs>
        <w:spacing w:before="92" w:line="218" w:lineRule="exact"/>
        <w:ind w:hanging="283"/>
        <w:rPr>
          <w:rFonts w:eastAsiaTheme="minorEastAsia"/>
          <w:sz w:val="18"/>
        </w:rPr>
      </w:pPr>
      <w:r w:rsidRPr="00F87062">
        <w:rPr>
          <w:sz w:val="18"/>
        </w:rPr>
        <w:t>Le, J.-J.,</w:t>
      </w:r>
      <w:r>
        <w:rPr>
          <w:rFonts w:eastAsiaTheme="minorEastAsia" w:hint="eastAsia"/>
          <w:sz w:val="18"/>
          <w:lang w:eastAsia="zh-CN"/>
        </w:rPr>
        <w:t xml:space="preserve"> (</w:t>
      </w:r>
      <w:r w:rsidRPr="007E5FD8">
        <w:rPr>
          <w:rFonts w:eastAsiaTheme="minorEastAsia"/>
          <w:sz w:val="18"/>
          <w:lang w:eastAsia="zh-CN"/>
        </w:rPr>
        <w:t>2015</w:t>
      </w:r>
      <w:r>
        <w:rPr>
          <w:rFonts w:eastAsiaTheme="minorEastAsia" w:hint="eastAsia"/>
          <w:sz w:val="18"/>
          <w:lang w:eastAsia="zh-CN"/>
        </w:rPr>
        <w:t xml:space="preserve">) </w:t>
      </w:r>
      <w:r w:rsidRPr="007E5FD8">
        <w:rPr>
          <w:sz w:val="18"/>
        </w:rPr>
        <w:t>Progress in pilot testing of microbial-enhanced oil recovery in the Daqing oilfield of north China</w:t>
      </w:r>
      <w:r>
        <w:rPr>
          <w:rFonts w:eastAsiaTheme="minorEastAsia" w:hint="eastAsia"/>
          <w:sz w:val="18"/>
          <w:lang w:eastAsia="zh-CN"/>
        </w:rPr>
        <w:t>.</w:t>
      </w:r>
      <w:r w:rsidRPr="007E5FD8">
        <w:rPr>
          <w:rFonts w:ascii="Arial" w:eastAsia="宋体" w:hAnsi="Arial" w:cs="+mn-cs"/>
          <w:color w:val="000000"/>
          <w:kern w:val="24"/>
          <w:sz w:val="20"/>
          <w:szCs w:val="20"/>
          <w:lang w:eastAsia="zh-CN"/>
        </w:rPr>
        <w:t xml:space="preserve"> </w:t>
      </w:r>
      <w:r w:rsidRPr="007E5FD8">
        <w:rPr>
          <w:rFonts w:eastAsiaTheme="minorEastAsia"/>
          <w:sz w:val="18"/>
        </w:rPr>
        <w:t>International Biodeterioration &amp; Biodegradation</w:t>
      </w:r>
      <w:r>
        <w:rPr>
          <w:rFonts w:eastAsiaTheme="minorEastAsia" w:hint="eastAsia"/>
          <w:sz w:val="18"/>
          <w:lang w:eastAsia="zh-CN"/>
        </w:rPr>
        <w:t xml:space="preserve">. </w:t>
      </w:r>
      <w:r w:rsidRPr="007E5FD8">
        <w:rPr>
          <w:rFonts w:eastAsiaTheme="minorEastAsia"/>
          <w:sz w:val="18"/>
        </w:rPr>
        <w:t>Volume 97</w:t>
      </w:r>
      <w:r w:rsidR="005224B0">
        <w:rPr>
          <w:rFonts w:eastAsiaTheme="minorEastAsia" w:hint="eastAsia"/>
          <w:sz w:val="18"/>
          <w:lang w:eastAsia="zh-CN"/>
        </w:rPr>
        <w:t>,</w:t>
      </w:r>
      <w:r w:rsidR="005224B0" w:rsidRPr="005224B0">
        <w:rPr>
          <w:sz w:val="18"/>
        </w:rPr>
        <w:t>188–194</w:t>
      </w:r>
      <w:r w:rsidRPr="005224B0">
        <w:rPr>
          <w:rFonts w:hint="eastAsia"/>
          <w:sz w:val="18"/>
        </w:rPr>
        <w:t>.</w:t>
      </w:r>
    </w:p>
    <w:p w:rsidR="00AE3E37" w:rsidRPr="007E5FD8" w:rsidRDefault="007E5FD8" w:rsidP="007E5FD8">
      <w:pPr>
        <w:pStyle w:val="a4"/>
        <w:numPr>
          <w:ilvl w:val="0"/>
          <w:numId w:val="3"/>
        </w:numPr>
        <w:tabs>
          <w:tab w:val="left" w:pos="384"/>
        </w:tabs>
        <w:spacing w:before="92" w:line="218" w:lineRule="exact"/>
        <w:ind w:hanging="283"/>
        <w:rPr>
          <w:rFonts w:eastAsiaTheme="minorEastAsia"/>
          <w:sz w:val="18"/>
        </w:rPr>
      </w:pPr>
      <w:r w:rsidRPr="007E5FD8">
        <w:rPr>
          <w:sz w:val="18"/>
        </w:rPr>
        <w:t>Le, J.-J.,</w:t>
      </w:r>
      <w:r w:rsidRPr="007E5FD8">
        <w:rPr>
          <w:rFonts w:eastAsiaTheme="minorEastAsia"/>
          <w:sz w:val="18"/>
          <w:lang w:eastAsia="zh-CN"/>
        </w:rPr>
        <w:t xml:space="preserve"> </w:t>
      </w:r>
      <w:r>
        <w:rPr>
          <w:rFonts w:eastAsiaTheme="minorEastAsia"/>
          <w:sz w:val="18"/>
          <w:lang w:eastAsia="zh-CN"/>
        </w:rPr>
        <w:t>(2013</w:t>
      </w:r>
      <w:r w:rsidRPr="007E5FD8">
        <w:rPr>
          <w:rFonts w:eastAsiaTheme="minorEastAsia"/>
          <w:sz w:val="18"/>
          <w:lang w:eastAsia="zh-CN"/>
        </w:rPr>
        <w:t>)</w:t>
      </w:r>
      <w:r w:rsidR="00EA39B8" w:rsidRPr="007E5FD8">
        <w:rPr>
          <w:sz w:val="18"/>
        </w:rPr>
        <w:t xml:space="preserve"> </w:t>
      </w:r>
      <w:r w:rsidRPr="007E5FD8">
        <w:rPr>
          <w:sz w:val="18"/>
        </w:rPr>
        <w:t>C</w:t>
      </w:r>
      <w:r w:rsidR="00380022">
        <w:rPr>
          <w:rFonts w:eastAsiaTheme="minorEastAsia" w:hint="eastAsia"/>
          <w:sz w:val="18"/>
          <w:lang w:eastAsia="zh-CN"/>
        </w:rPr>
        <w:t>ombined oil displacement</w:t>
      </w:r>
      <w:r w:rsidRPr="007E5FD8">
        <w:rPr>
          <w:sz w:val="18"/>
        </w:rPr>
        <w:t xml:space="preserve"> </w:t>
      </w:r>
      <w:r w:rsidR="00380022">
        <w:rPr>
          <w:rFonts w:eastAsiaTheme="minorEastAsia" w:hint="eastAsia"/>
          <w:sz w:val="18"/>
          <w:lang w:eastAsia="zh-CN"/>
        </w:rPr>
        <w:t>system and field test of composite surfactant</w:t>
      </w:r>
      <w:r w:rsidRPr="007E5FD8">
        <w:rPr>
          <w:rFonts w:eastAsiaTheme="minorEastAsia" w:hint="eastAsia"/>
          <w:sz w:val="18"/>
          <w:lang w:eastAsia="zh-CN"/>
        </w:rPr>
        <w:t>.</w:t>
      </w:r>
      <w:r w:rsidRPr="007E5FD8">
        <w:rPr>
          <w:rFonts w:ascii="Arial" w:eastAsia="Tw Cen MT" w:hAnsi="Arial" w:cs="+mn-cs"/>
          <w:color w:val="000000"/>
          <w:kern w:val="24"/>
          <w:sz w:val="20"/>
          <w:szCs w:val="20"/>
        </w:rPr>
        <w:t xml:space="preserve"> </w:t>
      </w:r>
      <w:r w:rsidRPr="007E5FD8">
        <w:rPr>
          <w:rFonts w:eastAsiaTheme="minorEastAsia"/>
          <w:sz w:val="18"/>
          <w:lang w:eastAsia="zh-CN"/>
        </w:rPr>
        <w:t>Advanced Materials Research ,</w:t>
      </w:r>
      <w:r w:rsidR="00380022">
        <w:rPr>
          <w:rFonts w:eastAsiaTheme="minorEastAsia" w:hint="eastAsia"/>
          <w:sz w:val="18"/>
          <w:lang w:eastAsia="zh-CN"/>
        </w:rPr>
        <w:t xml:space="preserve"> </w:t>
      </w:r>
      <w:r w:rsidRPr="007E5FD8">
        <w:rPr>
          <w:rFonts w:eastAsiaTheme="minorEastAsia"/>
          <w:sz w:val="18"/>
          <w:lang w:eastAsia="zh-CN"/>
        </w:rPr>
        <w:t xml:space="preserve">DOI: 10.4028/www.scientific.net/AMR. </w:t>
      </w:r>
      <w:r w:rsidR="00380022">
        <w:rPr>
          <w:rFonts w:eastAsiaTheme="minorEastAsia"/>
          <w:sz w:val="18"/>
        </w:rPr>
        <w:t>vol</w:t>
      </w:r>
      <w:r w:rsidR="00380022">
        <w:rPr>
          <w:rFonts w:eastAsiaTheme="minorEastAsia"/>
          <w:sz w:val="18"/>
          <w:lang w:eastAsia="zh-CN"/>
        </w:rPr>
        <w:t xml:space="preserve"> </w:t>
      </w:r>
      <w:r>
        <w:rPr>
          <w:rFonts w:eastAsiaTheme="minorEastAsia"/>
          <w:sz w:val="18"/>
          <w:lang w:eastAsia="zh-CN"/>
        </w:rPr>
        <w:t>641-642</w:t>
      </w:r>
      <w:r>
        <w:rPr>
          <w:rFonts w:eastAsiaTheme="minorEastAsia" w:hint="eastAsia"/>
          <w:sz w:val="18"/>
          <w:lang w:eastAsia="zh-CN"/>
        </w:rPr>
        <w:t>,</w:t>
      </w:r>
      <w:r w:rsidRPr="007E5FD8">
        <w:rPr>
          <w:rFonts w:eastAsiaTheme="minorEastAsia"/>
          <w:sz w:val="18"/>
          <w:lang w:eastAsia="zh-CN"/>
        </w:rPr>
        <w:t>77-81</w:t>
      </w:r>
      <w:r>
        <w:rPr>
          <w:rFonts w:eastAsiaTheme="minorEastAsia" w:hint="eastAsia"/>
          <w:sz w:val="18"/>
          <w:lang w:eastAsia="zh-CN"/>
        </w:rPr>
        <w: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71385A">
      <w:pPr>
        <w:pStyle w:val="a3"/>
        <w:spacing w:line="40" w:lineRule="exact"/>
        <w:ind w:left="2202"/>
        <w:rPr>
          <w:rFonts w:ascii="Calibri"/>
          <w:sz w:val="4"/>
        </w:rPr>
      </w:pPr>
      <w:r w:rsidRPr="0071385A">
        <w:rPr>
          <w:rFonts w:ascii="Calibri"/>
          <w:noProof/>
          <w:sz w:val="4"/>
          <w:lang w:val="en-IN" w:eastAsia="en-IN"/>
        </w:rPr>
      </w:r>
      <w:r w:rsidRPr="0071385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9C4E20" w:rsidP="00404E5B">
      <w:pPr>
        <w:spacing w:before="92"/>
        <w:ind w:right="4234"/>
        <w:rPr>
          <w:rFonts w:ascii="Arial"/>
        </w:rPr>
      </w:pPr>
      <w:r>
        <w:rPr>
          <w:noProof/>
          <w:lang w:eastAsia="zh-CN"/>
        </w:rPr>
        <w:drawing>
          <wp:inline distT="0" distB="0" distL="0" distR="0">
            <wp:extent cx="592532" cy="621792"/>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592538" cy="621798"/>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0B28C7" w:rsidRDefault="0071385A" w:rsidP="007C1B51">
      <w:pPr>
        <w:spacing w:before="41" w:line="154" w:lineRule="exact"/>
        <w:ind w:left="215" w:right="232"/>
        <w:rPr>
          <w:rFonts w:eastAsiaTheme="minorEastAsia"/>
          <w:color w:val="000000"/>
          <w:sz w:val="16"/>
          <w:szCs w:val="16"/>
          <w:lang w:eastAsia="zh-CN"/>
        </w:rPr>
      </w:pPr>
      <w:hyperlink r:id="rId16" w:history="1">
        <w:r w:rsidR="000B28C7" w:rsidRPr="000B28C7">
          <w:rPr>
            <w:rFonts w:ascii="Arial"/>
            <w:sz w:val="14"/>
          </w:rPr>
          <w:t>Jian-Jun Le</w:t>
        </w:r>
      </w:hyperlink>
      <w:r w:rsidR="000B28C7" w:rsidRPr="000B28C7">
        <w:rPr>
          <w:rFonts w:ascii="Arial" w:hint="eastAsia"/>
          <w:sz w:val="14"/>
        </w:rPr>
        <w:t xml:space="preserve"> is a </w:t>
      </w:r>
      <w:r w:rsidR="000B28C7" w:rsidRPr="000B28C7">
        <w:rPr>
          <w:rFonts w:ascii="Arial"/>
          <w:sz w:val="14"/>
        </w:rPr>
        <w:t>s</w:t>
      </w:r>
      <w:r w:rsidR="000B28C7" w:rsidRPr="00BF580F">
        <w:rPr>
          <w:rFonts w:ascii="Arial"/>
          <w:sz w:val="14"/>
        </w:rPr>
        <w:t>enior enginee</w:t>
      </w:r>
      <w:r w:rsidR="000B28C7" w:rsidRPr="00BF580F">
        <w:rPr>
          <w:rFonts w:ascii="Arial" w:hint="eastAsia"/>
          <w:sz w:val="14"/>
        </w:rPr>
        <w:t xml:space="preserve">r. </w:t>
      </w:r>
      <w:r w:rsidR="000B28C7" w:rsidRPr="00BF580F">
        <w:rPr>
          <w:rFonts w:ascii="Arial"/>
          <w:sz w:val="14"/>
        </w:rPr>
        <w:t>The main research work involves the microbial species and their distribution characteristics, the selection and application of microbial oil displacement, the development and production of high efficient oil-displacing bacteria (bio</w:t>
      </w:r>
      <w:r w:rsidR="000B28C7" w:rsidRPr="00BF580F">
        <w:rPr>
          <w:rFonts w:ascii="Arial" w:hint="eastAsia"/>
          <w:sz w:val="14"/>
        </w:rPr>
        <w:t>-</w:t>
      </w:r>
      <w:r w:rsidR="000B28C7" w:rsidRPr="00BF580F">
        <w:rPr>
          <w:rFonts w:ascii="Arial"/>
          <w:sz w:val="14"/>
        </w:rPr>
        <w:t>surfactant), Molecular biology analysis (DGGE, T-RFLP and 454 Pyrosequencing)</w:t>
      </w:r>
      <w:r w:rsidR="000B28C7" w:rsidRPr="00BF580F">
        <w:rPr>
          <w:rFonts w:ascii="Arial" w:hint="eastAsia"/>
          <w:sz w:val="14"/>
        </w:rPr>
        <w:t xml:space="preserve"> </w:t>
      </w:r>
      <w:r w:rsidR="000B28C7" w:rsidRPr="00BF580F">
        <w:rPr>
          <w:rFonts w:ascii="Arial"/>
          <w:sz w:val="14"/>
        </w:rPr>
        <w:t xml:space="preserve">of endogenous microorganisms in the </w:t>
      </w:r>
      <w:r w:rsidR="00BF580F">
        <w:rPr>
          <w:rFonts w:ascii="Arial" w:eastAsiaTheme="minorEastAsia" w:hint="eastAsia"/>
          <w:sz w:val="14"/>
          <w:lang w:eastAsia="zh-CN"/>
        </w:rPr>
        <w:t xml:space="preserve">oil </w:t>
      </w:r>
      <w:r w:rsidR="000B28C7" w:rsidRPr="00BF580F">
        <w:rPr>
          <w:rFonts w:ascii="Arial"/>
          <w:sz w:val="14"/>
        </w:rPr>
        <w:t xml:space="preserve">reservoir, and field tests of activated endogenous microorganisms after chemical flooding. </w:t>
      </w:r>
      <w:r w:rsidR="009C4E20" w:rsidRPr="00BF580F">
        <w:rPr>
          <w:rFonts w:ascii="Arial" w:hint="eastAsia"/>
          <w:sz w:val="14"/>
        </w:rPr>
        <w:t xml:space="preserve">He has </w:t>
      </w:r>
      <w:r w:rsidR="000B28C7" w:rsidRPr="00BF580F">
        <w:rPr>
          <w:rFonts w:ascii="Arial"/>
          <w:sz w:val="14"/>
        </w:rPr>
        <w:t xml:space="preserve">engaged in Microbial enhanced oil recovery (MEOR) </w:t>
      </w:r>
      <w:r w:rsidR="009C4E20" w:rsidRPr="00BF580F">
        <w:rPr>
          <w:rFonts w:ascii="Arial" w:hint="eastAsia"/>
          <w:sz w:val="14"/>
        </w:rPr>
        <w:t xml:space="preserve">and </w:t>
      </w:r>
      <w:r w:rsidR="009C4E20" w:rsidRPr="00BF580F">
        <w:rPr>
          <w:rFonts w:ascii="Arial"/>
          <w:sz w:val="14"/>
        </w:rPr>
        <w:t>p</w:t>
      </w:r>
      <w:r w:rsidR="00DB72AE">
        <w:rPr>
          <w:rFonts w:ascii="Arial"/>
          <w:sz w:val="14"/>
        </w:rPr>
        <w:t>ublished in the core journals 4</w:t>
      </w:r>
      <w:r w:rsidR="00DB72AE" w:rsidRPr="00DB72AE">
        <w:rPr>
          <w:rFonts w:ascii="Arial" w:hint="eastAsia"/>
          <w:sz w:val="14"/>
        </w:rPr>
        <w:t>3</w:t>
      </w:r>
      <w:r w:rsidR="009C4E20" w:rsidRPr="00BF580F">
        <w:rPr>
          <w:rFonts w:ascii="Arial"/>
          <w:sz w:val="14"/>
        </w:rPr>
        <w:t xml:space="preserve"> papers, which were SCI, EI retrieval of</w:t>
      </w:r>
      <w:r w:rsidR="008F365E">
        <w:rPr>
          <w:rFonts w:ascii="Arial"/>
          <w:sz w:val="14"/>
        </w:rPr>
        <w:t xml:space="preserve"> more than 10 papers. In March</w:t>
      </w:r>
      <w:r w:rsidR="008F365E" w:rsidRPr="00BF580F">
        <w:rPr>
          <w:rFonts w:ascii="Arial"/>
          <w:sz w:val="14"/>
        </w:rPr>
        <w:t>,</w:t>
      </w:r>
      <w:r w:rsidR="009C4E20" w:rsidRPr="00BF580F">
        <w:rPr>
          <w:rFonts w:ascii="Arial"/>
          <w:sz w:val="14"/>
        </w:rPr>
        <w:t>2006</w:t>
      </w:r>
      <w:r w:rsidR="008F365E" w:rsidRPr="00BF580F">
        <w:rPr>
          <w:rFonts w:ascii="Arial"/>
          <w:sz w:val="14"/>
        </w:rPr>
        <w:t>.</w:t>
      </w:r>
      <w:r w:rsidR="008F365E" w:rsidRPr="00BF580F">
        <w:rPr>
          <w:rFonts w:ascii="Arial"/>
          <w:sz w:val="14"/>
        </w:rPr>
        <w:t> </w:t>
      </w:r>
      <w:r w:rsidR="009C4E20" w:rsidRPr="00BF580F">
        <w:rPr>
          <w:rFonts w:ascii="Arial"/>
          <w:sz w:val="14"/>
        </w:rPr>
        <w:t>co-written the book "Daqing Oil</w:t>
      </w:r>
      <w:r w:rsidR="00B2486D" w:rsidRPr="00BF580F">
        <w:rPr>
          <w:rFonts w:ascii="Arial"/>
          <w:sz w:val="14"/>
        </w:rPr>
        <w:t>field to enhance</w:t>
      </w:r>
      <w:r w:rsidR="0052056E">
        <w:rPr>
          <w:rFonts w:ascii="Arial" w:eastAsiaTheme="minorEastAsia" w:hint="eastAsia"/>
          <w:sz w:val="14"/>
          <w:lang w:eastAsia="zh-CN"/>
        </w:rPr>
        <w:t>d</w:t>
      </w:r>
      <w:r w:rsidR="00B2486D" w:rsidRPr="00BF580F">
        <w:rPr>
          <w:rFonts w:ascii="Arial"/>
          <w:sz w:val="14"/>
        </w:rPr>
        <w:t xml:space="preserve"> </w:t>
      </w:r>
      <w:r w:rsidR="00B2486D" w:rsidRPr="00BF580F">
        <w:rPr>
          <w:rFonts w:ascii="Arial" w:hint="eastAsia"/>
          <w:sz w:val="14"/>
        </w:rPr>
        <w:t>oil recovery</w:t>
      </w:r>
      <w:r w:rsidR="009C4E20" w:rsidRPr="00BF580F">
        <w:rPr>
          <w:rFonts w:ascii="Arial"/>
          <w:sz w:val="14"/>
        </w:rPr>
        <w:t xml:space="preserve"> practice and knowledge, " and 13 invention patents.</w:t>
      </w:r>
      <w:r w:rsidR="009C4E20" w:rsidRPr="00BF580F">
        <w:rPr>
          <w:rFonts w:ascii="Arial"/>
          <w:sz w:val="14"/>
        </w:rPr>
        <w:t> </w:t>
      </w:r>
      <w:r w:rsidR="009C4E20" w:rsidRPr="00720CC0">
        <w:rPr>
          <w:color w:val="000000"/>
          <w:sz w:val="16"/>
          <w:szCs w:val="16"/>
        </w:rPr>
        <w:t> </w:t>
      </w:r>
      <w:r w:rsidR="009C4E20" w:rsidRPr="00720CC0">
        <w:rPr>
          <w:rFonts w:ascii="Calibri" w:hAnsi="Calibri" w:cs="宋体"/>
          <w:color w:val="000000"/>
        </w:rPr>
        <w:br/>
      </w:r>
    </w:p>
    <w:p w:rsidR="00AE3E37" w:rsidRDefault="00A9710C">
      <w:pPr>
        <w:spacing w:before="62"/>
        <w:ind w:left="4217" w:right="4235"/>
        <w:jc w:val="center"/>
        <w:rPr>
          <w:rFonts w:ascii="Arial"/>
          <w:sz w:val="14"/>
        </w:rPr>
      </w:pPr>
      <w:r>
        <w:rPr>
          <w:rFonts w:ascii="Arial"/>
          <w:sz w:val="14"/>
        </w:rPr>
        <w:t xml:space="preserve">Email: </w:t>
      </w:r>
      <w:r w:rsidR="009C4E20" w:rsidRPr="009C4E20">
        <w:rPr>
          <w:rFonts w:ascii="Arial" w:hint="eastAsia"/>
          <w:sz w:val="14"/>
        </w:rPr>
        <w:t>lejj</w:t>
      </w:r>
      <w:r w:rsidR="009C4E20" w:rsidRPr="009C4E20">
        <w:rPr>
          <w:rFonts w:ascii="Arial"/>
          <w:sz w:val="14"/>
        </w:rPr>
        <w:t>@</w:t>
      </w:r>
      <w:r w:rsidR="009C4E20" w:rsidRPr="009C4E20">
        <w:rPr>
          <w:rFonts w:ascii="Arial" w:hint="eastAsia"/>
          <w:sz w:val="14"/>
        </w:rPr>
        <w:t>petrochina.com.cn</w:t>
      </w:r>
      <w:r w:rsidR="009C4E20" w:rsidRPr="009C4E20">
        <w:rPr>
          <w:rFonts w:ascii="Arial"/>
          <w:sz w:val="14"/>
        </w:rPr>
        <w:t>.</w:t>
      </w:r>
    </w:p>
    <w:p w:rsidR="00AE3E37" w:rsidRDefault="0071385A">
      <w:pPr>
        <w:pStyle w:val="a3"/>
        <w:spacing w:before="2"/>
        <w:rPr>
          <w:rFonts w:ascii="Arial"/>
          <w:sz w:val="19"/>
        </w:rPr>
      </w:pPr>
      <w:r w:rsidRPr="0071385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EA39B8" w:rsidRDefault="00AE3E37">
      <w:pPr>
        <w:pStyle w:val="a3"/>
        <w:spacing w:before="7"/>
        <w:rPr>
          <w:rFonts w:ascii="Arial" w:eastAsiaTheme="minorEastAsia"/>
          <w:sz w:val="29"/>
          <w:lang w:eastAsia="zh-CN"/>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DDB" w:rsidRDefault="00B97DDB">
      <w:r>
        <w:separator/>
      </w:r>
    </w:p>
  </w:endnote>
  <w:endnote w:type="continuationSeparator" w:id="1">
    <w:p w:rsidR="00B97DDB" w:rsidRDefault="00B97D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385A">
    <w:pPr>
      <w:pStyle w:val="a3"/>
      <w:spacing w:line="14" w:lineRule="auto"/>
      <w:rPr>
        <w:sz w:val="20"/>
      </w:rPr>
    </w:pPr>
    <w:r w:rsidRPr="0071385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71385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1385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DDB" w:rsidRDefault="00B97DDB">
      <w:r>
        <w:separator/>
      </w:r>
    </w:p>
  </w:footnote>
  <w:footnote w:type="continuationSeparator" w:id="1">
    <w:p w:rsidR="00B97DDB" w:rsidRDefault="00B97D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1385A">
    <w:pPr>
      <w:pStyle w:val="a3"/>
      <w:spacing w:line="14" w:lineRule="auto"/>
      <w:rPr>
        <w:sz w:val="20"/>
      </w:rPr>
    </w:pPr>
    <w:r w:rsidRPr="0071385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71385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391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bordersDoNotSurroundHeader/>
  <w:bordersDoNotSurroundFooter/>
  <w:defaultTabStop w:val="720"/>
  <w:drawingGridHorizontalSpacing w:val="110"/>
  <w:displayHorizontalDrawingGridEvery w:val="2"/>
  <w:characterSpacingControl w:val="compressPunctuation"/>
  <w:hdrShapeDefaults>
    <o:shapedefaults v:ext="edit" spidmax="15362"/>
    <o:shapelayout v:ext="edit">
      <o:idmap v:ext="edit" data="4"/>
    </o:shapelayout>
  </w:hdrShapeDefaults>
  <w:footnotePr>
    <w:footnote w:id="0"/>
    <w:footnote w:id="1"/>
  </w:footnotePr>
  <w:endnotePr>
    <w:endnote w:id="0"/>
    <w:endnote w:id="1"/>
  </w:endnotePr>
  <w:compat>
    <w:ulTrailSpace/>
    <w:useFELayout/>
  </w:compat>
  <w:rsids>
    <w:rsidRoot w:val="00AE3E37"/>
    <w:rsid w:val="000210E9"/>
    <w:rsid w:val="000235FE"/>
    <w:rsid w:val="000311FF"/>
    <w:rsid w:val="00067D1D"/>
    <w:rsid w:val="000B28C7"/>
    <w:rsid w:val="000E2911"/>
    <w:rsid w:val="001263DF"/>
    <w:rsid w:val="00182B15"/>
    <w:rsid w:val="00195D92"/>
    <w:rsid w:val="002455EC"/>
    <w:rsid w:val="00253E2F"/>
    <w:rsid w:val="00260023"/>
    <w:rsid w:val="00266CAC"/>
    <w:rsid w:val="00292ED9"/>
    <w:rsid w:val="002D0FAA"/>
    <w:rsid w:val="002E7A26"/>
    <w:rsid w:val="00380022"/>
    <w:rsid w:val="00404E5B"/>
    <w:rsid w:val="00414F7B"/>
    <w:rsid w:val="004355DC"/>
    <w:rsid w:val="004749B4"/>
    <w:rsid w:val="00494130"/>
    <w:rsid w:val="004F3523"/>
    <w:rsid w:val="0052056E"/>
    <w:rsid w:val="005224B0"/>
    <w:rsid w:val="005973B9"/>
    <w:rsid w:val="005B3A56"/>
    <w:rsid w:val="006060CE"/>
    <w:rsid w:val="0063497F"/>
    <w:rsid w:val="00702D62"/>
    <w:rsid w:val="0071385A"/>
    <w:rsid w:val="007151E8"/>
    <w:rsid w:val="00782D41"/>
    <w:rsid w:val="007C1B51"/>
    <w:rsid w:val="007E5FD8"/>
    <w:rsid w:val="00873DF0"/>
    <w:rsid w:val="008756E6"/>
    <w:rsid w:val="008A08B6"/>
    <w:rsid w:val="008F365E"/>
    <w:rsid w:val="009B2D44"/>
    <w:rsid w:val="009C4E20"/>
    <w:rsid w:val="00A07E82"/>
    <w:rsid w:val="00A41979"/>
    <w:rsid w:val="00A9710C"/>
    <w:rsid w:val="00AE3E37"/>
    <w:rsid w:val="00B126FA"/>
    <w:rsid w:val="00B21A57"/>
    <w:rsid w:val="00B2486D"/>
    <w:rsid w:val="00B30F90"/>
    <w:rsid w:val="00B97DDB"/>
    <w:rsid w:val="00BF580F"/>
    <w:rsid w:val="00C33602"/>
    <w:rsid w:val="00CC1975"/>
    <w:rsid w:val="00CD6F55"/>
    <w:rsid w:val="00D3717E"/>
    <w:rsid w:val="00D50A05"/>
    <w:rsid w:val="00D95D77"/>
    <w:rsid w:val="00DB72AE"/>
    <w:rsid w:val="00DE3104"/>
    <w:rsid w:val="00DE6E31"/>
    <w:rsid w:val="00E26B10"/>
    <w:rsid w:val="00E64DF4"/>
    <w:rsid w:val="00EA39B8"/>
    <w:rsid w:val="00F27D30"/>
    <w:rsid w:val="00F4424D"/>
    <w:rsid w:val="00F72EEA"/>
    <w:rsid w:val="00F84CAE"/>
    <w:rsid w:val="00F87062"/>
    <w:rsid w:val="00F92586"/>
    <w:rsid w:val="00F973FE"/>
    <w:rsid w:val="00FA6771"/>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7E5FD8"/>
    <w:pPr>
      <w:widowControl/>
      <w:spacing w:before="100" w:beforeAutospacing="1" w:after="100" w:afterAutospacing="1"/>
    </w:pPr>
    <w:rPr>
      <w:rFonts w:ascii="宋体" w:eastAsia="宋体" w:hAnsi="宋体" w:cs="宋体"/>
      <w:sz w:val="24"/>
      <w:szCs w:val="24"/>
      <w:lang w:eastAsia="zh-CN"/>
    </w:rPr>
  </w:style>
  <w:style w:type="character" w:customStyle="1" w:styleId="affiliation">
    <w:name w:val="affiliation"/>
    <w:basedOn w:val="a0"/>
    <w:rsid w:val="005224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8831749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06020858">
      <w:bodyDiv w:val="1"/>
      <w:marLeft w:val="0"/>
      <w:marRight w:val="0"/>
      <w:marTop w:val="0"/>
      <w:marBottom w:val="0"/>
      <w:divBdr>
        <w:top w:val="none" w:sz="0" w:space="0" w:color="auto"/>
        <w:left w:val="none" w:sz="0" w:space="0" w:color="auto"/>
        <w:bottom w:val="none" w:sz="0" w:space="0" w:color="auto"/>
        <w:right w:val="none" w:sz="0" w:space="0" w:color="auto"/>
      </w:divBdr>
    </w:div>
    <w:div w:id="1366251775">
      <w:bodyDiv w:val="1"/>
      <w:marLeft w:val="0"/>
      <w:marRight w:val="0"/>
      <w:marTop w:val="0"/>
      <w:marBottom w:val="0"/>
      <w:divBdr>
        <w:top w:val="none" w:sz="0" w:space="0" w:color="auto"/>
        <w:left w:val="none" w:sz="0" w:space="0" w:color="auto"/>
        <w:bottom w:val="none" w:sz="0" w:space="0" w:color="auto"/>
        <w:right w:val="none" w:sz="0" w:space="0" w:color="auto"/>
      </w:divBdr>
    </w:div>
    <w:div w:id="143139438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91397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964830514003217"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ciencedirect.com/science/article/pii/S0964830514003217"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iencedirect.com/science/article/pii/S0964830514003217"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mailto:lejj@petrochina.com.cn" TargetMode="External"/><Relationship Id="rId4" Type="http://schemas.openxmlformats.org/officeDocument/2006/relationships/settings" Target="settings.xml"/><Relationship Id="rId9" Type="http://schemas.openxmlformats.org/officeDocument/2006/relationships/hyperlink" Target="http://www.sciencedirect.com/science/article/pii/S0964830514003217" TargetMode="Externa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D7863-CF35-4222-9A53-48B934531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微软用户</cp:lastModifiedBy>
  <cp:revision>23</cp:revision>
  <dcterms:created xsi:type="dcterms:W3CDTF">2017-07-10T05:33:00Z</dcterms:created>
  <dcterms:modified xsi:type="dcterms:W3CDTF">2017-07-25T00:21:00Z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