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507" w:rsidRPr="00D91507" w:rsidRDefault="00D91507" w:rsidP="00D91507">
      <w:pPr>
        <w:jc w:val="center"/>
        <w:rPr>
          <w:rFonts w:ascii="Minion Pro" w:eastAsia="Minion Pro" w:hAnsi="Minion Pro" w:cs="Minion Pro"/>
          <w:b/>
          <w:bCs/>
          <w:color w:val="337AB7"/>
          <w:sz w:val="36"/>
          <w:szCs w:val="36"/>
        </w:rPr>
      </w:pPr>
      <w:r w:rsidRPr="00D91507">
        <w:rPr>
          <w:rFonts w:ascii="Minion Pro" w:eastAsia="Minion Pro" w:hAnsi="Minion Pro" w:cs="Minion Pro"/>
          <w:b/>
          <w:bCs/>
          <w:color w:val="337AB7"/>
          <w:sz w:val="36"/>
          <w:szCs w:val="36"/>
        </w:rPr>
        <w:t>Effect of Geo Mechanical Parameters on History Matching</w:t>
      </w:r>
    </w:p>
    <w:p w:rsidR="00D91507" w:rsidRPr="00D91507" w:rsidRDefault="00D91507" w:rsidP="00D91507">
      <w:pPr>
        <w:jc w:val="center"/>
        <w:rPr>
          <w:rFonts w:ascii="Minion Pro" w:eastAsia="Minion Pro" w:hAnsi="Minion Pro" w:cs="Minion Pro"/>
          <w:b/>
          <w:bCs/>
          <w:color w:val="337AB7"/>
          <w:sz w:val="36"/>
          <w:szCs w:val="36"/>
        </w:rPr>
      </w:pPr>
      <w:r w:rsidRPr="00D91507">
        <w:rPr>
          <w:rFonts w:ascii="Minion Pro" w:eastAsia="Minion Pro" w:hAnsi="Minion Pro" w:cs="Minion Pro"/>
          <w:b/>
          <w:bCs/>
          <w:color w:val="337AB7"/>
          <w:sz w:val="36"/>
          <w:szCs w:val="36"/>
        </w:rPr>
        <w:t>of Compositional Simulation</w:t>
      </w:r>
    </w:p>
    <w:p w:rsidR="00AE3E37" w:rsidRDefault="00D91507">
      <w:pPr>
        <w:pStyle w:val="BodyText"/>
        <w:rPr>
          <w:rFonts w:ascii="Arial"/>
          <w:sz w:val="20"/>
        </w:rPr>
      </w:pPr>
      <w:r>
        <w:rPr>
          <w:rFonts w:ascii="Arial"/>
          <w:sz w:val="20"/>
        </w:rPr>
        <w:t>Hosein Vahdani, NIOC, IRAN</w:t>
      </w:r>
    </w:p>
    <w:p w:rsidR="00D91507" w:rsidRDefault="00D91507">
      <w:pPr>
        <w:pStyle w:val="BodyText"/>
        <w:rPr>
          <w:rFonts w:ascii="Arial"/>
          <w:sz w:val="20"/>
        </w:rPr>
      </w:pPr>
      <w:r>
        <w:rPr>
          <w:rFonts w:ascii="Arial"/>
          <w:sz w:val="20"/>
        </w:rPr>
        <w:t>Masoud Moazeni, Marvdasht Azad University,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91507">
      <w:pPr>
        <w:pStyle w:val="Heading3"/>
        <w:spacing w:before="147"/>
        <w:jc w:val="both"/>
      </w:pPr>
      <w:r>
        <w:rPr>
          <w:color w:val="BF5A14"/>
        </w:rPr>
        <w:lastRenderedPageBreak/>
        <w:t>Abstract</w:t>
      </w:r>
      <w:r w:rsidR="00404E5B">
        <w:rPr>
          <w:color w:val="BF5A14"/>
        </w:rPr>
        <w:t xml:space="preserve"> </w:t>
      </w:r>
    </w:p>
    <w:p w:rsidR="00D91507" w:rsidRDefault="00D91507" w:rsidP="00D91507">
      <w:pPr>
        <w:pStyle w:val="BodyText21"/>
        <w:ind w:firstLine="0"/>
        <w:rPr>
          <w:sz w:val="22"/>
        </w:rPr>
      </w:pPr>
      <w:r>
        <w:rPr>
          <w:rFonts w:ascii="Arial" w:hAnsi="Arial" w:cs="Arial"/>
          <w:sz w:val="22"/>
          <w:szCs w:val="22"/>
        </w:rPr>
        <w:t xml:space="preserve">Fluid movement through porous media is solved by diffusivity equation which is a combination of mass balance, momentum balance and energy balance. To predict reservoir behavior accurately, it is needed to perform history matching in an exact way. </w:t>
      </w:r>
      <w:r w:rsidRPr="00F258F1">
        <w:rPr>
          <w:rFonts w:ascii="Arial" w:hAnsi="Arial" w:cs="Arial"/>
          <w:sz w:val="22"/>
          <w:szCs w:val="22"/>
        </w:rPr>
        <w:t xml:space="preserve">History matching can be time-consuming, expensive, and frustrating because reservoir performance can be complex with numerous interactions that, as a whole, may be difficult to comprehend. Compaction processes that are not available with the standard rock compaction option are simulated with geo mechanic option in schlumberger compositional simulator. Subsidence and compaction in a reservoir are simulated better with this option. </w:t>
      </w:r>
      <w:r w:rsidRPr="00F258F1">
        <w:rPr>
          <w:rFonts w:ascii="Arial" w:hAnsi="Arial" w:cs="Arial"/>
          <w:color w:val="000000"/>
          <w:sz w:val="22"/>
          <w:szCs w:val="22"/>
        </w:rPr>
        <w:t xml:space="preserve">Better understanding of the processes occurring in the reservoir is done by history matching. Because of the complexity of the reservoir, final history matching is not unique. </w:t>
      </w:r>
      <w:r w:rsidRPr="00F258F1">
        <w:rPr>
          <w:rFonts w:ascii="Arial" w:hAnsi="Arial" w:cs="Arial"/>
          <w:sz w:val="22"/>
          <w:szCs w:val="22"/>
        </w:rPr>
        <w:t>Several different history matched models may provide equally acceptable matches to past reservoir performance but may yield significantly different future predictions. Geo mechanics internally within ECLIPSE Compositional is used by considering flexibility, plastic yield function and Biot constants. In this article effect of Young's Modulus, Poisson Ratio and Rock Density are studied and the optimum values of the above parameters are found.</w:t>
      </w:r>
      <w:r>
        <w:rPr>
          <w:rFonts w:ascii="Arial" w:hAnsi="Arial" w:cs="Arial"/>
          <w:sz w:val="28"/>
          <w:szCs w:val="28"/>
        </w:rPr>
        <w:t xml:space="preserve"> </w:t>
      </w:r>
      <w:r>
        <w:rPr>
          <w:rFonts w:ascii="Arial" w:hAnsi="Arial" w:cs="Arial"/>
          <w:b/>
          <w:bCs/>
          <w:color w:val="000000"/>
          <w:sz w:val="36"/>
          <w:szCs w:val="36"/>
        </w:rPr>
        <w:t xml:space="preserve"> </w:t>
      </w:r>
    </w:p>
    <w:p w:rsidR="00AE3E37" w:rsidRDefault="00A9710C">
      <w:pPr>
        <w:pStyle w:val="Heading3"/>
        <w:spacing w:before="74"/>
      </w:pPr>
      <w:r>
        <w:rPr>
          <w:b w:val="0"/>
        </w:rPr>
        <w:br w:type="column"/>
      </w:r>
      <w:r>
        <w:rPr>
          <w:color w:val="BF5A14"/>
        </w:rPr>
        <w:lastRenderedPageBreak/>
        <w:t>Image</w:t>
      </w:r>
    </w:p>
    <w:p w:rsidR="00D91507" w:rsidRPr="002B22F3" w:rsidRDefault="00D91507" w:rsidP="00D91507">
      <w:pPr>
        <w:rPr>
          <w:b/>
          <w:caps/>
          <w:sz w:val="24"/>
        </w:rPr>
      </w:pPr>
    </w:p>
    <w:p w:rsidR="00D91507" w:rsidRDefault="00D91507" w:rsidP="00D91507">
      <w:pPr>
        <w:rPr>
          <w:rFonts w:ascii="Arial" w:hAnsi="Arial" w:cs="Arial"/>
          <w:sz w:val="28"/>
          <w:szCs w:val="28"/>
        </w:rPr>
      </w:pPr>
      <w:r>
        <w:rPr>
          <w:rFonts w:ascii="Arial" w:hAnsi="Arial" w:cs="Arial"/>
          <w:noProof/>
          <w:sz w:val="28"/>
          <w:szCs w:val="28"/>
        </w:rPr>
        <w:drawing>
          <wp:inline distT="0" distB="0" distL="0" distR="0">
            <wp:extent cx="2943695" cy="1895148"/>
            <wp:effectExtent l="19050" t="0" r="905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944627" cy="1895748"/>
                    </a:xfrm>
                    <a:prstGeom prst="rect">
                      <a:avLst/>
                    </a:prstGeom>
                    <a:noFill/>
                    <a:ln w="9525">
                      <a:noFill/>
                      <a:miter lim="800000"/>
                      <a:headEnd/>
                      <a:tailEnd/>
                    </a:ln>
                  </pic:spPr>
                </pic:pic>
              </a:graphicData>
            </a:graphic>
          </wp:inline>
        </w:drawing>
      </w:r>
    </w:p>
    <w:p w:rsidR="00D91507" w:rsidRPr="001C5CC9" w:rsidRDefault="00D91507" w:rsidP="00D91507">
      <w:pPr>
        <w:jc w:val="center"/>
      </w:pPr>
      <w:r w:rsidRPr="001C5CC9">
        <w:t>Figure 1 Observed field pressure confirmed with Poison ratio of 0.4</w:t>
      </w:r>
    </w:p>
    <w:p w:rsidR="00D91507" w:rsidRPr="001C5CC9" w:rsidRDefault="00D91507" w:rsidP="00D91507"/>
    <w:p w:rsidR="00D91507" w:rsidRDefault="00D91507" w:rsidP="00D91507">
      <w:pPr>
        <w:rPr>
          <w:rFonts w:ascii="Arial" w:hAnsi="Arial" w:cs="Arial"/>
        </w:rPr>
      </w:pPr>
      <w:r>
        <w:rPr>
          <w:rFonts w:ascii="Arial" w:hAnsi="Arial" w:cs="Arial"/>
          <w:noProof/>
        </w:rPr>
        <w:drawing>
          <wp:inline distT="0" distB="0" distL="0" distR="0">
            <wp:extent cx="3275103" cy="2108508"/>
            <wp:effectExtent l="19050" t="0" r="1497"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265268" cy="2102176"/>
                    </a:xfrm>
                    <a:prstGeom prst="rect">
                      <a:avLst/>
                    </a:prstGeom>
                    <a:noFill/>
                    <a:ln w="9525">
                      <a:noFill/>
                      <a:miter lim="800000"/>
                      <a:headEnd/>
                      <a:tailEnd/>
                    </a:ln>
                  </pic:spPr>
                </pic:pic>
              </a:graphicData>
            </a:graphic>
          </wp:inline>
        </w:drawing>
      </w:r>
    </w:p>
    <w:p w:rsidR="00D91507" w:rsidRDefault="00D91507" w:rsidP="00D91507">
      <w:pPr>
        <w:jc w:val="center"/>
        <w:rPr>
          <w:rFonts w:ascii="Arial" w:hAnsi="Arial" w:cs="Arial"/>
        </w:rPr>
      </w:pPr>
      <w:r w:rsidRPr="00D40206">
        <w:rPr>
          <w:rFonts w:ascii="Arial" w:hAnsi="Arial" w:cs="Arial"/>
        </w:rPr>
        <w:t xml:space="preserve">Figure </w:t>
      </w:r>
      <w:r>
        <w:rPr>
          <w:rFonts w:ascii="Arial" w:hAnsi="Arial" w:cs="Arial"/>
        </w:rPr>
        <w:t>2</w:t>
      </w:r>
      <w:r w:rsidRPr="00D40206">
        <w:rPr>
          <w:rFonts w:ascii="Arial" w:hAnsi="Arial" w:cs="Arial"/>
        </w:rPr>
        <w:t xml:space="preserve"> Observed field pressure confirmed with </w:t>
      </w:r>
      <w:r>
        <w:rPr>
          <w:rFonts w:ascii="Arial" w:hAnsi="Arial" w:cs="Arial"/>
        </w:rPr>
        <w:t>Young Module</w:t>
      </w:r>
      <w:r w:rsidRPr="00D40206">
        <w:rPr>
          <w:rFonts w:ascii="Arial" w:hAnsi="Arial" w:cs="Arial"/>
        </w:rPr>
        <w:t xml:space="preserve"> of </w:t>
      </w:r>
      <w:r>
        <w:rPr>
          <w:rFonts w:ascii="Arial" w:hAnsi="Arial" w:cs="Arial"/>
        </w:rPr>
        <w:t>1.45E6</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D91507" w:rsidRPr="00D91507" w:rsidRDefault="00D91507" w:rsidP="005973B9">
      <w:pPr>
        <w:pStyle w:val="ListParagraph"/>
        <w:numPr>
          <w:ilvl w:val="0"/>
          <w:numId w:val="3"/>
        </w:numPr>
        <w:tabs>
          <w:tab w:val="left" w:pos="384"/>
        </w:tabs>
        <w:spacing w:before="92" w:line="218" w:lineRule="exact"/>
        <w:ind w:hanging="283"/>
        <w:rPr>
          <w:sz w:val="18"/>
        </w:rPr>
      </w:pPr>
      <w:r>
        <w:t>Effect of InjectionSalt Concentration in Fractured andConventional Model (ICPPE 2017)</w:t>
      </w:r>
    </w:p>
    <w:p w:rsidR="00D91507" w:rsidRDefault="00D91507" w:rsidP="005973B9">
      <w:pPr>
        <w:pStyle w:val="BodyText"/>
        <w:spacing w:before="85" w:line="216" w:lineRule="exact"/>
        <w:ind w:left="383" w:right="138" w:hanging="284"/>
        <w:jc w:val="both"/>
      </w:pPr>
      <w:r>
        <w:t>2. A Case History of Increasing Total Gas Production of a Gas Field by Field Surveillance (ICPPE 2015)</w:t>
      </w:r>
    </w:p>
    <w:p w:rsidR="005973B9" w:rsidRDefault="00D91507" w:rsidP="00D91507">
      <w:pPr>
        <w:pStyle w:val="BodyText"/>
        <w:spacing w:before="85" w:line="216" w:lineRule="exact"/>
        <w:ind w:left="383" w:right="138" w:hanging="284"/>
        <w:jc w:val="both"/>
      </w:pPr>
      <w:r>
        <w:rPr>
          <w:rFonts w:ascii="Calibri" w:hAnsi="Calibri"/>
        </w:rPr>
        <w:t>3</w:t>
      </w:r>
      <w:r w:rsidR="005973B9">
        <w:rPr>
          <w:rFonts w:ascii="Calibri" w:hAnsi="Calibri"/>
        </w:rPr>
        <w:t xml:space="preserve">. </w:t>
      </w:r>
      <w:r>
        <w:t>A Case Study of PVT Separator Sampling Quality Control in a Wet Gas Reservoir (ICPPE 2015)</w:t>
      </w:r>
    </w:p>
    <w:p w:rsidR="00D91507" w:rsidRPr="00D91507" w:rsidRDefault="00D91507" w:rsidP="00D91507">
      <w:pPr>
        <w:pStyle w:val="ListParagraph"/>
        <w:numPr>
          <w:ilvl w:val="0"/>
          <w:numId w:val="5"/>
        </w:numPr>
        <w:tabs>
          <w:tab w:val="left" w:pos="384"/>
        </w:tabs>
        <w:spacing w:before="103" w:line="216" w:lineRule="exact"/>
        <w:ind w:right="138"/>
        <w:rPr>
          <w:sz w:val="18"/>
        </w:rPr>
      </w:pPr>
      <w:r w:rsidRPr="00D91507">
        <w:rPr>
          <w:sz w:val="18"/>
        </w:rPr>
        <w:t>A New Correlation between Relative Permeability and Reynolds Number (IChEC 2014)</w:t>
      </w:r>
    </w:p>
    <w:p w:rsidR="00D91507" w:rsidRDefault="00D91507" w:rsidP="00D91507">
      <w:pPr>
        <w:pStyle w:val="ListParagraph"/>
        <w:numPr>
          <w:ilvl w:val="0"/>
          <w:numId w:val="5"/>
        </w:numPr>
        <w:tabs>
          <w:tab w:val="left" w:pos="384"/>
        </w:tabs>
        <w:spacing w:line="216" w:lineRule="exact"/>
        <w:ind w:right="137"/>
        <w:rPr>
          <w:sz w:val="18"/>
        </w:rPr>
      </w:pPr>
      <w:r>
        <w:rPr>
          <w:sz w:val="18"/>
        </w:rPr>
        <w:t>Effect of Duffusion on History Matching of Black Oil Simulation (IChEC2014)</w:t>
      </w:r>
    </w:p>
    <w:p w:rsidR="00D91507" w:rsidRDefault="00D91507" w:rsidP="00D91507">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52163">
      <w:pPr>
        <w:pStyle w:val="BodyText"/>
        <w:spacing w:line="40" w:lineRule="exact"/>
        <w:ind w:left="2202"/>
        <w:rPr>
          <w:rFonts w:ascii="Calibri"/>
          <w:sz w:val="4"/>
        </w:rPr>
      </w:pPr>
      <w:r w:rsidRPr="00852163">
        <w:rPr>
          <w:rFonts w:ascii="Calibri"/>
          <w:noProof/>
          <w:sz w:val="4"/>
          <w:lang w:val="en-IN" w:eastAsia="en-IN"/>
        </w:rPr>
      </w:r>
      <w:r w:rsidRPr="0085216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91507" w:rsidRDefault="00D91507" w:rsidP="00D91507">
      <w:pPr>
        <w:spacing w:before="92"/>
        <w:ind w:right="4234"/>
        <w:rPr>
          <w:rFonts w:ascii="Arial"/>
          <w:color w:val="BF5A14"/>
        </w:rPr>
      </w:pPr>
      <w:r>
        <w:rPr>
          <w:rFonts w:ascii="Arial"/>
          <w:noProof/>
          <w:color w:val="BF5A14"/>
        </w:rPr>
        <w:lastRenderedPageBreak/>
        <w:drawing>
          <wp:inline distT="0" distB="0" distL="0" distR="0">
            <wp:extent cx="614680" cy="757555"/>
            <wp:effectExtent l="19050" t="0" r="0" b="0"/>
            <wp:docPr id="4" name="Picture 2" descr="C:\Users\h.vahdani\Desktop\vahd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vahdani\Desktop\vahdani.jpg"/>
                    <pic:cNvPicPr>
                      <a:picLocks noChangeAspect="1" noChangeArrowheads="1"/>
                    </pic:cNvPicPr>
                  </pic:nvPicPr>
                  <pic:blipFill>
                    <a:blip r:embed="rId11" cstate="print"/>
                    <a:srcRect/>
                    <a:stretch>
                      <a:fillRect/>
                    </a:stretch>
                  </pic:blipFill>
                  <pic:spPr bwMode="auto">
                    <a:xfrm>
                      <a:off x="0" y="0"/>
                      <a:ext cx="614680" cy="757555"/>
                    </a:xfrm>
                    <a:prstGeom prst="rect">
                      <a:avLst/>
                    </a:prstGeom>
                    <a:noFill/>
                    <a:ln w="9525">
                      <a:noFill/>
                      <a:miter lim="800000"/>
                      <a:headEnd/>
                      <a:tailEnd/>
                    </a:ln>
                  </pic:spPr>
                </pic:pic>
              </a:graphicData>
            </a:graphic>
          </wp:inline>
        </w:drawing>
      </w:r>
    </w:p>
    <w:p w:rsidR="00AE3E37" w:rsidRDefault="00A9710C" w:rsidP="00D91507">
      <w:pPr>
        <w:spacing w:before="92"/>
        <w:ind w:right="4234"/>
        <w:rPr>
          <w:rFonts w:ascii="Arial"/>
        </w:rPr>
      </w:pPr>
      <w:r>
        <w:rPr>
          <w:rFonts w:ascii="Arial"/>
          <w:color w:val="BF5A14"/>
        </w:rPr>
        <w:t>Biography</w:t>
      </w:r>
      <w:r w:rsidR="00404E5B">
        <w:rPr>
          <w:rFonts w:ascii="Arial"/>
          <w:color w:val="BF5A14"/>
        </w:rPr>
        <w:t xml:space="preserve"> </w:t>
      </w:r>
    </w:p>
    <w:p w:rsidR="00D91507" w:rsidRPr="00D91507" w:rsidRDefault="00D91507" w:rsidP="00D91507">
      <w:pPr>
        <w:pStyle w:val="NormalWeb"/>
        <w:rPr>
          <w:sz w:val="28"/>
          <w:szCs w:val="28"/>
        </w:rPr>
      </w:pPr>
      <w:r w:rsidRPr="00D91507">
        <w:rPr>
          <w:rFonts w:ascii="Calibri" w:hAnsi="Calibri" w:cs="Calibri"/>
          <w:sz w:val="28"/>
          <w:szCs w:val="28"/>
        </w:rPr>
        <w:t>A Senior Reservoir Engineer with a Significant Technical and Field Background based on more than 10 Years of Job Experience</w:t>
      </w:r>
      <w:r>
        <w:rPr>
          <w:rFonts w:ascii="Calibri" w:hAnsi="Calibri" w:cs="Calibri"/>
          <w:sz w:val="28"/>
          <w:szCs w:val="28"/>
        </w:rPr>
        <w:t>,</w:t>
      </w:r>
      <w:r w:rsidRPr="00D91507">
        <w:rPr>
          <w:sz w:val="28"/>
          <w:szCs w:val="28"/>
        </w:rPr>
        <w:t xml:space="preserve"> Synergist in Teamwork with International Exposure</w:t>
      </w:r>
      <w:r>
        <w:rPr>
          <w:sz w:val="28"/>
          <w:szCs w:val="28"/>
        </w:rPr>
        <w:t xml:space="preserve">, </w:t>
      </w:r>
      <w:r w:rsidRPr="00D91507">
        <w:rPr>
          <w:sz w:val="28"/>
          <w:szCs w:val="28"/>
        </w:rPr>
        <w:t>Proficient at Working Independently and as Part of a Team</w:t>
      </w:r>
      <w:r>
        <w:rPr>
          <w:sz w:val="28"/>
          <w:szCs w:val="28"/>
        </w:rPr>
        <w:t xml:space="preserve">, </w:t>
      </w:r>
      <w:r w:rsidRPr="00D91507">
        <w:rPr>
          <w:sz w:val="28"/>
          <w:szCs w:val="28"/>
        </w:rPr>
        <w:t xml:space="preserve"> Keen to Work on Challenging Projects</w:t>
      </w:r>
    </w:p>
    <w:p w:rsidR="00AE3E37" w:rsidRDefault="00AE3E37">
      <w:pPr>
        <w:spacing w:before="41" w:line="154" w:lineRule="exact"/>
        <w:ind w:left="213" w:right="231"/>
        <w:jc w:val="both"/>
        <w:rPr>
          <w:rFonts w:ascii="Arial"/>
          <w:sz w:val="14"/>
        </w:rPr>
      </w:pPr>
    </w:p>
    <w:p w:rsidR="00AE3E37" w:rsidRPr="00D91507" w:rsidRDefault="00D91507">
      <w:pPr>
        <w:spacing w:before="62"/>
        <w:ind w:left="4217" w:right="4235"/>
        <w:jc w:val="center"/>
        <w:rPr>
          <w:rFonts w:ascii="Arial"/>
        </w:rPr>
      </w:pPr>
      <w:r w:rsidRPr="00D91507">
        <w:rPr>
          <w:rFonts w:ascii="Arial"/>
        </w:rPr>
        <w:t>Email: hos.vah@gmail.com</w:t>
      </w:r>
    </w:p>
    <w:p w:rsidR="00AE3E37" w:rsidRDefault="00852163">
      <w:pPr>
        <w:pStyle w:val="BodyText"/>
        <w:spacing w:before="2"/>
        <w:rPr>
          <w:rFonts w:ascii="Arial"/>
          <w:sz w:val="19"/>
        </w:rPr>
      </w:pPr>
      <w:r w:rsidRPr="0085216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8F0" w:rsidRDefault="00D068F0">
      <w:r>
        <w:separator/>
      </w:r>
    </w:p>
  </w:endnote>
  <w:endnote w:type="continuationSeparator" w:id="1">
    <w:p w:rsidR="00D068F0" w:rsidRDefault="00D068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52163">
    <w:pPr>
      <w:pStyle w:val="BodyText"/>
      <w:spacing w:line="14" w:lineRule="auto"/>
      <w:rPr>
        <w:sz w:val="20"/>
      </w:rPr>
    </w:pPr>
    <w:r w:rsidRPr="0085216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5216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5216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8F0" w:rsidRDefault="00D068F0">
      <w:r>
        <w:separator/>
      </w:r>
    </w:p>
  </w:footnote>
  <w:footnote w:type="continuationSeparator" w:id="1">
    <w:p w:rsidR="00D068F0" w:rsidRDefault="00D068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52163">
    <w:pPr>
      <w:pStyle w:val="BodyText"/>
      <w:spacing w:line="14" w:lineRule="auto"/>
      <w:rPr>
        <w:sz w:val="20"/>
      </w:rPr>
    </w:pPr>
    <w:r w:rsidRPr="0085216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5216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544A8"/>
    <w:multiLevelType w:val="hybridMultilevel"/>
    <w:tmpl w:val="CC38F68E"/>
    <w:lvl w:ilvl="0" w:tplc="B346F8EA">
      <w:start w:val="4"/>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8C2B4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52163"/>
    <w:rsid w:val="00873DF0"/>
    <w:rsid w:val="008756E6"/>
    <w:rsid w:val="008A08B6"/>
    <w:rsid w:val="009B2D44"/>
    <w:rsid w:val="00A07E82"/>
    <w:rsid w:val="00A9710C"/>
    <w:rsid w:val="00AE3E37"/>
    <w:rsid w:val="00B21A57"/>
    <w:rsid w:val="00C33602"/>
    <w:rsid w:val="00CD6F55"/>
    <w:rsid w:val="00D068F0"/>
    <w:rsid w:val="00D9150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Text21">
    <w:name w:val="Body Text 21"/>
    <w:basedOn w:val="Normal"/>
    <w:rsid w:val="00D91507"/>
    <w:pPr>
      <w:widowControl/>
      <w:suppressAutoHyphens/>
      <w:overflowPunct w:val="0"/>
      <w:autoSpaceDE w:val="0"/>
      <w:autoSpaceDN w:val="0"/>
      <w:adjustRightInd w:val="0"/>
      <w:ind w:firstLine="360"/>
      <w:jc w:val="both"/>
      <w:textAlignment w:val="baseline"/>
    </w:pPr>
    <w:rPr>
      <w:rFonts w:ascii="Times New Roman" w:eastAsia="Times New Roman" w:hAnsi="Times New Roman" w:cs="Times New Roman"/>
      <w:kern w:val="14"/>
      <w:sz w:val="20"/>
      <w:szCs w:val="20"/>
      <w:lang w:eastAsia="fr-FR"/>
    </w:rPr>
  </w:style>
  <w:style w:type="paragraph" w:styleId="NormalWeb">
    <w:name w:val="Normal (Web)"/>
    <w:basedOn w:val="Normal"/>
    <w:uiPriority w:val="99"/>
    <w:semiHidden/>
    <w:unhideWhenUsed/>
    <w:rsid w:val="00D91507"/>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7733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h.vahdani</cp:lastModifiedBy>
  <cp:revision>2</cp:revision>
  <dcterms:created xsi:type="dcterms:W3CDTF">2017-05-27T06:40:00Z</dcterms:created>
  <dcterms:modified xsi:type="dcterms:W3CDTF">2017-05-27T06:40:00Z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