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399" w:rsidRDefault="00615399" w:rsidP="00615399">
      <w:pPr>
        <w:jc w:val="both"/>
      </w:pPr>
    </w:p>
    <w:p w:rsidR="00615399" w:rsidRPr="00615399" w:rsidRDefault="00615399" w:rsidP="00635082">
      <w:pPr>
        <w:spacing w:after="0" w:line="240" w:lineRule="auto"/>
        <w:jc w:val="center"/>
        <w:rPr>
          <w:rFonts w:asciiTheme="minorBidi" w:hAnsiTheme="minorBidi"/>
          <w:color w:val="0070C0"/>
          <w:sz w:val="24"/>
          <w:szCs w:val="24"/>
        </w:rPr>
      </w:pPr>
      <w:r w:rsidRPr="00615399">
        <w:rPr>
          <w:rFonts w:asciiTheme="minorBidi" w:hAnsiTheme="minorBidi"/>
          <w:b/>
          <w:bCs/>
          <w:color w:val="0070C0"/>
          <w:sz w:val="24"/>
          <w:szCs w:val="24"/>
        </w:rPr>
        <w:t>Analysis of Petroleum Systems of the Kura Basin, Azerbaijan</w:t>
      </w:r>
    </w:p>
    <w:p w:rsidR="00635082" w:rsidRDefault="00635082" w:rsidP="00635082">
      <w:pPr>
        <w:spacing w:after="0" w:line="240" w:lineRule="auto"/>
        <w:jc w:val="center"/>
        <w:rPr>
          <w:rFonts w:asciiTheme="minorBidi" w:hAnsiTheme="minorBidi"/>
          <w:sz w:val="20"/>
          <w:szCs w:val="20"/>
        </w:rPr>
      </w:pPr>
    </w:p>
    <w:p w:rsidR="00615399" w:rsidRPr="00615399" w:rsidRDefault="00635082" w:rsidP="00635082">
      <w:pPr>
        <w:spacing w:after="0" w:line="240" w:lineRule="auto"/>
        <w:jc w:val="center"/>
        <w:rPr>
          <w:rFonts w:asciiTheme="minorBidi" w:hAnsiTheme="minorBidi"/>
          <w:sz w:val="20"/>
          <w:szCs w:val="20"/>
        </w:rPr>
      </w:pPr>
      <w:r w:rsidRPr="00615399">
        <w:rPr>
          <w:rFonts w:asciiTheme="minorBidi" w:hAnsiTheme="minorBidi"/>
          <w:sz w:val="20"/>
          <w:szCs w:val="20"/>
        </w:rPr>
        <w:t>Gasham A</w:t>
      </w:r>
      <w:r w:rsidR="00615399" w:rsidRPr="00615399">
        <w:rPr>
          <w:rFonts w:asciiTheme="minorBidi" w:hAnsiTheme="minorBidi"/>
          <w:sz w:val="20"/>
          <w:szCs w:val="20"/>
        </w:rPr>
        <w:t xml:space="preserve">. </w:t>
      </w:r>
      <w:proofErr w:type="spellStart"/>
      <w:r w:rsidR="00615399" w:rsidRPr="00615399">
        <w:rPr>
          <w:rFonts w:asciiTheme="minorBidi" w:hAnsiTheme="minorBidi"/>
          <w:sz w:val="20"/>
          <w:szCs w:val="20"/>
        </w:rPr>
        <w:t>Zeynalov</w:t>
      </w:r>
      <w:proofErr w:type="spellEnd"/>
      <w:proofErr w:type="gramStart"/>
      <w:r w:rsidR="00615399" w:rsidRPr="00615399">
        <w:rPr>
          <w:rFonts w:asciiTheme="minorBidi" w:hAnsiTheme="minorBidi"/>
          <w:sz w:val="20"/>
          <w:szCs w:val="20"/>
        </w:rPr>
        <w:t xml:space="preserve">,  </w:t>
      </w:r>
      <w:proofErr w:type="spellStart"/>
      <w:r w:rsidR="00615399" w:rsidRPr="00615399">
        <w:rPr>
          <w:rFonts w:asciiTheme="minorBidi" w:hAnsiTheme="minorBidi"/>
          <w:sz w:val="20"/>
          <w:szCs w:val="20"/>
        </w:rPr>
        <w:t>Khazar</w:t>
      </w:r>
      <w:proofErr w:type="spellEnd"/>
      <w:proofErr w:type="gramEnd"/>
      <w:r w:rsidR="00615399" w:rsidRPr="00615399">
        <w:rPr>
          <w:rFonts w:asciiTheme="minorBidi" w:hAnsiTheme="minorBidi"/>
          <w:sz w:val="20"/>
          <w:szCs w:val="20"/>
        </w:rPr>
        <w:t xml:space="preserve"> University, Azerbaijan</w:t>
      </w:r>
    </w:p>
    <w:p w:rsidR="00635082" w:rsidRDefault="00635082" w:rsidP="00635082">
      <w:pPr>
        <w:spacing w:after="0" w:line="240" w:lineRule="auto"/>
        <w:jc w:val="both"/>
        <w:rPr>
          <w:rFonts w:asciiTheme="minorBidi" w:hAnsiTheme="minorBidi"/>
          <w:b/>
          <w:bCs/>
          <w:sz w:val="20"/>
          <w:szCs w:val="20"/>
        </w:rPr>
      </w:pPr>
    </w:p>
    <w:p w:rsidR="00615399" w:rsidRPr="00615399" w:rsidRDefault="00615399" w:rsidP="00615399">
      <w:pPr>
        <w:spacing w:line="240" w:lineRule="auto"/>
        <w:jc w:val="both"/>
        <w:rPr>
          <w:rFonts w:asciiTheme="minorBidi" w:hAnsiTheme="minorBidi"/>
          <w:b/>
          <w:bCs/>
          <w:sz w:val="20"/>
          <w:szCs w:val="20"/>
        </w:rPr>
      </w:pPr>
      <w:r w:rsidRPr="00615399">
        <w:rPr>
          <w:rFonts w:asciiTheme="minorBidi" w:hAnsiTheme="minorBidi"/>
          <w:b/>
          <w:bCs/>
          <w:sz w:val="20"/>
          <w:szCs w:val="20"/>
        </w:rPr>
        <w:t>Abstract</w:t>
      </w:r>
    </w:p>
    <w:p w:rsidR="00615399" w:rsidRPr="00615399" w:rsidRDefault="00615399" w:rsidP="00615399">
      <w:pPr>
        <w:spacing w:after="0" w:line="240" w:lineRule="auto"/>
        <w:jc w:val="both"/>
        <w:rPr>
          <w:rFonts w:asciiTheme="minorBidi" w:hAnsiTheme="minorBidi"/>
          <w:b/>
          <w:bCs/>
          <w:sz w:val="20"/>
          <w:szCs w:val="20"/>
        </w:rPr>
      </w:pPr>
      <w:r w:rsidRPr="00615399">
        <w:rPr>
          <w:rFonts w:asciiTheme="minorBidi" w:hAnsiTheme="minorBidi"/>
          <w:sz w:val="20"/>
          <w:szCs w:val="20"/>
        </w:rPr>
        <w:t>Statement of the Problem: Main objective is analysis of key elements and processes of Petroleum Systems in Kura intermountain basin.</w:t>
      </w:r>
    </w:p>
    <w:p w:rsidR="00615399" w:rsidRDefault="00615399" w:rsidP="00615399">
      <w:pPr>
        <w:spacing w:after="0" w:line="240" w:lineRule="auto"/>
        <w:jc w:val="both"/>
        <w:rPr>
          <w:rFonts w:asciiTheme="minorBidi" w:hAnsiTheme="minorBidi"/>
          <w:b/>
          <w:bCs/>
          <w:sz w:val="20"/>
          <w:szCs w:val="20"/>
        </w:rPr>
      </w:pPr>
      <w:r w:rsidRPr="00615399">
        <w:rPr>
          <w:rFonts w:asciiTheme="minorBidi" w:hAnsiTheme="minorBidi"/>
          <w:sz w:val="20"/>
          <w:szCs w:val="20"/>
        </w:rPr>
        <w:t>Methodology. Comparatively has been analyzed elements of petroleum systems of the Kura basin as properties of source rocks, reservoir rocks, trapping mechanism and sealing properties and generation, migration, accumulation and preservation processes which allowed to evaluate further hydrocarbon exploration in different depression zones of the Kura basin. As an elongate NW-SE regional depression, Kura intermountain basin is subdivided into the Upper Kura (</w:t>
      </w:r>
      <w:proofErr w:type="spellStart"/>
      <w:r w:rsidRPr="00615399">
        <w:rPr>
          <w:rFonts w:asciiTheme="minorBidi" w:hAnsiTheme="minorBidi"/>
          <w:sz w:val="20"/>
          <w:szCs w:val="20"/>
        </w:rPr>
        <w:t>Kartli</w:t>
      </w:r>
      <w:proofErr w:type="spellEnd"/>
      <w:r w:rsidRPr="00615399">
        <w:rPr>
          <w:rFonts w:asciiTheme="minorBidi" w:hAnsiTheme="minorBidi"/>
          <w:sz w:val="20"/>
          <w:szCs w:val="20"/>
        </w:rPr>
        <w:t xml:space="preserve">), the Middle Kura and the Lower Kura sub-basins on the complicated geological structure and evolution pattern  and is bordered with South Caspian basin in SE (figure 1) and has complicated development history, sharp facial variations in deposition of sedimentary rocks, occurrence different type volcanogenic processes and oil and gas saturation in volcanoclastic, carbonate and siliciclastic sedimentary rocks. Only, Lower Kura sub-basin in east part of the basin has resembling properties to the South Caspian basin which is characterized by high sedimentation rates in Pliocene-Quaternary time. </w:t>
      </w:r>
    </w:p>
    <w:p w:rsidR="00615399" w:rsidRPr="00615399" w:rsidRDefault="00615399" w:rsidP="00615399">
      <w:pPr>
        <w:spacing w:after="0" w:line="240" w:lineRule="auto"/>
        <w:jc w:val="both"/>
        <w:rPr>
          <w:rFonts w:asciiTheme="minorBidi" w:hAnsiTheme="minorBidi"/>
          <w:b/>
          <w:bCs/>
          <w:sz w:val="20"/>
          <w:szCs w:val="20"/>
        </w:rPr>
      </w:pPr>
      <w:r w:rsidRPr="00615399">
        <w:rPr>
          <w:rFonts w:asciiTheme="minorBidi" w:hAnsiTheme="minorBidi"/>
          <w:sz w:val="20"/>
          <w:szCs w:val="20"/>
        </w:rPr>
        <w:t>Conclusions. Mentioned multiphase tectonism of the Kura Basin was caused to rise formation of multiple structural and stratigraphic traps in various stratigraphic units within the sub-basins of the intermountain depression which made it very exciting basin in exploration of oil and gas fields. Kura intermountain basin has several petroleum systems which is characterized with various stratigraphic ranges of elements and processes in different sub-basins from Cretaceous, Tertiary to Quaternary rocks. Variation of stratigraphic and</w:t>
      </w:r>
      <w:r w:rsidRPr="00615399">
        <w:t xml:space="preserve"> </w:t>
      </w:r>
      <w:r w:rsidRPr="00D412F5">
        <w:rPr>
          <w:rFonts w:asciiTheme="minorBidi" w:hAnsiTheme="minorBidi"/>
          <w:sz w:val="20"/>
          <w:szCs w:val="20"/>
        </w:rPr>
        <w:t>depositional range of oil and gas generation and accumulations in the Kura intermountain basin</w:t>
      </w:r>
      <w:r w:rsidRPr="00615399">
        <w:rPr>
          <w:rFonts w:asciiTheme="minorBidi" w:hAnsiTheme="minorBidi"/>
          <w:sz w:val="20"/>
          <w:szCs w:val="20"/>
        </w:rPr>
        <w:t xml:space="preserve"> </w:t>
      </w:r>
      <w:r w:rsidRPr="00615399">
        <w:rPr>
          <w:rFonts w:asciiTheme="minorBidi" w:hAnsiTheme="minorBidi"/>
          <w:sz w:val="20"/>
          <w:szCs w:val="20"/>
        </w:rPr>
        <w:t>were caused by different multiphase structural-geologic processes. All above-mentioned properties has been analyzed comparatively and their results allowed to determine further direction of exploration works for discovering new oil and gas fields in the Kura basin.</w:t>
      </w:r>
    </w:p>
    <w:p w:rsidR="00615399" w:rsidRPr="00615399" w:rsidRDefault="00615399" w:rsidP="00635082">
      <w:pPr>
        <w:rPr>
          <w:iCs/>
        </w:rPr>
      </w:pPr>
      <w:r w:rsidRPr="00615399">
        <w:rPr>
          <w:rFonts w:asciiTheme="minorBidi" w:hAnsiTheme="minorBidi"/>
          <w:sz w:val="20"/>
          <w:szCs w:val="20"/>
        </w:rPr>
        <w:drawing>
          <wp:inline distT="0" distB="0" distL="0" distR="0" wp14:anchorId="4E475DAF" wp14:editId="22E1EC73">
            <wp:extent cx="6152515" cy="296227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2515" cy="2962275"/>
                    </a:xfrm>
                    <a:prstGeom prst="rect">
                      <a:avLst/>
                    </a:prstGeom>
                    <a:noFill/>
                  </pic:spPr>
                </pic:pic>
              </a:graphicData>
            </a:graphic>
          </wp:inline>
        </w:drawing>
      </w:r>
      <w:r w:rsidRPr="00615399">
        <w:rPr>
          <w:rFonts w:asciiTheme="minorBidi" w:hAnsiTheme="minorBidi"/>
          <w:b/>
          <w:iCs/>
          <w:sz w:val="20"/>
          <w:szCs w:val="20"/>
        </w:rPr>
        <w:t>Figure1.</w:t>
      </w:r>
      <w:r w:rsidRPr="00615399">
        <w:rPr>
          <w:rFonts w:asciiTheme="minorBidi" w:hAnsiTheme="minorBidi"/>
          <w:iCs/>
          <w:sz w:val="20"/>
          <w:szCs w:val="20"/>
        </w:rPr>
        <w:t xml:space="preserve"> Sketch of the present-day tectonics of the Caucasus mountain systems, Kura Basin and surrounding regions (modified Philip et al., 1989, </w:t>
      </w:r>
      <w:proofErr w:type="spellStart"/>
      <w:r w:rsidRPr="00615399">
        <w:rPr>
          <w:rFonts w:asciiTheme="minorBidi" w:hAnsiTheme="minorBidi"/>
          <w:iCs/>
          <w:sz w:val="20"/>
          <w:szCs w:val="20"/>
        </w:rPr>
        <w:t>Nemcok</w:t>
      </w:r>
      <w:proofErr w:type="spellEnd"/>
      <w:r w:rsidRPr="00615399">
        <w:rPr>
          <w:rFonts w:asciiTheme="minorBidi" w:hAnsiTheme="minorBidi"/>
          <w:iCs/>
          <w:sz w:val="20"/>
          <w:szCs w:val="20"/>
        </w:rPr>
        <w:t xml:space="preserve"> et </w:t>
      </w:r>
      <w:proofErr w:type="gramStart"/>
      <w:r w:rsidRPr="00615399">
        <w:rPr>
          <w:rFonts w:asciiTheme="minorBidi" w:hAnsiTheme="minorBidi"/>
          <w:iCs/>
          <w:sz w:val="20"/>
          <w:szCs w:val="20"/>
        </w:rPr>
        <w:t>all.,</w:t>
      </w:r>
      <w:proofErr w:type="gramEnd"/>
      <w:r w:rsidRPr="00615399">
        <w:rPr>
          <w:rFonts w:asciiTheme="minorBidi" w:hAnsiTheme="minorBidi"/>
          <w:iCs/>
          <w:sz w:val="20"/>
          <w:szCs w:val="20"/>
        </w:rPr>
        <w:t xml:space="preserve"> 2011).</w:t>
      </w:r>
    </w:p>
    <w:p w:rsidR="00615399" w:rsidRPr="00615399" w:rsidRDefault="00615399" w:rsidP="00615399">
      <w:pPr>
        <w:spacing w:after="120" w:line="240" w:lineRule="auto"/>
        <w:jc w:val="both"/>
        <w:rPr>
          <w:rFonts w:asciiTheme="minorBidi" w:hAnsiTheme="minorBidi"/>
          <w:b/>
          <w:bCs/>
          <w:iCs/>
          <w:sz w:val="20"/>
          <w:szCs w:val="20"/>
        </w:rPr>
      </w:pPr>
      <w:r w:rsidRPr="00615399">
        <w:rPr>
          <w:rFonts w:asciiTheme="minorBidi" w:hAnsiTheme="minorBidi"/>
          <w:b/>
          <w:bCs/>
          <w:iCs/>
          <w:sz w:val="20"/>
          <w:szCs w:val="20"/>
        </w:rPr>
        <w:t>Reference</w:t>
      </w:r>
    </w:p>
    <w:p w:rsidR="00615399" w:rsidRPr="00615399" w:rsidRDefault="00615399" w:rsidP="00615399">
      <w:pPr>
        <w:numPr>
          <w:ilvl w:val="0"/>
          <w:numId w:val="1"/>
        </w:numPr>
        <w:contextualSpacing/>
        <w:jc w:val="both"/>
        <w:rPr>
          <w:rFonts w:asciiTheme="minorBidi" w:hAnsiTheme="minorBidi"/>
          <w:sz w:val="20"/>
          <w:szCs w:val="20"/>
        </w:rPr>
      </w:pPr>
      <w:r w:rsidRPr="00615399">
        <w:rPr>
          <w:rFonts w:asciiTheme="minorBidi" w:hAnsiTheme="minorBidi"/>
          <w:sz w:val="20"/>
          <w:szCs w:val="20"/>
        </w:rPr>
        <w:t xml:space="preserve">Forte, A. M., Cowgill, E., </w:t>
      </w:r>
      <w:proofErr w:type="spellStart"/>
      <w:r w:rsidRPr="00615399">
        <w:rPr>
          <w:rFonts w:asciiTheme="minorBidi" w:hAnsiTheme="minorBidi"/>
          <w:sz w:val="20"/>
          <w:szCs w:val="20"/>
        </w:rPr>
        <w:t>Bernardin</w:t>
      </w:r>
      <w:proofErr w:type="spellEnd"/>
      <w:r w:rsidRPr="00615399">
        <w:rPr>
          <w:rFonts w:asciiTheme="minorBidi" w:hAnsiTheme="minorBidi"/>
          <w:sz w:val="20"/>
          <w:szCs w:val="20"/>
        </w:rPr>
        <w:t xml:space="preserve">, T., </w:t>
      </w:r>
      <w:proofErr w:type="spellStart"/>
      <w:r w:rsidRPr="00615399">
        <w:rPr>
          <w:rFonts w:asciiTheme="minorBidi" w:hAnsiTheme="minorBidi"/>
          <w:sz w:val="20"/>
          <w:szCs w:val="20"/>
        </w:rPr>
        <w:t>Kreylos</w:t>
      </w:r>
      <w:proofErr w:type="spellEnd"/>
      <w:r w:rsidRPr="00615399">
        <w:rPr>
          <w:rFonts w:asciiTheme="minorBidi" w:hAnsiTheme="minorBidi"/>
          <w:sz w:val="20"/>
          <w:szCs w:val="20"/>
        </w:rPr>
        <w:t xml:space="preserve">, O., and </w:t>
      </w:r>
      <w:proofErr w:type="spellStart"/>
      <w:r w:rsidRPr="00615399">
        <w:rPr>
          <w:rFonts w:asciiTheme="minorBidi" w:hAnsiTheme="minorBidi"/>
          <w:sz w:val="20"/>
          <w:szCs w:val="20"/>
        </w:rPr>
        <w:t>Hamann</w:t>
      </w:r>
      <w:proofErr w:type="spellEnd"/>
      <w:r w:rsidRPr="00615399">
        <w:rPr>
          <w:rFonts w:asciiTheme="minorBidi" w:hAnsiTheme="minorBidi"/>
          <w:sz w:val="20"/>
          <w:szCs w:val="20"/>
        </w:rPr>
        <w:t>, B., 2010, Late Cenozoic deformation of the Kura fold-thrust belt, southern Greater Caucasus: Geological Society of America Bulletin, v. 122, no. 3-4, p. 465-486.</w:t>
      </w:r>
    </w:p>
    <w:p w:rsidR="00615399" w:rsidRPr="00615399" w:rsidRDefault="00615399" w:rsidP="00615399">
      <w:pPr>
        <w:numPr>
          <w:ilvl w:val="0"/>
          <w:numId w:val="1"/>
        </w:numPr>
        <w:contextualSpacing/>
        <w:jc w:val="both"/>
        <w:rPr>
          <w:rFonts w:asciiTheme="minorBidi" w:hAnsiTheme="minorBidi"/>
          <w:sz w:val="20"/>
          <w:szCs w:val="20"/>
        </w:rPr>
      </w:pPr>
      <w:proofErr w:type="spellStart"/>
      <w:r w:rsidRPr="00615399">
        <w:rPr>
          <w:rFonts w:asciiTheme="minorBidi" w:hAnsiTheme="minorBidi"/>
          <w:sz w:val="20"/>
          <w:szCs w:val="20"/>
        </w:rPr>
        <w:lastRenderedPageBreak/>
        <w:t>Inan</w:t>
      </w:r>
      <w:proofErr w:type="spellEnd"/>
      <w:r w:rsidRPr="00615399">
        <w:rPr>
          <w:rFonts w:asciiTheme="minorBidi" w:hAnsiTheme="minorBidi"/>
          <w:sz w:val="20"/>
          <w:szCs w:val="20"/>
        </w:rPr>
        <w:t xml:space="preserve">, S., </w:t>
      </w:r>
      <w:proofErr w:type="spellStart"/>
      <w:r w:rsidRPr="00615399">
        <w:rPr>
          <w:rFonts w:asciiTheme="minorBidi" w:hAnsiTheme="minorBidi"/>
          <w:sz w:val="20"/>
          <w:szCs w:val="20"/>
        </w:rPr>
        <w:t>Namik</w:t>
      </w:r>
      <w:proofErr w:type="spellEnd"/>
      <w:r w:rsidRPr="00615399">
        <w:rPr>
          <w:rFonts w:asciiTheme="minorBidi" w:hAnsiTheme="minorBidi"/>
          <w:sz w:val="20"/>
          <w:szCs w:val="20"/>
        </w:rPr>
        <w:t xml:space="preserve"> </w:t>
      </w:r>
      <w:proofErr w:type="spellStart"/>
      <w:r w:rsidRPr="00615399">
        <w:rPr>
          <w:rFonts w:asciiTheme="minorBidi" w:hAnsiTheme="minorBidi"/>
          <w:sz w:val="20"/>
          <w:szCs w:val="20"/>
        </w:rPr>
        <w:t>Yalçin</w:t>
      </w:r>
      <w:proofErr w:type="spellEnd"/>
      <w:r w:rsidRPr="00615399">
        <w:rPr>
          <w:rFonts w:asciiTheme="minorBidi" w:hAnsiTheme="minorBidi"/>
          <w:sz w:val="20"/>
          <w:szCs w:val="20"/>
        </w:rPr>
        <w:t xml:space="preserve">, M., </w:t>
      </w:r>
      <w:proofErr w:type="spellStart"/>
      <w:r w:rsidRPr="00615399">
        <w:rPr>
          <w:rFonts w:asciiTheme="minorBidi" w:hAnsiTheme="minorBidi"/>
          <w:sz w:val="20"/>
          <w:szCs w:val="20"/>
        </w:rPr>
        <w:t>Guliev</w:t>
      </w:r>
      <w:proofErr w:type="spellEnd"/>
      <w:r w:rsidRPr="00615399">
        <w:rPr>
          <w:rFonts w:asciiTheme="minorBidi" w:hAnsiTheme="minorBidi"/>
          <w:sz w:val="20"/>
          <w:szCs w:val="20"/>
        </w:rPr>
        <w:t xml:space="preserve">, I. S., </w:t>
      </w:r>
      <w:proofErr w:type="spellStart"/>
      <w:r w:rsidRPr="00615399">
        <w:rPr>
          <w:rFonts w:asciiTheme="minorBidi" w:hAnsiTheme="minorBidi"/>
          <w:sz w:val="20"/>
          <w:szCs w:val="20"/>
        </w:rPr>
        <w:t>Kuliev</w:t>
      </w:r>
      <w:proofErr w:type="spellEnd"/>
      <w:r w:rsidRPr="00615399">
        <w:rPr>
          <w:rFonts w:asciiTheme="minorBidi" w:hAnsiTheme="minorBidi"/>
          <w:sz w:val="20"/>
          <w:szCs w:val="20"/>
        </w:rPr>
        <w:t xml:space="preserve">, K., and </w:t>
      </w:r>
      <w:proofErr w:type="spellStart"/>
      <w:r w:rsidRPr="00615399">
        <w:rPr>
          <w:rFonts w:asciiTheme="minorBidi" w:hAnsiTheme="minorBidi"/>
          <w:sz w:val="20"/>
          <w:szCs w:val="20"/>
        </w:rPr>
        <w:t>Akper</w:t>
      </w:r>
      <w:proofErr w:type="spellEnd"/>
      <w:r w:rsidRPr="00615399">
        <w:rPr>
          <w:rFonts w:asciiTheme="minorBidi" w:hAnsiTheme="minorBidi"/>
          <w:sz w:val="20"/>
          <w:szCs w:val="20"/>
        </w:rPr>
        <w:t xml:space="preserve"> </w:t>
      </w:r>
      <w:proofErr w:type="spellStart"/>
      <w:r w:rsidRPr="00615399">
        <w:rPr>
          <w:rFonts w:asciiTheme="minorBidi" w:hAnsiTheme="minorBidi"/>
          <w:sz w:val="20"/>
          <w:szCs w:val="20"/>
        </w:rPr>
        <w:t>Feizullayev</w:t>
      </w:r>
      <w:proofErr w:type="spellEnd"/>
      <w:r w:rsidRPr="00615399">
        <w:rPr>
          <w:rFonts w:asciiTheme="minorBidi" w:hAnsiTheme="minorBidi"/>
          <w:sz w:val="20"/>
          <w:szCs w:val="20"/>
        </w:rPr>
        <w:t>, A., 1997, Deep petroleum occurrences in the Lower Kura Depression, South Caspian Basin, Azerbaijan: an organic geochemical and basin modeling study: Marine and Petroleum Geology, v. 14, no. 7-8, p. 731-762.</w:t>
      </w:r>
    </w:p>
    <w:p w:rsidR="00615399" w:rsidRPr="00615399" w:rsidRDefault="00615399" w:rsidP="00615399">
      <w:pPr>
        <w:numPr>
          <w:ilvl w:val="0"/>
          <w:numId w:val="1"/>
        </w:numPr>
        <w:contextualSpacing/>
        <w:jc w:val="both"/>
        <w:rPr>
          <w:rFonts w:asciiTheme="minorBidi" w:hAnsiTheme="minorBidi"/>
          <w:noProof/>
          <w:sz w:val="20"/>
          <w:szCs w:val="20"/>
          <w:lang w:bidi="ar-KW"/>
        </w:rPr>
      </w:pPr>
      <w:r w:rsidRPr="00615399">
        <w:rPr>
          <w:rFonts w:asciiTheme="minorBidi" w:hAnsiTheme="minorBidi"/>
          <w:sz w:val="20"/>
          <w:szCs w:val="20"/>
        </w:rPr>
        <w:t xml:space="preserve">Jackson, J., Priestley, K., Allen, M. B., and </w:t>
      </w:r>
      <w:proofErr w:type="spellStart"/>
      <w:r w:rsidRPr="00615399">
        <w:rPr>
          <w:rFonts w:asciiTheme="minorBidi" w:hAnsiTheme="minorBidi"/>
          <w:sz w:val="20"/>
          <w:szCs w:val="20"/>
        </w:rPr>
        <w:t>Berberian</w:t>
      </w:r>
      <w:proofErr w:type="spellEnd"/>
      <w:r w:rsidRPr="00615399">
        <w:rPr>
          <w:rFonts w:asciiTheme="minorBidi" w:hAnsiTheme="minorBidi"/>
          <w:sz w:val="20"/>
          <w:szCs w:val="20"/>
        </w:rPr>
        <w:t>, M., 2002, Active tectonics of the South Caspian Basin: Geophysical Journal International, v. 148, no. 2, p. 214-245.</w:t>
      </w:r>
    </w:p>
    <w:p w:rsidR="00615399" w:rsidRPr="00615399" w:rsidRDefault="00615399" w:rsidP="00615399">
      <w:pPr>
        <w:numPr>
          <w:ilvl w:val="0"/>
          <w:numId w:val="1"/>
        </w:numPr>
        <w:contextualSpacing/>
        <w:jc w:val="both"/>
        <w:rPr>
          <w:rFonts w:asciiTheme="minorBidi" w:hAnsiTheme="minorBidi"/>
          <w:sz w:val="20"/>
          <w:szCs w:val="20"/>
        </w:rPr>
      </w:pPr>
      <w:r w:rsidRPr="00615399">
        <w:rPr>
          <w:rFonts w:asciiTheme="minorBidi" w:hAnsiTheme="minorBidi"/>
          <w:sz w:val="20"/>
          <w:szCs w:val="20"/>
        </w:rPr>
        <w:t xml:space="preserve">M. </w:t>
      </w:r>
      <w:proofErr w:type="spellStart"/>
      <w:r w:rsidRPr="00615399">
        <w:rPr>
          <w:rFonts w:asciiTheme="minorBidi" w:hAnsiTheme="minorBidi"/>
          <w:sz w:val="20"/>
          <w:szCs w:val="20"/>
        </w:rPr>
        <w:t>Nemčok</w:t>
      </w:r>
      <w:proofErr w:type="spellEnd"/>
      <w:r w:rsidRPr="00615399">
        <w:rPr>
          <w:rFonts w:asciiTheme="minorBidi" w:hAnsiTheme="minorBidi"/>
          <w:sz w:val="20"/>
          <w:szCs w:val="20"/>
        </w:rPr>
        <w:t xml:space="preserve">,  A. A. </w:t>
      </w:r>
      <w:proofErr w:type="spellStart"/>
      <w:r w:rsidRPr="00615399">
        <w:rPr>
          <w:rFonts w:asciiTheme="minorBidi" w:hAnsiTheme="minorBidi"/>
          <w:sz w:val="20"/>
          <w:szCs w:val="20"/>
        </w:rPr>
        <w:t>Feyzullayev</w:t>
      </w:r>
      <w:proofErr w:type="spellEnd"/>
      <w:r w:rsidRPr="00615399">
        <w:rPr>
          <w:rFonts w:asciiTheme="minorBidi" w:hAnsiTheme="minorBidi"/>
          <w:sz w:val="20"/>
          <w:szCs w:val="20"/>
        </w:rPr>
        <w:t xml:space="preserve">, F.A. </w:t>
      </w:r>
      <w:proofErr w:type="spellStart"/>
      <w:r w:rsidRPr="00615399">
        <w:rPr>
          <w:rFonts w:asciiTheme="minorBidi" w:hAnsiTheme="minorBidi"/>
          <w:sz w:val="20"/>
          <w:szCs w:val="20"/>
        </w:rPr>
        <w:t>Kadirov</w:t>
      </w:r>
      <w:proofErr w:type="spellEnd"/>
      <w:r w:rsidRPr="00615399">
        <w:rPr>
          <w:rFonts w:asciiTheme="minorBidi" w:hAnsiTheme="minorBidi"/>
          <w:sz w:val="20"/>
          <w:szCs w:val="20"/>
        </w:rPr>
        <w:t xml:space="preserve">, G.A. </w:t>
      </w:r>
      <w:proofErr w:type="spellStart"/>
      <w:r w:rsidRPr="00615399">
        <w:rPr>
          <w:rFonts w:asciiTheme="minorBidi" w:hAnsiTheme="minorBidi"/>
          <w:sz w:val="20"/>
          <w:szCs w:val="20"/>
        </w:rPr>
        <w:t>Zeynalov</w:t>
      </w:r>
      <w:proofErr w:type="spellEnd"/>
      <w:r w:rsidRPr="00615399">
        <w:rPr>
          <w:rFonts w:asciiTheme="minorBidi" w:hAnsiTheme="minorBidi"/>
          <w:sz w:val="20"/>
          <w:szCs w:val="20"/>
        </w:rPr>
        <w:t xml:space="preserve">, R. Allen, C. Christensen and B. Welker, 2011,  </w:t>
      </w:r>
      <w:proofErr w:type="spellStart"/>
      <w:r w:rsidRPr="00615399">
        <w:rPr>
          <w:rFonts w:asciiTheme="minorBidi" w:hAnsiTheme="minorBidi"/>
          <w:sz w:val="20"/>
          <w:szCs w:val="20"/>
        </w:rPr>
        <w:t>Neotectonics</w:t>
      </w:r>
      <w:proofErr w:type="spellEnd"/>
      <w:r w:rsidRPr="00615399">
        <w:rPr>
          <w:rFonts w:asciiTheme="minorBidi" w:hAnsiTheme="minorBidi"/>
          <w:sz w:val="20"/>
          <w:szCs w:val="20"/>
        </w:rPr>
        <w:t xml:space="preserve"> of the Caucasus and Kura Valley, Azerbaijan, “Global Engineers and Technologist Review” journal , Vol.1,No 1, Malaysia, p.1-14</w:t>
      </w:r>
    </w:p>
    <w:p w:rsidR="00615399" w:rsidRPr="00615399" w:rsidRDefault="00615399" w:rsidP="00615399">
      <w:pPr>
        <w:numPr>
          <w:ilvl w:val="0"/>
          <w:numId w:val="1"/>
        </w:numPr>
        <w:contextualSpacing/>
        <w:jc w:val="both"/>
        <w:rPr>
          <w:rFonts w:asciiTheme="minorBidi" w:hAnsiTheme="minorBidi"/>
          <w:sz w:val="20"/>
          <w:szCs w:val="20"/>
        </w:rPr>
      </w:pPr>
      <w:r w:rsidRPr="00615399">
        <w:rPr>
          <w:rFonts w:asciiTheme="minorBidi" w:hAnsiTheme="minorBidi"/>
          <w:sz w:val="20"/>
          <w:szCs w:val="20"/>
        </w:rPr>
        <w:t xml:space="preserve">Philip, H., </w:t>
      </w:r>
      <w:proofErr w:type="spellStart"/>
      <w:r w:rsidRPr="00615399">
        <w:rPr>
          <w:rFonts w:asciiTheme="minorBidi" w:hAnsiTheme="minorBidi"/>
          <w:sz w:val="20"/>
          <w:szCs w:val="20"/>
        </w:rPr>
        <w:t>Cisternas</w:t>
      </w:r>
      <w:proofErr w:type="spellEnd"/>
      <w:r w:rsidRPr="00615399">
        <w:rPr>
          <w:rFonts w:asciiTheme="minorBidi" w:hAnsiTheme="minorBidi"/>
          <w:sz w:val="20"/>
          <w:szCs w:val="20"/>
        </w:rPr>
        <w:t xml:space="preserve">, A., </w:t>
      </w:r>
      <w:proofErr w:type="spellStart"/>
      <w:r w:rsidRPr="00615399">
        <w:rPr>
          <w:rFonts w:asciiTheme="minorBidi" w:hAnsiTheme="minorBidi"/>
          <w:sz w:val="20"/>
          <w:szCs w:val="20"/>
        </w:rPr>
        <w:t>Gvishiani</w:t>
      </w:r>
      <w:proofErr w:type="spellEnd"/>
      <w:r w:rsidRPr="00615399">
        <w:rPr>
          <w:rFonts w:asciiTheme="minorBidi" w:hAnsiTheme="minorBidi"/>
          <w:sz w:val="20"/>
          <w:szCs w:val="20"/>
        </w:rPr>
        <w:t xml:space="preserve">, A., and </w:t>
      </w:r>
      <w:proofErr w:type="spellStart"/>
      <w:r w:rsidRPr="00615399">
        <w:rPr>
          <w:rFonts w:asciiTheme="minorBidi" w:hAnsiTheme="minorBidi"/>
          <w:sz w:val="20"/>
          <w:szCs w:val="20"/>
        </w:rPr>
        <w:t>Gorshkov</w:t>
      </w:r>
      <w:proofErr w:type="spellEnd"/>
      <w:r w:rsidRPr="00615399">
        <w:rPr>
          <w:rFonts w:asciiTheme="minorBidi" w:hAnsiTheme="minorBidi"/>
          <w:sz w:val="20"/>
          <w:szCs w:val="20"/>
        </w:rPr>
        <w:t>, A., 1989, The Caucasus: an actual example of the initial stages of continental collision: Tectonophysics, v. 161, no.1–2, p. 1-21.</w:t>
      </w:r>
    </w:p>
    <w:p w:rsidR="00615399" w:rsidRPr="00615399" w:rsidRDefault="00635082" w:rsidP="00635082">
      <w:pPr>
        <w:numPr>
          <w:ilvl w:val="0"/>
          <w:numId w:val="1"/>
        </w:numPr>
        <w:contextualSpacing/>
        <w:jc w:val="both"/>
        <w:rPr>
          <w:rFonts w:asciiTheme="minorBidi" w:hAnsiTheme="minorBidi"/>
          <w:sz w:val="20"/>
          <w:szCs w:val="20"/>
        </w:rPr>
      </w:pPr>
      <w:r>
        <w:rPr>
          <w:rFonts w:asciiTheme="minorBidi" w:hAnsiTheme="minorBidi"/>
          <w:sz w:val="20"/>
          <w:szCs w:val="20"/>
        </w:rPr>
        <w:t>Smith-</w:t>
      </w:r>
      <w:proofErr w:type="spellStart"/>
      <w:r>
        <w:rPr>
          <w:rFonts w:asciiTheme="minorBidi" w:hAnsiTheme="minorBidi"/>
          <w:sz w:val="20"/>
          <w:szCs w:val="20"/>
        </w:rPr>
        <w:t>Rouch</w:t>
      </w:r>
      <w:proofErr w:type="spellEnd"/>
      <w:r>
        <w:rPr>
          <w:rFonts w:asciiTheme="minorBidi" w:hAnsiTheme="minorBidi"/>
          <w:sz w:val="20"/>
          <w:szCs w:val="20"/>
        </w:rPr>
        <w:t>, L.</w:t>
      </w:r>
      <w:r w:rsidR="00615399" w:rsidRPr="00615399">
        <w:rPr>
          <w:rFonts w:asciiTheme="minorBidi" w:hAnsiTheme="minorBidi"/>
          <w:sz w:val="20"/>
          <w:szCs w:val="20"/>
        </w:rPr>
        <w:t xml:space="preserve">S., 2006, Oligocene–Miocene </w:t>
      </w:r>
      <w:proofErr w:type="spellStart"/>
      <w:r w:rsidR="00615399" w:rsidRPr="00615399">
        <w:rPr>
          <w:rFonts w:asciiTheme="minorBidi" w:hAnsiTheme="minorBidi"/>
          <w:sz w:val="20"/>
          <w:szCs w:val="20"/>
        </w:rPr>
        <w:t>Maykop</w:t>
      </w:r>
      <w:proofErr w:type="spellEnd"/>
      <w:r w:rsidR="00615399" w:rsidRPr="00615399">
        <w:rPr>
          <w:rFonts w:asciiTheme="minorBidi" w:hAnsiTheme="minorBidi"/>
          <w:sz w:val="20"/>
          <w:szCs w:val="20"/>
        </w:rPr>
        <w:t>/Diatom Total Petroleum System of the South Caspian Basin Province, Azer</w:t>
      </w:r>
      <w:r>
        <w:rPr>
          <w:rFonts w:asciiTheme="minorBidi" w:hAnsiTheme="minorBidi"/>
          <w:sz w:val="20"/>
          <w:szCs w:val="20"/>
        </w:rPr>
        <w:t xml:space="preserve">baijan, Iran, and </w:t>
      </w:r>
      <w:proofErr w:type="spellStart"/>
      <w:r>
        <w:rPr>
          <w:rFonts w:asciiTheme="minorBidi" w:hAnsiTheme="minorBidi"/>
          <w:sz w:val="20"/>
          <w:szCs w:val="20"/>
        </w:rPr>
        <w:t>Turkmenistan</w:t>
      </w:r>
      <w:proofErr w:type="gramStart"/>
      <w:r>
        <w:rPr>
          <w:rFonts w:asciiTheme="minorBidi" w:hAnsiTheme="minorBidi"/>
          <w:sz w:val="20"/>
          <w:szCs w:val="20"/>
        </w:rPr>
        <w:t>:U.S</w:t>
      </w:r>
      <w:proofErr w:type="spellEnd"/>
      <w:proofErr w:type="gramEnd"/>
      <w:r>
        <w:rPr>
          <w:rFonts w:asciiTheme="minorBidi" w:hAnsiTheme="minorBidi"/>
          <w:sz w:val="20"/>
          <w:szCs w:val="20"/>
        </w:rPr>
        <w:t>. Geol. Survey Bulletin 2201,</w:t>
      </w:r>
      <w:r w:rsidR="00615399" w:rsidRPr="00615399">
        <w:rPr>
          <w:rFonts w:asciiTheme="minorBidi" w:hAnsiTheme="minorBidi"/>
          <w:sz w:val="20"/>
          <w:szCs w:val="20"/>
        </w:rPr>
        <w:t>p.1-27.</w:t>
      </w:r>
    </w:p>
    <w:p w:rsidR="00615399" w:rsidRPr="00615399" w:rsidRDefault="00615399" w:rsidP="00615399">
      <w:pPr>
        <w:spacing w:after="120" w:line="240" w:lineRule="auto"/>
        <w:jc w:val="both"/>
        <w:rPr>
          <w:rFonts w:asciiTheme="minorBidi" w:hAnsiTheme="minorBidi"/>
          <w:iCs/>
          <w:sz w:val="20"/>
          <w:szCs w:val="20"/>
        </w:rPr>
      </w:pPr>
    </w:p>
    <w:p w:rsidR="00615399" w:rsidRPr="00615399" w:rsidRDefault="00635082" w:rsidP="00615399">
      <w:pPr>
        <w:ind w:firstLine="720"/>
        <w:jc w:val="both"/>
        <w:rPr>
          <w:rFonts w:asciiTheme="minorBidi" w:hAnsiTheme="minorBidi"/>
          <w:iCs/>
          <w:sz w:val="20"/>
          <w:szCs w:val="20"/>
        </w:rPr>
      </w:pPr>
      <w:proofErr w:type="gramStart"/>
      <w:r>
        <w:rPr>
          <w:rFonts w:asciiTheme="minorBidi" w:hAnsiTheme="minorBidi"/>
          <w:iCs/>
          <w:sz w:val="20"/>
          <w:szCs w:val="20"/>
        </w:rPr>
        <w:t>e-mail</w:t>
      </w:r>
      <w:proofErr w:type="gramEnd"/>
      <w:r>
        <w:rPr>
          <w:rFonts w:asciiTheme="minorBidi" w:hAnsiTheme="minorBidi"/>
          <w:iCs/>
          <w:sz w:val="20"/>
          <w:szCs w:val="20"/>
        </w:rPr>
        <w:t xml:space="preserve">: </w:t>
      </w:r>
      <w:hyperlink r:id="rId6" w:history="1">
        <w:r w:rsidRPr="005740DA">
          <w:rPr>
            <w:rStyle w:val="Hyperlink"/>
            <w:rFonts w:asciiTheme="minorBidi" w:hAnsiTheme="minorBidi"/>
            <w:iCs/>
            <w:sz w:val="20"/>
            <w:szCs w:val="20"/>
          </w:rPr>
          <w:t>gzeynalov@khazar.org</w:t>
        </w:r>
      </w:hyperlink>
      <w:r>
        <w:rPr>
          <w:rFonts w:asciiTheme="minorBidi" w:hAnsiTheme="minorBidi"/>
          <w:iCs/>
          <w:sz w:val="20"/>
          <w:szCs w:val="20"/>
        </w:rPr>
        <w:t xml:space="preserve"> </w:t>
      </w:r>
      <w:bookmarkStart w:id="0" w:name="_GoBack"/>
      <w:bookmarkEnd w:id="0"/>
    </w:p>
    <w:p w:rsidR="00615399" w:rsidRPr="00635082" w:rsidRDefault="00615399" w:rsidP="00615399">
      <w:pPr>
        <w:tabs>
          <w:tab w:val="left" w:pos="1080"/>
          <w:tab w:val="left" w:pos="2160"/>
        </w:tabs>
        <w:rPr>
          <w:rFonts w:asciiTheme="minorBidi" w:hAnsiTheme="minorBidi"/>
          <w:sz w:val="20"/>
          <w:szCs w:val="20"/>
        </w:rPr>
      </w:pPr>
    </w:p>
    <w:sectPr w:rsidR="00615399" w:rsidRPr="00635082" w:rsidSect="00615399">
      <w:pgSz w:w="12240" w:h="15840"/>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C81B75"/>
    <w:multiLevelType w:val="hybridMultilevel"/>
    <w:tmpl w:val="C1A45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399"/>
    <w:rsid w:val="00615399"/>
    <w:rsid w:val="00635082"/>
    <w:rsid w:val="00933985"/>
    <w:rsid w:val="00992726"/>
    <w:rsid w:val="00BE4A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2823A5-3922-431C-815F-BD2C06055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50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zeynalov@khazar.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Gasham</dc:creator>
  <cp:keywords/>
  <dc:description/>
  <cp:lastModifiedBy>Gasham</cp:lastModifiedBy>
  <cp:revision>1</cp:revision>
  <dcterms:created xsi:type="dcterms:W3CDTF">2017-05-14T19:18:00Z</dcterms:created>
  <dcterms:modified xsi:type="dcterms:W3CDTF">2017-05-14T19:40:00Z</dcterms:modified>
</cp:coreProperties>
</file>