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63D79D" w14:textId="77777777" w:rsidR="00AE3E37" w:rsidRDefault="00FC6B24" w:rsidP="00494130">
      <w:pPr>
        <w:pStyle w:val="Heading1"/>
        <w:spacing w:before="170"/>
        <w:ind w:left="0"/>
      </w:pPr>
      <w:r>
        <w:rPr>
          <w:color w:val="337AB7"/>
        </w:rPr>
        <w:t>Understanding Worst Case Discharge Through Large Pipe Diameters Using Computational Fluid Dynamics (CFD) Simulations</w:t>
      </w:r>
    </w:p>
    <w:p w14:paraId="2A539DBE" w14:textId="77777777" w:rsidR="00FC6B24" w:rsidRDefault="00FC6B24" w:rsidP="00FC6B24">
      <w:pPr>
        <w:pStyle w:val="BodyText"/>
        <w:ind w:left="101" w:right="5990"/>
        <w:rPr>
          <w:rFonts w:ascii="Arial"/>
        </w:rPr>
      </w:pPr>
      <w:r>
        <w:rPr>
          <w:rFonts w:ascii="Arial"/>
        </w:rPr>
        <w:t>Mayank Tyagi, Louisiana State University</w:t>
      </w:r>
      <w:r w:rsidR="005973B9">
        <w:rPr>
          <w:rFonts w:ascii="Arial"/>
        </w:rPr>
        <w:t xml:space="preserve">, USA </w:t>
      </w:r>
    </w:p>
    <w:p w14:paraId="64D757AA" w14:textId="77777777" w:rsidR="005973B9" w:rsidRDefault="00FC6B24" w:rsidP="00FC6B24">
      <w:pPr>
        <w:pStyle w:val="BodyText"/>
        <w:ind w:left="101" w:right="5990"/>
        <w:rPr>
          <w:rFonts w:ascii="Arial"/>
        </w:rPr>
      </w:pPr>
      <w:r>
        <w:rPr>
          <w:rFonts w:ascii="Arial"/>
        </w:rPr>
        <w:t xml:space="preserve">Muhammad </w:t>
      </w:r>
      <w:proofErr w:type="spellStart"/>
      <w:r>
        <w:rPr>
          <w:rFonts w:ascii="Arial"/>
        </w:rPr>
        <w:t>Zulqarnain</w:t>
      </w:r>
      <w:proofErr w:type="spellEnd"/>
      <w:r>
        <w:rPr>
          <w:rFonts w:ascii="Arial"/>
        </w:rPr>
        <w:t>, Louisiana State University,</w:t>
      </w:r>
      <w:r w:rsidR="005973B9">
        <w:rPr>
          <w:rFonts w:ascii="Arial"/>
        </w:rPr>
        <w:t xml:space="preserve"> USA</w:t>
      </w:r>
    </w:p>
    <w:p w14:paraId="3D39AC84" w14:textId="11318D2C" w:rsidR="00AE3E37" w:rsidRPr="00614CEC" w:rsidRDefault="00FC6B24" w:rsidP="00614CEC">
      <w:pPr>
        <w:pStyle w:val="BodyText"/>
        <w:ind w:left="101" w:right="5990"/>
        <w:rPr>
          <w:rFonts w:ascii="Arial"/>
        </w:rPr>
      </w:pPr>
      <w:r>
        <w:rPr>
          <w:rFonts w:ascii="Arial"/>
        </w:rPr>
        <w:t>Richard G. Hughes, Louisiana State University, USA</w:t>
      </w:r>
    </w:p>
    <w:p w14:paraId="689C238F" w14:textId="77777777" w:rsidR="00AE3E37" w:rsidRDefault="00AE3E37">
      <w:pPr>
        <w:pStyle w:val="BodyText"/>
        <w:spacing w:before="3"/>
        <w:rPr>
          <w:rFonts w:ascii="Arial"/>
          <w:sz w:val="21"/>
        </w:rPr>
      </w:pPr>
    </w:p>
    <w:p w14:paraId="490D1C76"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1709A9D8"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8C5882D" w14:textId="507293A2" w:rsidR="00FC6B24" w:rsidRPr="00C44BC7" w:rsidRDefault="00FC6B24">
      <w:pPr>
        <w:pStyle w:val="Heading3"/>
        <w:spacing w:before="74"/>
        <w:rPr>
          <w:rFonts w:ascii="Tw Cen MT" w:eastAsia="Tw Cen MT" w:hAnsi="Tw Cen MT" w:cs="Tw Cen MT"/>
          <w:b w:val="0"/>
          <w:bCs w:val="0"/>
          <w:sz w:val="18"/>
          <w:szCs w:val="18"/>
        </w:rPr>
      </w:pPr>
      <w:proofErr w:type="spellStart"/>
      <w:r w:rsidRPr="00C44BC7">
        <w:rPr>
          <w:rFonts w:ascii="Tw Cen MT" w:eastAsia="Tw Cen MT" w:hAnsi="Tw Cen MT" w:cs="Tw Cen MT"/>
          <w:b w:val="0"/>
          <w:bCs w:val="0"/>
          <w:sz w:val="18"/>
          <w:szCs w:val="18"/>
        </w:rPr>
        <w:t>Deepwater</w:t>
      </w:r>
      <w:proofErr w:type="spellEnd"/>
      <w:r w:rsidRPr="00C44BC7">
        <w:rPr>
          <w:rFonts w:ascii="Tw Cen MT" w:eastAsia="Tw Cen MT" w:hAnsi="Tw Cen MT" w:cs="Tw Cen MT"/>
          <w:b w:val="0"/>
          <w:bCs w:val="0"/>
          <w:sz w:val="18"/>
          <w:szCs w:val="18"/>
        </w:rPr>
        <w:t xml:space="preserve"> drilling and production operations are extremely challenging due to the environment as well as the complexity of operations. In the aftermath of </w:t>
      </w:r>
      <w:proofErr w:type="spellStart"/>
      <w:r w:rsidRPr="00C44BC7">
        <w:rPr>
          <w:rFonts w:ascii="Tw Cen MT" w:eastAsia="Tw Cen MT" w:hAnsi="Tw Cen MT" w:cs="Tw Cen MT"/>
          <w:b w:val="0"/>
          <w:bCs w:val="0"/>
          <w:sz w:val="18"/>
          <w:szCs w:val="18"/>
        </w:rPr>
        <w:t>Deepwater</w:t>
      </w:r>
      <w:proofErr w:type="spellEnd"/>
      <w:r w:rsidRPr="00C44BC7">
        <w:rPr>
          <w:rFonts w:ascii="Tw Cen MT" w:eastAsia="Tw Cen MT" w:hAnsi="Tw Cen MT" w:cs="Tw Cen MT"/>
          <w:b w:val="0"/>
          <w:bCs w:val="0"/>
          <w:sz w:val="18"/>
          <w:szCs w:val="18"/>
        </w:rPr>
        <w:t xml:space="preserve"> Horizon accident, it became clear that the capping and containment system design as well as environmental risk assessment need a reasonable estimate for the worst case discharge (WCD) flow rates. Almost all the experimental as well as numerical data in the published literature show the glaring gap due to the lack of high flow rate data for multiphase flows through pipes with large diameters (greater than 6-in). A systematic analysis is presented to demonstrate the diminishing role of frictional pressure losses for the oil wells in the blowout scenarios. On the contrary, the importance of estimating liquid hold-up and flow transitions is highlighted in the WCD calculations.</w:t>
      </w:r>
    </w:p>
    <w:p w14:paraId="5960A9DC" w14:textId="5B0D3641" w:rsidR="001E4117" w:rsidRPr="00C44BC7" w:rsidRDefault="00B3729C" w:rsidP="001E4117">
      <w:pPr>
        <w:pStyle w:val="Heading3"/>
        <w:spacing w:before="74"/>
        <w:rPr>
          <w:rFonts w:ascii="Tw Cen MT" w:eastAsia="Tw Cen MT" w:hAnsi="Tw Cen MT" w:cs="Tw Cen MT"/>
          <w:b w:val="0"/>
          <w:bCs w:val="0"/>
          <w:sz w:val="18"/>
          <w:szCs w:val="18"/>
        </w:rPr>
      </w:pPr>
      <w:r w:rsidRPr="00C44BC7">
        <w:rPr>
          <w:rFonts w:ascii="Tw Cen MT" w:eastAsia="Tw Cen MT" w:hAnsi="Tw Cen MT" w:cs="Tw Cen MT"/>
          <w:b w:val="0"/>
          <w:bCs w:val="0"/>
          <w:sz w:val="18"/>
          <w:szCs w:val="18"/>
        </w:rPr>
        <w:tab/>
        <w:t>Computational Fluid Dynamics (CFD) simulations provide a detailed description of complex flow field using the volume-of-fluid (VOF) multiphase closures along with turbulence models to model WCD through large pipes.</w:t>
      </w:r>
      <w:r w:rsidR="00C27104" w:rsidRPr="00C44BC7">
        <w:rPr>
          <w:rFonts w:ascii="Tw Cen MT" w:eastAsia="Tw Cen MT" w:hAnsi="Tw Cen MT" w:cs="Tw Cen MT"/>
          <w:b w:val="0"/>
          <w:bCs w:val="0"/>
          <w:sz w:val="18"/>
          <w:szCs w:val="18"/>
        </w:rPr>
        <w:t xml:space="preserve"> Due to overwhelming computational requirement, only the discharge point section of the wellbore is modeled in CFD calculations.</w:t>
      </w:r>
      <w:r w:rsidRPr="00C44BC7">
        <w:rPr>
          <w:rFonts w:ascii="Tw Cen MT" w:eastAsia="Tw Cen MT" w:hAnsi="Tw Cen MT" w:cs="Tw Cen MT"/>
          <w:b w:val="0"/>
          <w:bCs w:val="0"/>
          <w:sz w:val="18"/>
          <w:szCs w:val="18"/>
        </w:rPr>
        <w:t xml:space="preserve"> It is shown that CFD can </w:t>
      </w:r>
      <w:r w:rsidR="00C27104" w:rsidRPr="00C44BC7">
        <w:rPr>
          <w:rFonts w:ascii="Tw Cen MT" w:eastAsia="Tw Cen MT" w:hAnsi="Tw Cen MT" w:cs="Tw Cen MT"/>
          <w:b w:val="0"/>
          <w:bCs w:val="0"/>
          <w:sz w:val="18"/>
          <w:szCs w:val="18"/>
        </w:rPr>
        <w:t xml:space="preserve">accurately </w:t>
      </w:r>
      <w:r w:rsidRPr="00C44BC7">
        <w:rPr>
          <w:rFonts w:ascii="Tw Cen MT" w:eastAsia="Tw Cen MT" w:hAnsi="Tw Cen MT" w:cs="Tw Cen MT"/>
          <w:b w:val="0"/>
          <w:bCs w:val="0"/>
          <w:sz w:val="18"/>
          <w:szCs w:val="18"/>
        </w:rPr>
        <w:t xml:space="preserve">predict the pressure-loss and therefore, the discharge rate more accurately than existing approaches. </w:t>
      </w:r>
      <w:r w:rsidR="00C27104" w:rsidRPr="00C44BC7">
        <w:rPr>
          <w:rFonts w:ascii="Tw Cen MT" w:eastAsia="Tw Cen MT" w:hAnsi="Tw Cen MT" w:cs="Tw Cen MT"/>
          <w:b w:val="0"/>
          <w:bCs w:val="0"/>
          <w:sz w:val="18"/>
          <w:szCs w:val="18"/>
        </w:rPr>
        <w:t xml:space="preserve">To that end, importance of flowing </w:t>
      </w:r>
      <w:proofErr w:type="spellStart"/>
      <w:r w:rsidR="00C27104" w:rsidRPr="00C44BC7">
        <w:rPr>
          <w:rFonts w:ascii="Tw Cen MT" w:eastAsia="Tw Cen MT" w:hAnsi="Tw Cen MT" w:cs="Tw Cen MT"/>
          <w:b w:val="0"/>
          <w:bCs w:val="0"/>
          <w:sz w:val="18"/>
          <w:szCs w:val="18"/>
        </w:rPr>
        <w:t>bottomhole</w:t>
      </w:r>
      <w:proofErr w:type="spellEnd"/>
      <w:r w:rsidR="00C27104" w:rsidRPr="00C44BC7">
        <w:rPr>
          <w:rFonts w:ascii="Tw Cen MT" w:eastAsia="Tw Cen MT" w:hAnsi="Tw Cen MT" w:cs="Tw Cen MT"/>
          <w:b w:val="0"/>
          <w:bCs w:val="0"/>
          <w:sz w:val="18"/>
          <w:szCs w:val="18"/>
        </w:rPr>
        <w:t xml:space="preserve"> conditions in the wellbore and reservoir fluid properties on such discharge estimates is highlighted. </w:t>
      </w:r>
    </w:p>
    <w:p w14:paraId="7D0615D6" w14:textId="77777777" w:rsidR="00AE3E37" w:rsidRDefault="00A9710C">
      <w:pPr>
        <w:pStyle w:val="Heading3"/>
        <w:spacing w:before="74"/>
      </w:pPr>
      <w:r>
        <w:rPr>
          <w:b w:val="0"/>
        </w:rPr>
        <w:br w:type="column"/>
      </w:r>
      <w:r>
        <w:rPr>
          <w:color w:val="BF5A14"/>
        </w:rPr>
        <w:lastRenderedPageBreak/>
        <w:t>Image</w:t>
      </w:r>
    </w:p>
    <w:tbl>
      <w:tblPr>
        <w:tblStyle w:val="TableGrid"/>
        <w:tblW w:w="3330"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990"/>
        <w:gridCol w:w="1260"/>
      </w:tblGrid>
      <w:tr w:rsidR="003315D5" w14:paraId="2037CEFC" w14:textId="77777777" w:rsidTr="003315D5">
        <w:tc>
          <w:tcPr>
            <w:tcW w:w="1080" w:type="dxa"/>
          </w:tcPr>
          <w:p w14:paraId="381C3DCF" w14:textId="4A36FCE7" w:rsidR="00614CEC" w:rsidRPr="00614CEC" w:rsidRDefault="00614CEC" w:rsidP="00614CEC">
            <w:pPr>
              <w:pStyle w:val="BodyText"/>
              <w:spacing w:before="2"/>
              <w:jc w:val="center"/>
              <w:rPr>
                <w:rFonts w:asciiTheme="minorHAnsi" w:hAnsiTheme="minorHAnsi"/>
                <w:b/>
              </w:rPr>
            </w:pPr>
            <w:r w:rsidRPr="00614CEC">
              <w:rPr>
                <w:rFonts w:asciiTheme="minorHAnsi" w:hAnsiTheme="minorHAnsi"/>
                <w:noProof/>
              </w:rPr>
              <w:drawing>
                <wp:inline distT="0" distB="0" distL="0" distR="0" wp14:anchorId="3A9111B2" wp14:editId="3EE9ED5F">
                  <wp:extent cx="262069" cy="2848583"/>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3866" cy="2868120"/>
                          </a:xfrm>
                          <a:prstGeom prst="rect">
                            <a:avLst/>
                          </a:prstGeom>
                        </pic:spPr>
                      </pic:pic>
                    </a:graphicData>
                  </a:graphic>
                </wp:inline>
              </w:drawing>
            </w:r>
          </w:p>
        </w:tc>
        <w:tc>
          <w:tcPr>
            <w:tcW w:w="990" w:type="dxa"/>
          </w:tcPr>
          <w:p w14:paraId="2E7C12D4" w14:textId="2FE7A2EC" w:rsidR="00614CEC" w:rsidRPr="00614CEC" w:rsidRDefault="00614CEC" w:rsidP="003315D5">
            <w:pPr>
              <w:pStyle w:val="BodyText"/>
              <w:spacing w:before="2"/>
              <w:ind w:left="-378" w:firstLine="378"/>
              <w:jc w:val="center"/>
              <w:rPr>
                <w:rFonts w:asciiTheme="minorHAnsi" w:hAnsiTheme="minorHAnsi"/>
                <w:b/>
              </w:rPr>
            </w:pPr>
            <w:r w:rsidRPr="00614CEC">
              <w:rPr>
                <w:rFonts w:asciiTheme="minorHAnsi" w:hAnsiTheme="minorHAnsi"/>
                <w:noProof/>
              </w:rPr>
              <w:drawing>
                <wp:inline distT="0" distB="0" distL="0" distR="0" wp14:anchorId="6461FE17" wp14:editId="644F9315">
                  <wp:extent cx="262069" cy="2848583"/>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3866" cy="2868120"/>
                          </a:xfrm>
                          <a:prstGeom prst="rect">
                            <a:avLst/>
                          </a:prstGeom>
                        </pic:spPr>
                      </pic:pic>
                    </a:graphicData>
                  </a:graphic>
                </wp:inline>
              </w:drawing>
            </w:r>
          </w:p>
        </w:tc>
        <w:tc>
          <w:tcPr>
            <w:tcW w:w="1260" w:type="dxa"/>
          </w:tcPr>
          <w:p w14:paraId="68EB26AE" w14:textId="6BFCE74F" w:rsidR="00614CEC" w:rsidRPr="00614CEC" w:rsidRDefault="00614CEC" w:rsidP="00614CEC">
            <w:pPr>
              <w:pStyle w:val="BodyText"/>
              <w:spacing w:before="2"/>
              <w:jc w:val="center"/>
              <w:rPr>
                <w:rFonts w:asciiTheme="minorHAnsi" w:hAnsiTheme="minorHAnsi"/>
                <w:b/>
              </w:rPr>
            </w:pPr>
            <w:r w:rsidRPr="00614CEC">
              <w:rPr>
                <w:rFonts w:asciiTheme="minorHAnsi" w:hAnsiTheme="minorHAnsi"/>
                <w:noProof/>
              </w:rPr>
              <w:drawing>
                <wp:inline distT="0" distB="0" distL="0" distR="0" wp14:anchorId="6042C559" wp14:editId="2238EBA0">
                  <wp:extent cx="256373" cy="2848583"/>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7298" cy="2858862"/>
                          </a:xfrm>
                          <a:prstGeom prst="rect">
                            <a:avLst/>
                          </a:prstGeom>
                        </pic:spPr>
                      </pic:pic>
                    </a:graphicData>
                  </a:graphic>
                </wp:inline>
              </w:drawing>
            </w:r>
          </w:p>
        </w:tc>
      </w:tr>
      <w:tr w:rsidR="003315D5" w14:paraId="5D560776" w14:textId="77777777" w:rsidTr="003315D5">
        <w:tc>
          <w:tcPr>
            <w:tcW w:w="3330" w:type="dxa"/>
            <w:gridSpan w:val="3"/>
          </w:tcPr>
          <w:p w14:paraId="366860CA" w14:textId="2750E258" w:rsidR="00614CEC" w:rsidRPr="00614CEC" w:rsidRDefault="00614CEC" w:rsidP="00614CEC">
            <w:pPr>
              <w:pStyle w:val="BodyText"/>
              <w:spacing w:before="2"/>
              <w:jc w:val="center"/>
              <w:rPr>
                <w:rFonts w:asciiTheme="minorHAnsi" w:hAnsiTheme="minorHAnsi"/>
                <w:b/>
              </w:rPr>
            </w:pPr>
            <w:r w:rsidRPr="00614CEC">
              <w:rPr>
                <w:rFonts w:asciiTheme="minorHAnsi" w:hAnsiTheme="minorHAnsi"/>
                <w:noProof/>
              </w:rPr>
              <w:drawing>
                <wp:inline distT="0" distB="0" distL="0" distR="0" wp14:anchorId="65080456" wp14:editId="636D69DB">
                  <wp:extent cx="1755437" cy="197299"/>
                  <wp:effectExtent l="0" t="0" r="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03833" cy="202738"/>
                          </a:xfrm>
                          <a:prstGeom prst="rect">
                            <a:avLst/>
                          </a:prstGeom>
                        </pic:spPr>
                      </pic:pic>
                    </a:graphicData>
                  </a:graphic>
                </wp:inline>
              </w:drawing>
            </w:r>
          </w:p>
        </w:tc>
      </w:tr>
    </w:tbl>
    <w:p w14:paraId="3FDEE715" w14:textId="400E1C4B" w:rsidR="003315D5" w:rsidRPr="003315D5" w:rsidRDefault="003315D5" w:rsidP="005973B9">
      <w:pPr>
        <w:spacing w:line="204" w:lineRule="exact"/>
        <w:rPr>
          <w:rFonts w:ascii="Calibri" w:hAnsi="Calibri"/>
          <w:color w:val="000000" w:themeColor="text1"/>
          <w:sz w:val="18"/>
          <w:szCs w:val="18"/>
        </w:rPr>
      </w:pPr>
      <w:r w:rsidRPr="003315D5">
        <w:rPr>
          <w:rFonts w:ascii="Calibri" w:hAnsi="Calibri"/>
          <w:sz w:val="18"/>
          <w:szCs w:val="18"/>
        </w:rPr>
        <w:t>Figure</w:t>
      </w:r>
      <w:r w:rsidR="001E4117">
        <w:rPr>
          <w:rFonts w:ascii="Calibri" w:hAnsi="Calibri"/>
          <w:sz w:val="18"/>
          <w:szCs w:val="18"/>
        </w:rPr>
        <w:t xml:space="preserve"> 1</w:t>
      </w:r>
      <w:r w:rsidRPr="003315D5">
        <w:rPr>
          <w:rFonts w:ascii="Calibri" w:hAnsi="Calibri"/>
          <w:sz w:val="18"/>
          <w:szCs w:val="18"/>
        </w:rPr>
        <w:t xml:space="preserve">: </w:t>
      </w:r>
      <w:proofErr w:type="spellStart"/>
      <w:r w:rsidRPr="003315D5">
        <w:rPr>
          <w:rFonts w:ascii="Calibri" w:hAnsi="Calibri"/>
          <w:sz w:val="18"/>
          <w:szCs w:val="18"/>
        </w:rPr>
        <w:t>Iso</w:t>
      </w:r>
      <w:proofErr w:type="spellEnd"/>
      <w:r w:rsidRPr="003315D5">
        <w:rPr>
          <w:rFonts w:ascii="Calibri" w:hAnsi="Calibri"/>
          <w:sz w:val="18"/>
          <w:szCs w:val="18"/>
        </w:rPr>
        <w:t>-surface of volume fraction value of 0.9 showing approximate gas structures colored by velocity magnitude for l</w:t>
      </w:r>
      <w:r w:rsidR="00B3729C">
        <w:rPr>
          <w:rFonts w:ascii="Calibri" w:hAnsi="Calibri"/>
          <w:sz w:val="18"/>
          <w:szCs w:val="18"/>
        </w:rPr>
        <w:t>ow slip velocity ratio in different WCD multiphase flow regimes (Bubbly to Churn/Annular).</w:t>
      </w:r>
    </w:p>
    <w:p w14:paraId="7EFBAD09" w14:textId="07EF4B4E" w:rsidR="005973B9" w:rsidRDefault="005973B9" w:rsidP="005973B9">
      <w:pPr>
        <w:spacing w:line="204" w:lineRule="exact"/>
        <w:rPr>
          <w:rFonts w:ascii="Arial"/>
          <w:b/>
          <w:sz w:val="20"/>
        </w:rPr>
      </w:pPr>
      <w:r>
        <w:rPr>
          <w:rFonts w:ascii="Arial"/>
          <w:b/>
          <w:color w:val="BF5A14"/>
          <w:sz w:val="20"/>
        </w:rPr>
        <w:t>Recent Publications (minimum 5)</w:t>
      </w:r>
    </w:p>
    <w:p w14:paraId="7C948EA1" w14:textId="77777777" w:rsidR="00244EDF" w:rsidRDefault="00244EDF" w:rsidP="00244EDF">
      <w:pPr>
        <w:pStyle w:val="Achievement"/>
        <w:numPr>
          <w:ilvl w:val="0"/>
          <w:numId w:val="4"/>
        </w:numPr>
        <w:spacing w:after="0" w:line="240" w:lineRule="auto"/>
        <w:ind w:left="360"/>
        <w:rPr>
          <w:rFonts w:asciiTheme="minorHAnsi" w:hAnsiTheme="minorHAnsi"/>
          <w:sz w:val="18"/>
          <w:szCs w:val="18"/>
        </w:rPr>
      </w:pPr>
      <w:bookmarkStart w:id="0" w:name="_GoBack"/>
      <w:bookmarkEnd w:id="0"/>
      <w:proofErr w:type="spellStart"/>
      <w:r w:rsidRPr="00244EDF">
        <w:rPr>
          <w:rFonts w:asciiTheme="minorHAnsi" w:hAnsiTheme="minorHAnsi"/>
          <w:sz w:val="18"/>
          <w:szCs w:val="18"/>
        </w:rPr>
        <w:t>Waltrich</w:t>
      </w:r>
      <w:proofErr w:type="spellEnd"/>
      <w:r w:rsidRPr="00244EDF">
        <w:rPr>
          <w:rFonts w:asciiTheme="minorHAnsi" w:hAnsiTheme="minorHAnsi"/>
          <w:sz w:val="18"/>
          <w:szCs w:val="18"/>
        </w:rPr>
        <w:t xml:space="preserve">, P.J., Hughes, R.G., Tyagi, M., </w:t>
      </w:r>
      <w:proofErr w:type="spellStart"/>
      <w:r w:rsidRPr="00244EDF">
        <w:rPr>
          <w:rFonts w:asciiTheme="minorHAnsi" w:hAnsiTheme="minorHAnsi"/>
          <w:sz w:val="18"/>
          <w:szCs w:val="18"/>
        </w:rPr>
        <w:t>Kam</w:t>
      </w:r>
      <w:proofErr w:type="spellEnd"/>
      <w:r w:rsidRPr="00244EDF">
        <w:rPr>
          <w:rFonts w:asciiTheme="minorHAnsi" w:hAnsiTheme="minorHAnsi"/>
          <w:sz w:val="18"/>
          <w:szCs w:val="18"/>
        </w:rPr>
        <w:t xml:space="preserve">, S., Williams, W.C., de Sousa, P.C., </w:t>
      </w:r>
      <w:proofErr w:type="spellStart"/>
      <w:r w:rsidRPr="00244EDF">
        <w:rPr>
          <w:rFonts w:asciiTheme="minorHAnsi" w:hAnsiTheme="minorHAnsi"/>
          <w:sz w:val="18"/>
          <w:szCs w:val="18"/>
        </w:rPr>
        <w:t>Zulqarnain</w:t>
      </w:r>
      <w:proofErr w:type="spellEnd"/>
      <w:r w:rsidRPr="00244EDF">
        <w:rPr>
          <w:rFonts w:asciiTheme="minorHAnsi" w:hAnsiTheme="minorHAnsi"/>
          <w:sz w:val="18"/>
          <w:szCs w:val="18"/>
        </w:rPr>
        <w:t xml:space="preserve">, M., Lee, W., </w:t>
      </w:r>
      <w:proofErr w:type="spellStart"/>
      <w:r w:rsidRPr="00244EDF">
        <w:rPr>
          <w:rFonts w:asciiTheme="minorHAnsi" w:hAnsiTheme="minorHAnsi"/>
          <w:sz w:val="18"/>
          <w:szCs w:val="18"/>
        </w:rPr>
        <w:t>Capovilla</w:t>
      </w:r>
      <w:proofErr w:type="spellEnd"/>
      <w:r w:rsidRPr="00244EDF">
        <w:rPr>
          <w:rFonts w:asciiTheme="minorHAnsi" w:hAnsiTheme="minorHAnsi"/>
          <w:sz w:val="18"/>
          <w:szCs w:val="18"/>
        </w:rPr>
        <w:t>, M.S., Experimental Investigation of Two-Phase Flows in Large-Diameter Pipes and Evaluation of Flow Models Applied to Worst-Case-Discharge Calculations, Research Report prepared under BOEM Award M15PC00007, 2016.</w:t>
      </w:r>
    </w:p>
    <w:p w14:paraId="35BA7C50" w14:textId="77777777" w:rsidR="00244EDF" w:rsidRDefault="002A36FC" w:rsidP="00244EDF">
      <w:pPr>
        <w:pStyle w:val="Achievement"/>
        <w:numPr>
          <w:ilvl w:val="0"/>
          <w:numId w:val="4"/>
        </w:numPr>
        <w:spacing w:after="0" w:line="240" w:lineRule="auto"/>
        <w:ind w:left="360"/>
        <w:rPr>
          <w:rFonts w:asciiTheme="minorHAnsi" w:hAnsiTheme="minorHAnsi"/>
          <w:sz w:val="18"/>
          <w:szCs w:val="18"/>
        </w:rPr>
      </w:pPr>
      <w:proofErr w:type="spellStart"/>
      <w:r w:rsidRPr="00244EDF">
        <w:rPr>
          <w:rFonts w:asciiTheme="minorHAnsi" w:eastAsia="Calibri" w:hAnsiTheme="minorHAnsi" w:cs="Calibri"/>
          <w:sz w:val="18"/>
          <w:szCs w:val="18"/>
        </w:rPr>
        <w:t>Zulqarnain</w:t>
      </w:r>
      <w:proofErr w:type="spellEnd"/>
      <w:r w:rsidRPr="00244EDF">
        <w:rPr>
          <w:rFonts w:asciiTheme="minorHAnsi" w:eastAsia="Calibri" w:hAnsiTheme="minorHAnsi" w:cs="Calibri"/>
          <w:sz w:val="18"/>
          <w:szCs w:val="18"/>
        </w:rPr>
        <w:t>, M. (2015). “</w:t>
      </w:r>
      <w:proofErr w:type="spellStart"/>
      <w:r w:rsidRPr="00244EDF">
        <w:rPr>
          <w:rFonts w:asciiTheme="minorHAnsi" w:eastAsia="Calibri" w:hAnsiTheme="minorHAnsi" w:cs="Calibri"/>
          <w:sz w:val="18"/>
          <w:szCs w:val="18"/>
        </w:rPr>
        <w:t>Deepwater</w:t>
      </w:r>
      <w:proofErr w:type="spellEnd"/>
      <w:r w:rsidRPr="00244EDF">
        <w:rPr>
          <w:rFonts w:asciiTheme="minorHAnsi" w:eastAsia="Calibri" w:hAnsiTheme="minorHAnsi" w:cs="Calibri"/>
          <w:sz w:val="18"/>
          <w:szCs w:val="18"/>
        </w:rPr>
        <w:t xml:space="preserve"> Gulf Of Mexico Oil Spill Scenarios Development and Their Associated Risk Assessment”. </w:t>
      </w:r>
      <w:r w:rsidRPr="00244EDF">
        <w:rPr>
          <w:rFonts w:asciiTheme="minorHAnsi" w:eastAsia="Calibri" w:hAnsiTheme="minorHAnsi" w:cs="Calibri"/>
          <w:i/>
          <w:sz w:val="18"/>
          <w:szCs w:val="18"/>
        </w:rPr>
        <w:t>PhD Dissertation</w:t>
      </w:r>
      <w:r w:rsidRPr="00244EDF">
        <w:rPr>
          <w:rFonts w:asciiTheme="minorHAnsi" w:eastAsia="Calibri" w:hAnsiTheme="minorHAnsi" w:cs="Calibri"/>
          <w:sz w:val="18"/>
          <w:szCs w:val="18"/>
        </w:rPr>
        <w:t xml:space="preserve">, Louisiana State University. </w:t>
      </w:r>
    </w:p>
    <w:p w14:paraId="653AD643" w14:textId="77777777" w:rsidR="00244EDF" w:rsidRDefault="00FC6B24" w:rsidP="00244EDF">
      <w:pPr>
        <w:pStyle w:val="Achievement"/>
        <w:numPr>
          <w:ilvl w:val="0"/>
          <w:numId w:val="4"/>
        </w:numPr>
        <w:spacing w:after="0" w:line="240" w:lineRule="auto"/>
        <w:ind w:left="360"/>
        <w:rPr>
          <w:rFonts w:asciiTheme="minorHAnsi" w:hAnsiTheme="minorHAnsi"/>
          <w:sz w:val="18"/>
          <w:szCs w:val="18"/>
        </w:rPr>
      </w:pPr>
      <w:proofErr w:type="spellStart"/>
      <w:r w:rsidRPr="00244EDF">
        <w:rPr>
          <w:rFonts w:asciiTheme="minorHAnsi" w:hAnsiTheme="minorHAnsi"/>
          <w:sz w:val="18"/>
          <w:szCs w:val="18"/>
        </w:rPr>
        <w:t>Zulqarnain</w:t>
      </w:r>
      <w:proofErr w:type="spellEnd"/>
      <w:r w:rsidRPr="00244EDF">
        <w:rPr>
          <w:rFonts w:asciiTheme="minorHAnsi" w:hAnsiTheme="minorHAnsi"/>
          <w:sz w:val="18"/>
          <w:szCs w:val="18"/>
        </w:rPr>
        <w:t xml:space="preserve">, M., Tyagi, M., Development of Simulations Based Correlations to Predict the Cement Volume Fraction in Annular Geometries after Fluid Displacements during Primary Cementing, Journal of Petroleum Science &amp; Engineering, 145, 1-10, 2016. </w:t>
      </w:r>
    </w:p>
    <w:p w14:paraId="0DDF897A" w14:textId="77777777" w:rsidR="00244EDF" w:rsidRPr="00244EDF" w:rsidRDefault="002A36FC" w:rsidP="00244EDF">
      <w:pPr>
        <w:pStyle w:val="Achievement"/>
        <w:numPr>
          <w:ilvl w:val="0"/>
          <w:numId w:val="4"/>
        </w:numPr>
        <w:spacing w:after="0" w:line="240" w:lineRule="auto"/>
        <w:ind w:left="360"/>
        <w:rPr>
          <w:rFonts w:asciiTheme="minorHAnsi" w:hAnsiTheme="minorHAnsi"/>
          <w:sz w:val="18"/>
          <w:szCs w:val="18"/>
        </w:rPr>
      </w:pPr>
      <w:proofErr w:type="spellStart"/>
      <w:r w:rsidRPr="00244EDF">
        <w:rPr>
          <w:rFonts w:asciiTheme="minorHAnsi" w:eastAsia="Calibri" w:hAnsiTheme="minorHAnsi" w:cs="Calibri"/>
          <w:sz w:val="18"/>
          <w:szCs w:val="18"/>
        </w:rPr>
        <w:t>Parsi</w:t>
      </w:r>
      <w:proofErr w:type="spellEnd"/>
      <w:r w:rsidRPr="00244EDF">
        <w:rPr>
          <w:rFonts w:asciiTheme="minorHAnsi" w:eastAsia="Calibri" w:hAnsiTheme="minorHAnsi" w:cs="Calibri"/>
          <w:sz w:val="18"/>
          <w:szCs w:val="18"/>
        </w:rPr>
        <w:t xml:space="preserve">, M., </w:t>
      </w:r>
      <w:proofErr w:type="spellStart"/>
      <w:r w:rsidRPr="00244EDF">
        <w:rPr>
          <w:rFonts w:asciiTheme="minorHAnsi" w:eastAsia="Calibri" w:hAnsiTheme="minorHAnsi" w:cs="Calibri"/>
          <w:sz w:val="18"/>
          <w:szCs w:val="18"/>
        </w:rPr>
        <w:t>Agrawal</w:t>
      </w:r>
      <w:proofErr w:type="spellEnd"/>
      <w:r w:rsidRPr="00244EDF">
        <w:rPr>
          <w:rFonts w:asciiTheme="minorHAnsi" w:eastAsia="Calibri" w:hAnsiTheme="minorHAnsi" w:cs="Calibri"/>
          <w:sz w:val="18"/>
          <w:szCs w:val="18"/>
        </w:rPr>
        <w:t xml:space="preserve">, M., </w:t>
      </w:r>
      <w:proofErr w:type="spellStart"/>
      <w:r w:rsidRPr="00244EDF">
        <w:rPr>
          <w:rFonts w:asciiTheme="minorHAnsi" w:eastAsia="Calibri" w:hAnsiTheme="minorHAnsi" w:cs="Calibri"/>
          <w:sz w:val="18"/>
          <w:szCs w:val="18"/>
        </w:rPr>
        <w:t>Srinivasan</w:t>
      </w:r>
      <w:proofErr w:type="spellEnd"/>
      <w:r w:rsidRPr="00244EDF">
        <w:rPr>
          <w:rFonts w:asciiTheme="minorHAnsi" w:eastAsia="Calibri" w:hAnsiTheme="minorHAnsi" w:cs="Calibri"/>
          <w:sz w:val="18"/>
          <w:szCs w:val="18"/>
        </w:rPr>
        <w:t xml:space="preserve">, V., Vieira, R. E., Torres, C. F., </w:t>
      </w:r>
      <w:proofErr w:type="spellStart"/>
      <w:r w:rsidRPr="00244EDF">
        <w:rPr>
          <w:rFonts w:asciiTheme="minorHAnsi" w:eastAsia="Calibri" w:hAnsiTheme="minorHAnsi" w:cs="Calibri"/>
          <w:sz w:val="18"/>
          <w:szCs w:val="18"/>
        </w:rPr>
        <w:t>McLaury</w:t>
      </w:r>
      <w:proofErr w:type="spellEnd"/>
      <w:r w:rsidRPr="00244EDF">
        <w:rPr>
          <w:rFonts w:asciiTheme="minorHAnsi" w:eastAsia="Calibri" w:hAnsiTheme="minorHAnsi" w:cs="Calibri"/>
          <w:sz w:val="18"/>
          <w:szCs w:val="18"/>
        </w:rPr>
        <w:t xml:space="preserve">, B. S., </w:t>
      </w:r>
      <w:proofErr w:type="spellStart"/>
      <w:r w:rsidRPr="00244EDF">
        <w:rPr>
          <w:rFonts w:asciiTheme="minorHAnsi" w:eastAsia="Calibri" w:hAnsiTheme="minorHAnsi" w:cs="Calibri"/>
          <w:sz w:val="18"/>
          <w:szCs w:val="18"/>
        </w:rPr>
        <w:t>Shirazi</w:t>
      </w:r>
      <w:proofErr w:type="spellEnd"/>
      <w:r w:rsidRPr="00244EDF">
        <w:rPr>
          <w:rFonts w:asciiTheme="minorHAnsi" w:eastAsia="Calibri" w:hAnsiTheme="minorHAnsi" w:cs="Calibri"/>
          <w:sz w:val="18"/>
          <w:szCs w:val="18"/>
        </w:rPr>
        <w:t xml:space="preserve">, S. A., Schleicher, E. </w:t>
      </w:r>
      <w:proofErr w:type="spellStart"/>
      <w:r w:rsidRPr="00244EDF">
        <w:rPr>
          <w:rFonts w:asciiTheme="minorHAnsi" w:eastAsia="Calibri" w:hAnsiTheme="minorHAnsi" w:cs="Calibri"/>
          <w:sz w:val="18"/>
          <w:szCs w:val="18"/>
        </w:rPr>
        <w:t>Hampel</w:t>
      </w:r>
      <w:proofErr w:type="spellEnd"/>
      <w:r w:rsidRPr="00244EDF">
        <w:rPr>
          <w:rFonts w:asciiTheme="minorHAnsi" w:eastAsia="Calibri" w:hAnsiTheme="minorHAnsi" w:cs="Calibri"/>
          <w:sz w:val="18"/>
          <w:szCs w:val="18"/>
        </w:rPr>
        <w:t xml:space="preserve">, U. 2016. Assessment of a hybrid CFD model for simulation of complex vertical upward gas–liquid churn flow, Chemical Engineering Research and Design </w:t>
      </w:r>
      <w:r w:rsidRPr="00244EDF">
        <w:rPr>
          <w:rFonts w:asciiTheme="minorHAnsi" w:eastAsia="Calibri" w:hAnsiTheme="minorHAnsi" w:cs="Calibri"/>
          <w:b/>
          <w:sz w:val="18"/>
          <w:szCs w:val="18"/>
        </w:rPr>
        <w:t>105</w:t>
      </w:r>
      <w:r w:rsidRPr="00244EDF">
        <w:rPr>
          <w:rFonts w:asciiTheme="minorHAnsi" w:eastAsia="Calibri" w:hAnsiTheme="minorHAnsi" w:cs="Calibri"/>
          <w:sz w:val="18"/>
          <w:szCs w:val="18"/>
        </w:rPr>
        <w:t xml:space="preserve">: 71-84. </w:t>
      </w:r>
    </w:p>
    <w:p w14:paraId="1A56B28F" w14:textId="53A9BE2C" w:rsidR="002A36FC" w:rsidRPr="00244EDF" w:rsidRDefault="002A36FC" w:rsidP="00244EDF">
      <w:pPr>
        <w:pStyle w:val="Achievement"/>
        <w:numPr>
          <w:ilvl w:val="0"/>
          <w:numId w:val="4"/>
        </w:numPr>
        <w:spacing w:after="0" w:line="240" w:lineRule="auto"/>
        <w:ind w:left="360"/>
        <w:rPr>
          <w:rFonts w:asciiTheme="minorHAnsi" w:hAnsiTheme="minorHAnsi"/>
          <w:sz w:val="18"/>
          <w:szCs w:val="18"/>
        </w:rPr>
      </w:pPr>
      <w:proofErr w:type="spellStart"/>
      <w:r w:rsidRPr="00244EDF">
        <w:rPr>
          <w:rFonts w:asciiTheme="minorHAnsi" w:eastAsia="Calibri" w:hAnsiTheme="minorHAnsi" w:cs="Calibri"/>
          <w:sz w:val="18"/>
          <w:szCs w:val="18"/>
        </w:rPr>
        <w:t>Zabaras</w:t>
      </w:r>
      <w:proofErr w:type="spellEnd"/>
      <w:r w:rsidRPr="00244EDF">
        <w:rPr>
          <w:rFonts w:asciiTheme="minorHAnsi" w:eastAsia="Calibri" w:hAnsiTheme="minorHAnsi" w:cs="Calibri"/>
          <w:sz w:val="18"/>
          <w:szCs w:val="18"/>
        </w:rPr>
        <w:t xml:space="preserve">, G. </w:t>
      </w:r>
      <w:proofErr w:type="gramStart"/>
      <w:r w:rsidRPr="00244EDF">
        <w:rPr>
          <w:rFonts w:asciiTheme="minorHAnsi" w:eastAsia="Calibri" w:hAnsiTheme="minorHAnsi" w:cs="Calibri"/>
          <w:sz w:val="18"/>
          <w:szCs w:val="18"/>
        </w:rPr>
        <w:t>J ,</w:t>
      </w:r>
      <w:proofErr w:type="gramEnd"/>
      <w:r w:rsidRPr="00244EDF">
        <w:rPr>
          <w:rFonts w:asciiTheme="minorHAnsi" w:eastAsia="Calibri" w:hAnsiTheme="minorHAnsi" w:cs="Calibri"/>
          <w:sz w:val="18"/>
          <w:szCs w:val="18"/>
        </w:rPr>
        <w:t xml:space="preserve"> </w:t>
      </w:r>
      <w:proofErr w:type="spellStart"/>
      <w:r w:rsidRPr="00244EDF">
        <w:rPr>
          <w:rFonts w:asciiTheme="minorHAnsi" w:eastAsia="Calibri" w:hAnsiTheme="minorHAnsi" w:cs="Calibri"/>
          <w:sz w:val="18"/>
          <w:szCs w:val="18"/>
        </w:rPr>
        <w:t>Schoppa</w:t>
      </w:r>
      <w:proofErr w:type="spellEnd"/>
      <w:r w:rsidRPr="00244EDF">
        <w:rPr>
          <w:rFonts w:asciiTheme="minorHAnsi" w:eastAsia="Calibri" w:hAnsiTheme="minorHAnsi" w:cs="Calibri"/>
          <w:sz w:val="18"/>
          <w:szCs w:val="18"/>
        </w:rPr>
        <w:t xml:space="preserve">, W.,., </w:t>
      </w:r>
      <w:proofErr w:type="spellStart"/>
      <w:r w:rsidRPr="00244EDF">
        <w:rPr>
          <w:rFonts w:asciiTheme="minorHAnsi" w:eastAsia="Calibri" w:hAnsiTheme="minorHAnsi" w:cs="Calibri"/>
          <w:sz w:val="18"/>
          <w:szCs w:val="18"/>
        </w:rPr>
        <w:t>Menon</w:t>
      </w:r>
      <w:proofErr w:type="spellEnd"/>
      <w:r w:rsidRPr="00244EDF">
        <w:rPr>
          <w:rFonts w:asciiTheme="minorHAnsi" w:eastAsia="Calibri" w:hAnsiTheme="minorHAnsi" w:cs="Calibri"/>
          <w:sz w:val="18"/>
          <w:szCs w:val="18"/>
        </w:rPr>
        <w:t xml:space="preserve">, R., &amp; Wicks, M.,  2013, May 6. Gaps and Advancements for </w:t>
      </w:r>
      <w:proofErr w:type="spellStart"/>
      <w:r w:rsidRPr="00244EDF">
        <w:rPr>
          <w:rFonts w:asciiTheme="minorHAnsi" w:eastAsia="Calibri" w:hAnsiTheme="minorHAnsi" w:cs="Calibri"/>
          <w:sz w:val="18"/>
          <w:szCs w:val="18"/>
        </w:rPr>
        <w:t>Deepwater</w:t>
      </w:r>
      <w:proofErr w:type="spellEnd"/>
      <w:r w:rsidRPr="00244EDF">
        <w:rPr>
          <w:rFonts w:asciiTheme="minorHAnsi" w:eastAsia="Calibri" w:hAnsiTheme="minorHAnsi" w:cs="Calibri"/>
          <w:sz w:val="18"/>
          <w:szCs w:val="18"/>
        </w:rPr>
        <w:t xml:space="preserve"> Production and Remote Processing: Large Diameter Riser Laboratory Gas-Lift Tests. </w:t>
      </w:r>
      <w:proofErr w:type="gramStart"/>
      <w:r w:rsidR="001E4117" w:rsidRPr="00244EDF">
        <w:rPr>
          <w:rFonts w:asciiTheme="minorHAnsi" w:eastAsia="Calibri" w:hAnsiTheme="minorHAnsi" w:cs="Calibri"/>
          <w:sz w:val="18"/>
          <w:szCs w:val="18"/>
        </w:rPr>
        <w:t>Offshore Technology Conference.</w:t>
      </w:r>
      <w:proofErr w:type="gramEnd"/>
      <w:r w:rsidR="001E4117" w:rsidRPr="00244EDF">
        <w:rPr>
          <w:rFonts w:asciiTheme="minorHAnsi" w:eastAsia="Calibri" w:hAnsiTheme="minorHAnsi" w:cs="Calibri"/>
          <w:sz w:val="18"/>
          <w:szCs w:val="18"/>
        </w:rPr>
        <w:t xml:space="preserve"> </w:t>
      </w:r>
      <w:proofErr w:type="gramStart"/>
      <w:r w:rsidRPr="00244EDF">
        <w:rPr>
          <w:rFonts w:asciiTheme="minorHAnsi" w:eastAsia="Calibri" w:hAnsiTheme="minorHAnsi" w:cs="Calibri"/>
          <w:sz w:val="18"/>
          <w:szCs w:val="18"/>
        </w:rPr>
        <w:t>doi:10.4043</w:t>
      </w:r>
      <w:proofErr w:type="gramEnd"/>
      <w:r w:rsidRPr="00244EDF">
        <w:rPr>
          <w:rFonts w:asciiTheme="minorHAnsi" w:eastAsia="Calibri" w:hAnsiTheme="minorHAnsi" w:cs="Calibri"/>
          <w:sz w:val="18"/>
          <w:szCs w:val="18"/>
        </w:rPr>
        <w:t>/23968-MS.</w:t>
      </w:r>
    </w:p>
    <w:p w14:paraId="4AA4BF9C" w14:textId="0B0CE6DA" w:rsidR="00AE3E37" w:rsidRPr="002A36FC" w:rsidRDefault="008756E6" w:rsidP="002A36FC">
      <w:pPr>
        <w:tabs>
          <w:tab w:val="left" w:pos="384"/>
        </w:tabs>
        <w:ind w:left="634" w:right="117"/>
        <w:rPr>
          <w:rFonts w:asciiTheme="minorHAnsi" w:eastAsia="Calibri" w:hAnsiTheme="minorHAnsi" w:cs="Calibri"/>
          <w:sz w:val="18"/>
          <w:szCs w:val="18"/>
        </w:rPr>
        <w:sectPr w:rsidR="00AE3E37" w:rsidRPr="002A36FC">
          <w:type w:val="continuous"/>
          <w:pgSz w:w="11910" w:h="16840"/>
          <w:pgMar w:top="1740" w:right="600" w:bottom="840" w:left="620" w:header="720" w:footer="720" w:gutter="0"/>
          <w:cols w:num="2" w:space="720" w:equalWidth="0">
            <w:col w:w="5214" w:space="138"/>
            <w:col w:w="5338"/>
          </w:cols>
        </w:sectPr>
      </w:pPr>
      <w:r w:rsidRPr="002A36FC">
        <w:rPr>
          <w:rFonts w:ascii="Calibri" w:hAnsi="Calibri"/>
        </w:rPr>
        <w:t xml:space="preserve"> </w:t>
      </w:r>
    </w:p>
    <w:p w14:paraId="2D578DC7" w14:textId="77777777" w:rsidR="00AE3E37" w:rsidRDefault="00AE3E37">
      <w:pPr>
        <w:pStyle w:val="BodyText"/>
        <w:rPr>
          <w:rFonts w:ascii="Calibri"/>
          <w:sz w:val="20"/>
        </w:rPr>
      </w:pPr>
    </w:p>
    <w:p w14:paraId="12E6D76C"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866ABD1" wp14:editId="35DA233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CE312B1" w14:textId="77777777" w:rsidR="00AE3E37" w:rsidRDefault="00FC6B24" w:rsidP="00404E5B">
      <w:pPr>
        <w:spacing w:before="92"/>
        <w:ind w:right="4234"/>
        <w:rPr>
          <w:rFonts w:ascii="Arial"/>
        </w:rPr>
      </w:pPr>
      <w:r>
        <w:rPr>
          <w:noProof/>
        </w:rPr>
        <w:lastRenderedPageBreak/>
        <w:t xml:space="preserve">    </w:t>
      </w:r>
      <w:r w:rsidR="008756E6">
        <w:rPr>
          <w:noProof/>
        </w:rPr>
        <w:t xml:space="preserve"> </w:t>
      </w:r>
      <w:r>
        <w:rPr>
          <w:noProof/>
        </w:rPr>
        <w:drawing>
          <wp:inline distT="0" distB="0" distL="0" distR="0" wp14:anchorId="0C85572A" wp14:editId="726D8E7E">
            <wp:extent cx="609634" cy="914224"/>
            <wp:effectExtent l="0" t="0" r="0" b="635"/>
            <wp:docPr id="2" name="Picture 2" descr="Macintosh HD:Users:mayank:Desktop:clutter 04022015:Mayank Tya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yank:Desktop:clutter 04022015:Mayank Tyagi.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19720" t="4635" r="21331" b="29083"/>
                    <a:stretch/>
                  </pic:blipFill>
                  <pic:spPr bwMode="auto">
                    <a:xfrm>
                      <a:off x="0" y="0"/>
                      <a:ext cx="610329" cy="915267"/>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14:paraId="6E50DC93" w14:textId="77777777" w:rsidR="00AE3E37" w:rsidRDefault="00FC6B24" w:rsidP="00FC6B24">
      <w:pPr>
        <w:spacing w:before="41" w:line="154" w:lineRule="exact"/>
        <w:ind w:left="213" w:right="231"/>
        <w:jc w:val="both"/>
        <w:rPr>
          <w:rFonts w:ascii="Arial"/>
          <w:sz w:val="14"/>
        </w:rPr>
      </w:pPr>
      <w:r w:rsidRPr="00FC6B24">
        <w:rPr>
          <w:rFonts w:ascii="Arial"/>
          <w:sz w:val="14"/>
        </w:rPr>
        <w:t xml:space="preserve">Prof. Mayank Tyagi is Chevron #3 designated associate professor at the Craft &amp; Hawkins department of petroleum engineering, Louisiana State University (LSU). He also holds a joint faculty appointment at the Center for Computation &amp; Technology (CCT), LSU since 2007. He obtained his Ph.D. in mechanical engineering from LSU and undergraduate in mechanical engineering from Indian Institute of Technology (IIT), Kanpur. His current research interests span across high performance computing (HPC) and data analytics for interdisciplinary petroleum engineering applications, image-based pore-scale modeling using lattice Boltzmann method (LBM), </w:t>
      </w:r>
      <w:proofErr w:type="spellStart"/>
      <w:r w:rsidRPr="00FC6B24">
        <w:rPr>
          <w:rFonts w:ascii="Arial"/>
          <w:sz w:val="14"/>
        </w:rPr>
        <w:t>multiscale</w:t>
      </w:r>
      <w:proofErr w:type="spellEnd"/>
      <w:r w:rsidRPr="00FC6B24">
        <w:rPr>
          <w:rFonts w:ascii="Arial"/>
          <w:sz w:val="14"/>
        </w:rPr>
        <w:t xml:space="preserve"> multiphase computational fluid dynamics (CFD), geothermal reservoir engineering, and unconventional reservoir simulations. He has also worked on the issues in the quantitative risk assessment (QRA) of offshore petroleum engineering operations and their impacts on regional economy. He has given numerous invited talks at India, China, and several US universities and published over </w:t>
      </w:r>
      <w:proofErr w:type="gramStart"/>
      <w:r w:rsidRPr="00FC6B24">
        <w:rPr>
          <w:rFonts w:ascii="Arial"/>
          <w:sz w:val="14"/>
        </w:rPr>
        <w:t>forty (40)</w:t>
      </w:r>
      <w:proofErr w:type="gramEnd"/>
      <w:r w:rsidRPr="00FC6B24">
        <w:rPr>
          <w:rFonts w:ascii="Arial"/>
          <w:sz w:val="14"/>
        </w:rPr>
        <w:t xml:space="preserve"> peer-reviewed technical publications</w:t>
      </w:r>
      <w:r>
        <w:rPr>
          <w:rFonts w:ascii="Arial"/>
          <w:sz w:val="14"/>
        </w:rPr>
        <w:t>.</w:t>
      </w:r>
    </w:p>
    <w:p w14:paraId="2F2AF029" w14:textId="77777777" w:rsidR="00AE3E37" w:rsidRDefault="00A9710C">
      <w:pPr>
        <w:spacing w:before="62"/>
        <w:ind w:left="4217" w:right="4235"/>
        <w:jc w:val="center"/>
        <w:rPr>
          <w:rFonts w:ascii="Arial"/>
          <w:sz w:val="14"/>
        </w:rPr>
      </w:pPr>
      <w:r>
        <w:rPr>
          <w:rFonts w:ascii="Arial"/>
          <w:sz w:val="14"/>
        </w:rPr>
        <w:t xml:space="preserve">Email: </w:t>
      </w:r>
      <w:r w:rsidR="00FC6B24">
        <w:rPr>
          <w:rFonts w:ascii="Arial"/>
          <w:sz w:val="14"/>
        </w:rPr>
        <w:t>mtyagi@lsu.edu</w:t>
      </w:r>
    </w:p>
    <w:p w14:paraId="1D4C1902" w14:textId="77777777" w:rsidR="00AE3E37" w:rsidRPr="00FC6B24" w:rsidRDefault="00292ED9" w:rsidP="00FC6B24">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000665D" wp14:editId="5A6401E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B68197A" w14:textId="77777777" w:rsidR="00AE3E37" w:rsidRPr="00B21A57" w:rsidRDefault="00A9710C">
      <w:pPr>
        <w:spacing w:before="39"/>
        <w:ind w:left="100"/>
        <w:rPr>
          <w:rFonts w:ascii="Minion Pro"/>
          <w:b/>
          <w:sz w:val="20"/>
        </w:rPr>
      </w:pPr>
      <w:r w:rsidRPr="00B21A57">
        <w:rPr>
          <w:rFonts w:ascii="Minion Pro"/>
          <w:b/>
          <w:sz w:val="20"/>
        </w:rPr>
        <w:t>Notes/Comments:</w:t>
      </w:r>
    </w:p>
    <w:p w14:paraId="33A6163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5AE2A7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D3329B" w14:textId="77777777" w:rsidR="00C44BC7" w:rsidRDefault="00C44BC7">
      <w:r>
        <w:separator/>
      </w:r>
    </w:p>
  </w:endnote>
  <w:endnote w:type="continuationSeparator" w:id="0">
    <w:p w14:paraId="60954684" w14:textId="77777777" w:rsidR="00C44BC7" w:rsidRDefault="00C44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Garamond">
    <w:panose1 w:val="02020404030301010803"/>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170A57" w14:textId="77777777" w:rsidR="00C44BC7" w:rsidRDefault="00C44BC7">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2EDCD2F" wp14:editId="77E52F2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5F63A" w14:textId="77777777" w:rsidR="00C44BC7" w:rsidRPr="005B3A56" w:rsidRDefault="00C44BC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3416D7" w14:textId="77777777" w:rsidR="00C44BC7" w:rsidRPr="005B3A56" w:rsidRDefault="00C44BC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7735F63A" w14:textId="77777777" w:rsidR="00C44BC7" w:rsidRPr="005B3A56" w:rsidRDefault="00C44BC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3416D7" w14:textId="77777777" w:rsidR="00C44BC7" w:rsidRPr="005B3A56" w:rsidRDefault="00C44BC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E4EFC62" wp14:editId="273506E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CFFDD" w14:textId="77777777" w:rsidR="00C44BC7" w:rsidRPr="005B3A56" w:rsidRDefault="00C44BC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F0BC51" w14:textId="77777777" w:rsidR="00C44BC7" w:rsidRPr="005B3A56" w:rsidRDefault="00C44BC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7EFCFFDD" w14:textId="77777777" w:rsidR="00C44BC7" w:rsidRPr="005B3A56" w:rsidRDefault="00C44BC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F0BC51" w14:textId="77777777" w:rsidR="00C44BC7" w:rsidRPr="005B3A56" w:rsidRDefault="00C44BC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856BAD0" wp14:editId="724990C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3F64F" w14:textId="77777777" w:rsidR="00C44BC7" w:rsidRPr="005B3A56" w:rsidRDefault="00C44BC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30CE0D5" w14:textId="77777777" w:rsidR="00C44BC7" w:rsidRPr="005B3A56" w:rsidRDefault="00C44BC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003F64F" w14:textId="77777777" w:rsidR="00C44BC7" w:rsidRPr="005B3A56" w:rsidRDefault="00C44BC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30CE0D5" w14:textId="77777777" w:rsidR="00C44BC7" w:rsidRPr="005B3A56" w:rsidRDefault="00C44BC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A91DEF" w14:textId="77777777" w:rsidR="00C44BC7" w:rsidRDefault="00C44BC7">
      <w:r>
        <w:separator/>
      </w:r>
    </w:p>
  </w:footnote>
  <w:footnote w:type="continuationSeparator" w:id="0">
    <w:p w14:paraId="05DC8DFB" w14:textId="77777777" w:rsidR="00C44BC7" w:rsidRDefault="00C44BC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C742A4" w14:textId="77777777" w:rsidR="00C44BC7" w:rsidRDefault="00C44BC7">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77C199E" wp14:editId="4EEFA6B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52779" w14:textId="77777777" w:rsidR="00C44BC7" w:rsidRPr="005B3A56" w:rsidRDefault="00C44BC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0B452779" w14:textId="77777777" w:rsidR="00C44BC7" w:rsidRPr="005B3A56" w:rsidRDefault="00C44BC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ADC0FBA" wp14:editId="47542A7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4D683" w14:textId="77777777" w:rsidR="00C44BC7" w:rsidRPr="005B3A56" w:rsidRDefault="00C44BC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F6263F" w14:textId="77777777" w:rsidR="00C44BC7" w:rsidRPr="005B3A56" w:rsidRDefault="00C44BC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B94D683" w14:textId="77777777" w:rsidR="00C44BC7" w:rsidRPr="005B3A56" w:rsidRDefault="00C44BC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F6263F" w14:textId="77777777" w:rsidR="00C44BC7" w:rsidRPr="005B3A56" w:rsidRDefault="00C44BC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06809FB"/>
    <w:multiLevelType w:val="hybridMultilevel"/>
    <w:tmpl w:val="2C4CBC92"/>
    <w:lvl w:ilvl="0" w:tplc="357AEFB2">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E6E177F"/>
    <w:multiLevelType w:val="hybridMultilevel"/>
    <w:tmpl w:val="2C4CBC92"/>
    <w:lvl w:ilvl="0" w:tplc="357AEFB2">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4117"/>
    <w:rsid w:val="00244EDF"/>
    <w:rsid w:val="002455EC"/>
    <w:rsid w:val="00292ED9"/>
    <w:rsid w:val="002A36FC"/>
    <w:rsid w:val="003315D5"/>
    <w:rsid w:val="00404E5B"/>
    <w:rsid w:val="00414F7B"/>
    <w:rsid w:val="004355DC"/>
    <w:rsid w:val="004749B4"/>
    <w:rsid w:val="00494130"/>
    <w:rsid w:val="004F3523"/>
    <w:rsid w:val="005973B9"/>
    <w:rsid w:val="005B3A56"/>
    <w:rsid w:val="006060CE"/>
    <w:rsid w:val="00614CEC"/>
    <w:rsid w:val="0063497F"/>
    <w:rsid w:val="00873DF0"/>
    <w:rsid w:val="008756E6"/>
    <w:rsid w:val="008A08B6"/>
    <w:rsid w:val="009B2D44"/>
    <w:rsid w:val="00A07E82"/>
    <w:rsid w:val="00A9710C"/>
    <w:rsid w:val="00AE3E37"/>
    <w:rsid w:val="00B21A57"/>
    <w:rsid w:val="00B3729C"/>
    <w:rsid w:val="00C27104"/>
    <w:rsid w:val="00C33602"/>
    <w:rsid w:val="00C44BC7"/>
    <w:rsid w:val="00CD6F55"/>
    <w:rsid w:val="00DE3104"/>
    <w:rsid w:val="00DE3243"/>
    <w:rsid w:val="00E26B10"/>
    <w:rsid w:val="00F72EEA"/>
    <w:rsid w:val="00F84CAE"/>
    <w:rsid w:val="00FC55FC"/>
    <w:rsid w:val="00FC6B2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394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chievement">
    <w:name w:val="Achievement"/>
    <w:basedOn w:val="BodyText"/>
    <w:rsid w:val="00FC6B24"/>
    <w:pPr>
      <w:widowControl/>
      <w:spacing w:after="60" w:line="240" w:lineRule="atLeast"/>
      <w:ind w:left="240" w:hanging="240"/>
      <w:jc w:val="both"/>
    </w:pPr>
    <w:rPr>
      <w:rFonts w:ascii="Garamond" w:eastAsia="Times New Roman" w:hAnsi="Garamond" w:cs="Times New Roman"/>
      <w:sz w:val="22"/>
      <w:szCs w:val="22"/>
    </w:rPr>
  </w:style>
  <w:style w:type="table" w:styleId="TableGrid">
    <w:name w:val="Table Grid"/>
    <w:basedOn w:val="TableNormal"/>
    <w:uiPriority w:val="59"/>
    <w:rsid w:val="00614C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C27104"/>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chievement">
    <w:name w:val="Achievement"/>
    <w:basedOn w:val="BodyText"/>
    <w:rsid w:val="00FC6B24"/>
    <w:pPr>
      <w:widowControl/>
      <w:spacing w:after="60" w:line="240" w:lineRule="atLeast"/>
      <w:ind w:left="240" w:hanging="240"/>
      <w:jc w:val="both"/>
    </w:pPr>
    <w:rPr>
      <w:rFonts w:ascii="Garamond" w:eastAsia="Times New Roman" w:hAnsi="Garamond" w:cs="Times New Roman"/>
      <w:sz w:val="22"/>
      <w:szCs w:val="22"/>
    </w:rPr>
  </w:style>
  <w:style w:type="table" w:styleId="TableGrid">
    <w:name w:val="Table Grid"/>
    <w:basedOn w:val="TableNormal"/>
    <w:uiPriority w:val="59"/>
    <w:rsid w:val="00614C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C2710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jpe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667</Words>
  <Characters>3807</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Mayank Tyagi</cp:lastModifiedBy>
  <cp:revision>9</cp:revision>
  <dcterms:created xsi:type="dcterms:W3CDTF">2016-12-06T11:19:00Z</dcterms:created>
  <dcterms:modified xsi:type="dcterms:W3CDTF">2017-04-05T15:28:00Z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