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76803" w:rsidRDefault="00F76803" w:rsidP="00F76803">
      <w:pPr>
        <w:tabs>
          <w:tab w:val="left" w:pos="1260"/>
          <w:tab w:val="left" w:pos="9990"/>
        </w:tabs>
        <w:spacing w:after="161" w:line="257" w:lineRule="auto"/>
        <w:ind w:left="-270" w:right="97" w:firstLine="0"/>
        <w:jc w:val="left"/>
        <w:rPr>
          <w:rFonts w:asciiTheme="majorBidi" w:hAnsiTheme="majorBidi" w:cstheme="majorBidi"/>
          <w:b/>
          <w:szCs w:val="40"/>
        </w:rPr>
      </w:pPr>
      <w:r>
        <w:rPr>
          <w:rFonts w:asciiTheme="majorBidi" w:hAnsiTheme="majorBidi" w:cstheme="majorBidi"/>
          <w:b/>
          <w:noProof/>
          <w:szCs w:val="40"/>
        </w:rPr>
        <w:drawing>
          <wp:anchor distT="0" distB="0" distL="114300" distR="114300" simplePos="0" relativeHeight="251663360" behindDoc="0" locked="0" layoutInCell="1" allowOverlap="1">
            <wp:simplePos x="0" y="0"/>
            <wp:positionH relativeFrom="margin">
              <wp:posOffset>-324853</wp:posOffset>
            </wp:positionH>
            <wp:positionV relativeFrom="paragraph">
              <wp:posOffset>-21557</wp:posOffset>
            </wp:positionV>
            <wp:extent cx="866274" cy="111226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a:extLst>
                        <a:ext uri="{28A0092B-C50C-407E-A947-70E740481C1C}">
                          <a14:useLocalDpi xmlns:a14="http://schemas.microsoft.com/office/drawing/2010/main" val="0"/>
                        </a:ext>
                      </a:extLst>
                    </a:blip>
                    <a:stretch>
                      <a:fillRect/>
                    </a:stretch>
                  </pic:blipFill>
                  <pic:spPr>
                    <a:xfrm>
                      <a:off x="0" y="0"/>
                      <a:ext cx="866274" cy="1112268"/>
                    </a:xfrm>
                    <a:prstGeom prst="rect">
                      <a:avLst/>
                    </a:prstGeom>
                  </pic:spPr>
                </pic:pic>
              </a:graphicData>
            </a:graphic>
            <wp14:sizeRelH relativeFrom="margin">
              <wp14:pctWidth>0</wp14:pctWidth>
            </wp14:sizeRelH>
            <wp14:sizeRelV relativeFrom="margin">
              <wp14:pctHeight>0</wp14:pctHeight>
            </wp14:sizeRelV>
          </wp:anchor>
        </w:drawing>
      </w:r>
      <w:r>
        <w:rPr>
          <w:rFonts w:asciiTheme="majorBidi" w:hAnsiTheme="majorBidi" w:cstheme="majorBidi"/>
          <w:b/>
          <w:noProof/>
          <w:szCs w:val="40"/>
        </w:rPr>
        <w:drawing>
          <wp:anchor distT="0" distB="0" distL="114300" distR="114300" simplePos="0" relativeHeight="251662336" behindDoc="0" locked="0" layoutInCell="1" allowOverlap="1">
            <wp:simplePos x="0" y="0"/>
            <wp:positionH relativeFrom="margin">
              <wp:posOffset>3976871</wp:posOffset>
            </wp:positionH>
            <wp:positionV relativeFrom="paragraph">
              <wp:posOffset>-20955</wp:posOffset>
            </wp:positionV>
            <wp:extent cx="2300644" cy="1106906"/>
            <wp:effectExtent l="0" t="0" r="444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i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00644" cy="1106906"/>
                    </a:xfrm>
                    <a:prstGeom prst="rect">
                      <a:avLst/>
                    </a:prstGeom>
                  </pic:spPr>
                </pic:pic>
              </a:graphicData>
            </a:graphic>
            <wp14:sizeRelH relativeFrom="margin">
              <wp14:pctWidth>0</wp14:pctWidth>
            </wp14:sizeRelH>
            <wp14:sizeRelV relativeFrom="margin">
              <wp14:pctHeight>0</wp14:pctHeight>
            </wp14:sizeRelV>
          </wp:anchor>
        </w:drawing>
      </w:r>
    </w:p>
    <w:p w:rsidR="00F76803" w:rsidRDefault="00F76803" w:rsidP="00F76803">
      <w:pPr>
        <w:tabs>
          <w:tab w:val="left" w:pos="1260"/>
          <w:tab w:val="left" w:pos="9990"/>
          <w:tab w:val="right" w:pos="10537"/>
        </w:tabs>
        <w:bidi/>
        <w:spacing w:after="161" w:line="257" w:lineRule="auto"/>
        <w:ind w:left="-270" w:right="97" w:firstLine="0"/>
        <w:jc w:val="center"/>
        <w:rPr>
          <w:rFonts w:asciiTheme="majorBidi" w:hAnsiTheme="majorBidi" w:cstheme="majorBidi"/>
          <w:b/>
          <w:szCs w:val="40"/>
        </w:rPr>
      </w:pPr>
    </w:p>
    <w:p w:rsidR="00F76803" w:rsidRDefault="00F76803" w:rsidP="00F76803">
      <w:pPr>
        <w:tabs>
          <w:tab w:val="left" w:pos="1260"/>
          <w:tab w:val="left" w:pos="9990"/>
          <w:tab w:val="right" w:pos="10537"/>
        </w:tabs>
        <w:bidi/>
        <w:spacing w:after="161" w:line="257" w:lineRule="auto"/>
        <w:ind w:left="-270" w:right="97" w:firstLine="0"/>
        <w:jc w:val="center"/>
        <w:rPr>
          <w:rFonts w:asciiTheme="majorBidi" w:hAnsiTheme="majorBidi" w:cstheme="majorBidi"/>
          <w:b/>
          <w:szCs w:val="40"/>
        </w:rPr>
      </w:pPr>
    </w:p>
    <w:p w:rsidR="00F76803" w:rsidRDefault="00C572D8" w:rsidP="00F76803">
      <w:pPr>
        <w:tabs>
          <w:tab w:val="left" w:pos="1260"/>
          <w:tab w:val="left" w:pos="9990"/>
          <w:tab w:val="right" w:pos="10537"/>
        </w:tabs>
        <w:bidi/>
        <w:spacing w:after="161" w:line="257" w:lineRule="auto"/>
        <w:ind w:left="-270" w:right="97" w:firstLine="0"/>
        <w:jc w:val="center"/>
        <w:rPr>
          <w:rFonts w:asciiTheme="majorBidi" w:hAnsiTheme="majorBidi" w:cstheme="majorBidi"/>
          <w:b/>
          <w:szCs w:val="40"/>
        </w:rPr>
      </w:pPr>
      <w:r w:rsidRPr="00443E68">
        <w:rPr>
          <w:rFonts w:asciiTheme="majorBidi" w:hAnsiTheme="majorBidi" w:cstheme="majorBidi"/>
          <w:b/>
          <w:szCs w:val="40"/>
        </w:rPr>
        <w:t>Oil potentiality of kharita</w:t>
      </w:r>
    </w:p>
    <w:p w:rsidR="00ED4F44" w:rsidRDefault="00C572D8" w:rsidP="00F76803">
      <w:pPr>
        <w:tabs>
          <w:tab w:val="left" w:pos="1260"/>
          <w:tab w:val="left" w:pos="9990"/>
          <w:tab w:val="right" w:pos="10537"/>
        </w:tabs>
        <w:bidi/>
        <w:spacing w:after="161" w:line="257" w:lineRule="auto"/>
        <w:ind w:left="-270" w:right="97" w:firstLine="0"/>
        <w:jc w:val="center"/>
        <w:rPr>
          <w:rFonts w:asciiTheme="majorBidi" w:hAnsiTheme="majorBidi" w:cstheme="majorBidi"/>
          <w:b/>
          <w:szCs w:val="40"/>
        </w:rPr>
      </w:pPr>
      <w:r w:rsidRPr="00443E68">
        <w:rPr>
          <w:rFonts w:asciiTheme="majorBidi" w:hAnsiTheme="majorBidi" w:cstheme="majorBidi"/>
          <w:b/>
          <w:szCs w:val="40"/>
        </w:rPr>
        <w:t>Formation in western desert</w:t>
      </w:r>
    </w:p>
    <w:p w:rsidR="00F76803" w:rsidRDefault="00F76803" w:rsidP="00F76803">
      <w:pPr>
        <w:tabs>
          <w:tab w:val="left" w:pos="1260"/>
          <w:tab w:val="left" w:pos="9990"/>
          <w:tab w:val="right" w:pos="10537"/>
        </w:tabs>
        <w:bidi/>
        <w:spacing w:after="161" w:line="257" w:lineRule="auto"/>
        <w:ind w:left="-270" w:right="97" w:firstLine="0"/>
        <w:jc w:val="center"/>
        <w:rPr>
          <w:rFonts w:asciiTheme="majorBidi" w:hAnsiTheme="majorBidi" w:cstheme="majorBidi"/>
          <w:b/>
          <w:szCs w:val="40"/>
        </w:rPr>
      </w:pPr>
    </w:p>
    <w:p w:rsidR="00164C76" w:rsidRDefault="00ED4F44" w:rsidP="00F76803">
      <w:pPr>
        <w:tabs>
          <w:tab w:val="left" w:pos="1260"/>
          <w:tab w:val="left" w:pos="9990"/>
        </w:tabs>
        <w:spacing w:after="155" w:line="259" w:lineRule="auto"/>
        <w:ind w:left="-270" w:right="97" w:firstLine="0"/>
        <w:jc w:val="center"/>
        <w:rPr>
          <w:rFonts w:asciiTheme="majorBidi" w:hAnsiTheme="majorBidi" w:cstheme="majorBidi"/>
          <w:b/>
          <w:szCs w:val="40"/>
        </w:rPr>
      </w:pPr>
      <w:r>
        <w:rPr>
          <w:rFonts w:asciiTheme="majorBidi" w:hAnsiTheme="majorBidi" w:cstheme="majorBidi"/>
          <w:b/>
          <w:szCs w:val="40"/>
        </w:rPr>
        <w:t>Dr/ Ahmed Sadeq</w:t>
      </w:r>
    </w:p>
    <w:p w:rsidR="00ED4F44" w:rsidRPr="00F76803" w:rsidRDefault="00ED4F44" w:rsidP="00F76803">
      <w:pPr>
        <w:tabs>
          <w:tab w:val="left" w:pos="1260"/>
          <w:tab w:val="left" w:pos="9990"/>
        </w:tabs>
        <w:spacing w:after="155" w:line="259" w:lineRule="auto"/>
        <w:ind w:left="-270" w:right="97" w:firstLine="0"/>
        <w:jc w:val="center"/>
        <w:rPr>
          <w:rFonts w:asciiTheme="majorBidi" w:hAnsiTheme="majorBidi" w:cstheme="majorBidi"/>
          <w:b/>
          <w:szCs w:val="40"/>
        </w:rPr>
      </w:pPr>
      <w:r>
        <w:rPr>
          <w:rFonts w:asciiTheme="majorBidi" w:hAnsiTheme="majorBidi" w:cstheme="majorBidi"/>
          <w:b/>
          <w:szCs w:val="40"/>
        </w:rPr>
        <w:t>Team: Ahmed Abdelrazeq Ali, Abdullah elsayed abdelsalam, Saeid Mahmoud,</w:t>
      </w:r>
      <w:r w:rsidRPr="00ED4F44">
        <w:rPr>
          <w:rFonts w:asciiTheme="majorBidi" w:hAnsiTheme="majorBidi" w:cstheme="majorBidi"/>
          <w:b/>
          <w:szCs w:val="40"/>
        </w:rPr>
        <w:t xml:space="preserve"> </w:t>
      </w:r>
      <w:r w:rsidR="00F76803">
        <w:rPr>
          <w:rFonts w:asciiTheme="majorBidi" w:hAnsiTheme="majorBidi" w:cstheme="majorBidi"/>
          <w:b/>
          <w:szCs w:val="40"/>
        </w:rPr>
        <w:t>Aly Ehab ghorab, Mahmoud nomer.</w:t>
      </w:r>
    </w:p>
    <w:p w:rsidR="00164C76" w:rsidRPr="00443E68" w:rsidRDefault="00C572D8" w:rsidP="00F76803">
      <w:pPr>
        <w:pStyle w:val="Heading1"/>
        <w:tabs>
          <w:tab w:val="left" w:pos="1260"/>
          <w:tab w:val="left" w:pos="9990"/>
        </w:tabs>
        <w:spacing w:after="76"/>
        <w:ind w:left="-270" w:right="97" w:firstLine="0"/>
        <w:rPr>
          <w:rFonts w:asciiTheme="majorBidi" w:hAnsiTheme="majorBidi" w:cstheme="majorBidi"/>
          <w:sz w:val="40"/>
          <w:szCs w:val="40"/>
        </w:rPr>
      </w:pPr>
      <w:r w:rsidRPr="00443E68">
        <w:rPr>
          <w:rFonts w:asciiTheme="majorBidi" w:hAnsiTheme="majorBidi" w:cstheme="majorBidi"/>
          <w:sz w:val="40"/>
          <w:szCs w:val="40"/>
        </w:rPr>
        <w:t xml:space="preserve">Abstract </w:t>
      </w:r>
    </w:p>
    <w:p w:rsidR="00164C76" w:rsidRPr="00443E68" w:rsidRDefault="00C572D8" w:rsidP="00F76803">
      <w:pPr>
        <w:tabs>
          <w:tab w:val="left" w:pos="1260"/>
          <w:tab w:val="left" w:pos="9990"/>
        </w:tabs>
        <w:ind w:left="-270" w:right="97" w:firstLine="0"/>
        <w:rPr>
          <w:rFonts w:asciiTheme="majorBidi" w:hAnsiTheme="majorBidi" w:cstheme="majorBidi"/>
          <w:szCs w:val="40"/>
        </w:rPr>
      </w:pPr>
      <w:r w:rsidRPr="00443E68">
        <w:rPr>
          <w:rFonts w:asciiTheme="majorBidi" w:hAnsiTheme="majorBidi" w:cstheme="majorBidi"/>
          <w:szCs w:val="40"/>
        </w:rPr>
        <w:t xml:space="preserve">The oil potentiality of Kharita Fm in western desert vary from place to place, Can be Reservoir and source rock, Usually High quality of sand, But the risk in (OWC) oil water contact that Kharita may filled by water under. Therefore, it depend on Burial history and Oil window, after research, Kharita play as a source before oil window or as a reservoir marginally mature in early stage of maturation. In addition, we found gas prone potentially discussed in this research. </w:t>
      </w:r>
    </w:p>
    <w:p w:rsidR="00164C76" w:rsidRPr="00443E68" w:rsidRDefault="00C572D8" w:rsidP="00F76803">
      <w:pPr>
        <w:tabs>
          <w:tab w:val="left" w:pos="1260"/>
          <w:tab w:val="left" w:pos="9990"/>
        </w:tabs>
        <w:spacing w:after="255"/>
        <w:ind w:left="-270" w:right="97" w:firstLine="0"/>
        <w:rPr>
          <w:rFonts w:asciiTheme="majorBidi" w:hAnsiTheme="majorBidi" w:cstheme="majorBidi"/>
          <w:szCs w:val="40"/>
        </w:rPr>
      </w:pPr>
      <w:r w:rsidRPr="00443E68">
        <w:rPr>
          <w:rFonts w:asciiTheme="majorBidi" w:hAnsiTheme="majorBidi" w:cstheme="majorBidi"/>
          <w:szCs w:val="40"/>
        </w:rPr>
        <w:t>We provide different areas with different</w:t>
      </w:r>
      <w:r w:rsidR="00ED4F44">
        <w:rPr>
          <w:rFonts w:asciiTheme="majorBidi" w:hAnsiTheme="majorBidi" w:cstheme="majorBidi"/>
          <w:szCs w:val="40"/>
        </w:rPr>
        <w:t xml:space="preserve"> Hydrocarbon potentiality to be </w:t>
      </w:r>
      <w:r w:rsidRPr="00443E68">
        <w:rPr>
          <w:rFonts w:asciiTheme="majorBidi" w:hAnsiTheme="majorBidi" w:cstheme="majorBidi"/>
          <w:szCs w:val="40"/>
        </w:rPr>
        <w:t xml:space="preserve">discussed and to make sure about the important of using different tools and methods to evaluate the potentiality of a formation. </w:t>
      </w:r>
    </w:p>
    <w:p w:rsidR="00164C76" w:rsidRPr="00443E68" w:rsidRDefault="00C572D8" w:rsidP="00F76803">
      <w:pPr>
        <w:tabs>
          <w:tab w:val="left" w:pos="1260"/>
          <w:tab w:val="left" w:pos="9990"/>
        </w:tabs>
        <w:spacing w:after="0" w:line="259" w:lineRule="auto"/>
        <w:ind w:left="-270" w:right="97" w:firstLine="0"/>
        <w:jc w:val="left"/>
        <w:rPr>
          <w:rFonts w:asciiTheme="majorBidi" w:hAnsiTheme="majorBidi" w:cstheme="majorBidi"/>
          <w:szCs w:val="40"/>
        </w:rPr>
      </w:pPr>
      <w:r w:rsidRPr="00443E68">
        <w:rPr>
          <w:rFonts w:asciiTheme="majorBidi" w:hAnsiTheme="majorBidi" w:cstheme="majorBidi"/>
          <w:b/>
          <w:szCs w:val="40"/>
        </w:rPr>
        <w:t xml:space="preserve"> </w:t>
      </w:r>
      <w:r w:rsidRPr="00443E68">
        <w:rPr>
          <w:rFonts w:asciiTheme="majorBidi" w:hAnsiTheme="majorBidi" w:cstheme="majorBidi"/>
          <w:b/>
          <w:szCs w:val="40"/>
        </w:rPr>
        <w:tab/>
        <w:t xml:space="preserve"> </w:t>
      </w:r>
    </w:p>
    <w:p w:rsidR="00164C76" w:rsidRPr="00443E68" w:rsidRDefault="00C572D8" w:rsidP="00F76803">
      <w:pPr>
        <w:pStyle w:val="Heading1"/>
        <w:tabs>
          <w:tab w:val="left" w:pos="1260"/>
          <w:tab w:val="left" w:pos="9990"/>
        </w:tabs>
        <w:ind w:left="-270" w:right="97" w:firstLine="0"/>
        <w:rPr>
          <w:rFonts w:asciiTheme="majorBidi" w:hAnsiTheme="majorBidi" w:cstheme="majorBidi"/>
          <w:sz w:val="40"/>
          <w:szCs w:val="40"/>
        </w:rPr>
      </w:pPr>
      <w:r w:rsidRPr="00443E68">
        <w:rPr>
          <w:rFonts w:asciiTheme="majorBidi" w:hAnsiTheme="majorBidi" w:cstheme="majorBidi"/>
          <w:sz w:val="40"/>
          <w:szCs w:val="40"/>
        </w:rPr>
        <w:lastRenderedPageBreak/>
        <w:t xml:space="preserve">Background (1) </w:t>
      </w:r>
    </w:p>
    <w:p w:rsidR="00164C76" w:rsidRPr="00443E68" w:rsidRDefault="00C572D8" w:rsidP="00F76803">
      <w:pPr>
        <w:tabs>
          <w:tab w:val="left" w:pos="1260"/>
          <w:tab w:val="center" w:pos="5039"/>
          <w:tab w:val="left" w:pos="9990"/>
        </w:tabs>
        <w:spacing w:after="0" w:line="259" w:lineRule="auto"/>
        <w:ind w:left="-270" w:right="97" w:firstLine="0"/>
        <w:jc w:val="left"/>
        <w:rPr>
          <w:rFonts w:asciiTheme="majorBidi" w:hAnsiTheme="majorBidi" w:cstheme="majorBidi"/>
          <w:szCs w:val="40"/>
        </w:rPr>
      </w:pPr>
      <w:r w:rsidRPr="00443E68">
        <w:rPr>
          <w:rFonts w:asciiTheme="majorBidi" w:hAnsiTheme="majorBidi" w:cstheme="majorBidi"/>
          <w:b/>
          <w:szCs w:val="40"/>
        </w:rPr>
        <w:t xml:space="preserve"> </w:t>
      </w:r>
      <w:r w:rsidRPr="00443E68">
        <w:rPr>
          <w:rFonts w:asciiTheme="majorBidi" w:hAnsiTheme="majorBidi" w:cstheme="majorBidi"/>
          <w:b/>
          <w:szCs w:val="40"/>
        </w:rPr>
        <w:tab/>
      </w:r>
      <w:r w:rsidRPr="00443E68">
        <w:rPr>
          <w:rFonts w:asciiTheme="majorBidi" w:eastAsia="Calibri" w:hAnsiTheme="majorBidi" w:cstheme="majorBidi"/>
          <w:noProof/>
          <w:szCs w:val="40"/>
        </w:rPr>
        <mc:AlternateContent>
          <mc:Choice Requires="wpg">
            <w:drawing>
              <wp:inline distT="0" distB="0" distL="0" distR="0">
                <wp:extent cx="5199380" cy="7953045"/>
                <wp:effectExtent l="0" t="0" r="0" b="0"/>
                <wp:docPr id="15019" name="Group 15019"/>
                <wp:cNvGraphicFramePr/>
                <a:graphic xmlns:a="http://schemas.openxmlformats.org/drawingml/2006/main">
                  <a:graphicData uri="http://schemas.microsoft.com/office/word/2010/wordprocessingGroup">
                    <wpg:wgp>
                      <wpg:cNvGrpSpPr/>
                      <wpg:grpSpPr>
                        <a:xfrm>
                          <a:off x="0" y="0"/>
                          <a:ext cx="5199380" cy="7953045"/>
                          <a:chOff x="0" y="0"/>
                          <a:chExt cx="5199380" cy="7953045"/>
                        </a:xfrm>
                      </wpg:grpSpPr>
                      <wps:wsp>
                        <wps:cNvPr id="83" name="Rectangle 83"/>
                        <wps:cNvSpPr/>
                        <wps:spPr>
                          <a:xfrm>
                            <a:off x="1457960" y="0"/>
                            <a:ext cx="101346" cy="448760"/>
                          </a:xfrm>
                          <a:prstGeom prst="rect">
                            <a:avLst/>
                          </a:prstGeom>
                          <a:ln>
                            <a:noFill/>
                          </a:ln>
                        </wps:spPr>
                        <wps:txbx>
                          <w:txbxContent>
                            <w:p w:rsidR="00164C76" w:rsidRDefault="00C572D8">
                              <w:pPr>
                                <w:spacing w:after="160" w:line="259" w:lineRule="auto"/>
                                <w:ind w:left="0" w:right="0" w:firstLine="0"/>
                                <w:jc w:val="left"/>
                              </w:pPr>
                              <w:r>
                                <w:rPr>
                                  <w:b/>
                                  <w:sz w:val="48"/>
                                </w:rPr>
                                <w:t xml:space="preserve"> </w:t>
                              </w:r>
                            </w:p>
                          </w:txbxContent>
                        </wps:txbx>
                        <wps:bodyPr horzOverflow="overflow" vert="horz" lIns="0" tIns="0" rIns="0" bIns="0" rtlCol="0">
                          <a:noAutofit/>
                        </wps:bodyPr>
                      </wps:wsp>
                      <pic:pic xmlns:pic="http://schemas.openxmlformats.org/drawingml/2006/picture">
                        <pic:nvPicPr>
                          <pic:cNvPr id="85" name="Picture 85"/>
                          <pic:cNvPicPr/>
                        </pic:nvPicPr>
                        <pic:blipFill>
                          <a:blip r:embed="rId8"/>
                          <a:stretch>
                            <a:fillRect/>
                          </a:stretch>
                        </pic:blipFill>
                        <pic:spPr>
                          <a:xfrm>
                            <a:off x="0" y="72694"/>
                            <a:ext cx="5199380" cy="7880351"/>
                          </a:xfrm>
                          <a:prstGeom prst="rect">
                            <a:avLst/>
                          </a:prstGeom>
                        </pic:spPr>
                      </pic:pic>
                    </wpg:wgp>
                  </a:graphicData>
                </a:graphic>
              </wp:inline>
            </w:drawing>
          </mc:Choice>
          <mc:Fallback xmlns:a="http://schemas.openxmlformats.org/drawingml/2006/main">
            <w:pict>
              <v:group id="Group 15019" style="width:409.4pt;height:626.224pt;mso-position-horizontal-relative:char;mso-position-vertical-relative:line" coordsize="51993,79530">
                <v:rect id="Rectangle 83" style="position:absolute;width:1013;height:4487;left:14579;top:0;"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48"/>
                          </w:rPr>
                          <w:t xml:space="preserve"> </w:t>
                        </w:r>
                      </w:p>
                    </w:txbxContent>
                  </v:textbox>
                </v:rect>
                <v:shape id="Picture 85" style="position:absolute;width:51993;height:78803;left:0;top:726;" filled="f">
                  <v:imagedata r:id="rId9"/>
                </v:shape>
              </v:group>
            </w:pict>
          </mc:Fallback>
        </mc:AlternateContent>
      </w:r>
      <w:r w:rsidRPr="00443E68">
        <w:rPr>
          <w:rFonts w:asciiTheme="majorBidi" w:hAnsiTheme="majorBidi" w:cstheme="majorBidi"/>
          <w:szCs w:val="40"/>
        </w:rPr>
        <w:br w:type="page"/>
      </w:r>
    </w:p>
    <w:p w:rsidR="00164C76" w:rsidRPr="00443E68" w:rsidRDefault="00C572D8" w:rsidP="00F76803">
      <w:pPr>
        <w:tabs>
          <w:tab w:val="left" w:pos="1260"/>
          <w:tab w:val="left" w:pos="9990"/>
        </w:tabs>
        <w:ind w:left="-270" w:right="97" w:firstLine="0"/>
        <w:rPr>
          <w:rFonts w:asciiTheme="majorBidi" w:hAnsiTheme="majorBidi" w:cstheme="majorBidi"/>
          <w:szCs w:val="40"/>
        </w:rPr>
      </w:pPr>
      <w:r w:rsidRPr="00443E68">
        <w:rPr>
          <w:rFonts w:asciiTheme="majorBidi" w:hAnsiTheme="majorBidi" w:cstheme="majorBidi"/>
          <w:szCs w:val="40"/>
        </w:rPr>
        <w:lastRenderedPageBreak/>
        <w:t xml:space="preserve">Source rock characterization </w:t>
      </w:r>
    </w:p>
    <w:p w:rsidR="00164C76" w:rsidRPr="00443E68" w:rsidRDefault="00C572D8" w:rsidP="00F76803">
      <w:pPr>
        <w:tabs>
          <w:tab w:val="left" w:pos="1260"/>
          <w:tab w:val="left" w:pos="9990"/>
        </w:tabs>
        <w:spacing w:after="0"/>
        <w:ind w:left="-270" w:right="97" w:firstLine="0"/>
        <w:rPr>
          <w:rFonts w:asciiTheme="majorBidi" w:hAnsiTheme="majorBidi" w:cstheme="majorBidi"/>
          <w:szCs w:val="40"/>
        </w:rPr>
      </w:pPr>
      <w:r w:rsidRPr="00443E68">
        <w:rPr>
          <w:rFonts w:asciiTheme="majorBidi" w:hAnsiTheme="majorBidi" w:cstheme="majorBidi"/>
          <w:szCs w:val="40"/>
        </w:rPr>
        <w:t xml:space="preserve">Toward the east in North Qarun-1x, El Sagha-1A, and E.WD19-1x wells the drilling stopped at Kharita Formation and the wells describe nearly a complete sequence of rock units from Cretaceous to Tertiary rocks. The </w:t>
      </w:r>
      <w:proofErr w:type="spellStart"/>
      <w:r w:rsidRPr="00443E68">
        <w:rPr>
          <w:rFonts w:asciiTheme="majorBidi" w:hAnsiTheme="majorBidi" w:cstheme="majorBidi"/>
          <w:szCs w:val="40"/>
        </w:rPr>
        <w:t>Kharita</w:t>
      </w:r>
      <w:proofErr w:type="spellEnd"/>
      <w:r w:rsidRPr="00443E68">
        <w:rPr>
          <w:rFonts w:asciiTheme="majorBidi" w:hAnsiTheme="majorBidi" w:cstheme="majorBidi"/>
          <w:szCs w:val="40"/>
        </w:rPr>
        <w:t xml:space="preserve">, </w:t>
      </w:r>
      <w:proofErr w:type="spellStart"/>
      <w:r w:rsidRPr="00443E68">
        <w:rPr>
          <w:rFonts w:asciiTheme="majorBidi" w:hAnsiTheme="majorBidi" w:cstheme="majorBidi"/>
          <w:szCs w:val="40"/>
        </w:rPr>
        <w:t>Bahariya</w:t>
      </w:r>
      <w:proofErr w:type="spellEnd"/>
      <w:r w:rsidRPr="00443E68">
        <w:rPr>
          <w:rFonts w:asciiTheme="majorBidi" w:hAnsiTheme="majorBidi" w:cstheme="majorBidi"/>
          <w:szCs w:val="40"/>
        </w:rPr>
        <w:t xml:space="preserve">, Abu </w:t>
      </w:r>
      <w:proofErr w:type="spellStart"/>
      <w:r w:rsidRPr="00443E68">
        <w:rPr>
          <w:rFonts w:asciiTheme="majorBidi" w:hAnsiTheme="majorBidi" w:cstheme="majorBidi"/>
          <w:szCs w:val="40"/>
        </w:rPr>
        <w:t>Roash</w:t>
      </w:r>
      <w:proofErr w:type="spellEnd"/>
      <w:r w:rsidRPr="00443E68">
        <w:rPr>
          <w:rFonts w:asciiTheme="majorBidi" w:hAnsiTheme="majorBidi" w:cstheme="majorBidi"/>
          <w:szCs w:val="40"/>
        </w:rPr>
        <w:t xml:space="preserve">, </w:t>
      </w:r>
      <w:proofErr w:type="spellStart"/>
      <w:r w:rsidRPr="00443E68">
        <w:rPr>
          <w:rFonts w:asciiTheme="majorBidi" w:hAnsiTheme="majorBidi" w:cstheme="majorBidi"/>
          <w:szCs w:val="40"/>
        </w:rPr>
        <w:t>Khoman</w:t>
      </w:r>
      <w:proofErr w:type="spellEnd"/>
      <w:r w:rsidRPr="00443E68">
        <w:rPr>
          <w:rFonts w:asciiTheme="majorBidi" w:hAnsiTheme="majorBidi" w:cstheme="majorBidi"/>
          <w:szCs w:val="40"/>
        </w:rPr>
        <w:t xml:space="preserve">, </w:t>
      </w:r>
      <w:proofErr w:type="spellStart"/>
      <w:r w:rsidRPr="00443E68">
        <w:rPr>
          <w:rFonts w:asciiTheme="majorBidi" w:hAnsiTheme="majorBidi" w:cstheme="majorBidi"/>
          <w:szCs w:val="40"/>
        </w:rPr>
        <w:t>Appolonia</w:t>
      </w:r>
      <w:proofErr w:type="spellEnd"/>
      <w:r w:rsidRPr="00443E68">
        <w:rPr>
          <w:rFonts w:asciiTheme="majorBidi" w:hAnsiTheme="majorBidi" w:cstheme="majorBidi"/>
          <w:szCs w:val="40"/>
        </w:rPr>
        <w:t xml:space="preserve">, </w:t>
      </w:r>
      <w:proofErr w:type="spellStart"/>
      <w:r w:rsidRPr="00443E68">
        <w:rPr>
          <w:rFonts w:asciiTheme="majorBidi" w:hAnsiTheme="majorBidi" w:cstheme="majorBidi"/>
          <w:szCs w:val="40"/>
        </w:rPr>
        <w:t>Dabaa</w:t>
      </w:r>
      <w:proofErr w:type="spellEnd"/>
      <w:r w:rsidRPr="00443E68">
        <w:rPr>
          <w:rFonts w:asciiTheme="majorBidi" w:hAnsiTheme="majorBidi" w:cstheme="majorBidi"/>
          <w:szCs w:val="40"/>
        </w:rPr>
        <w:t xml:space="preserve">, and </w:t>
      </w:r>
      <w:proofErr w:type="spellStart"/>
      <w:r w:rsidRPr="00443E68">
        <w:rPr>
          <w:rFonts w:asciiTheme="majorBidi" w:hAnsiTheme="majorBidi" w:cstheme="majorBidi"/>
          <w:szCs w:val="40"/>
        </w:rPr>
        <w:t>Moghra</w:t>
      </w:r>
      <w:proofErr w:type="spellEnd"/>
      <w:r w:rsidRPr="00443E68">
        <w:rPr>
          <w:rFonts w:asciiTheme="majorBidi" w:hAnsiTheme="majorBidi" w:cstheme="majorBidi"/>
          <w:szCs w:val="40"/>
        </w:rPr>
        <w:t xml:space="preserve"> formations are well represented with increasing thickness toward the east direction  </w:t>
      </w:r>
    </w:p>
    <w:p w:rsidR="00164C76" w:rsidRPr="00443E68" w:rsidRDefault="00C572D8" w:rsidP="00F76803">
      <w:pPr>
        <w:tabs>
          <w:tab w:val="left" w:pos="1260"/>
          <w:tab w:val="left" w:pos="9990"/>
        </w:tabs>
        <w:spacing w:after="0"/>
        <w:ind w:left="-270" w:right="97" w:firstLine="0"/>
        <w:rPr>
          <w:rFonts w:asciiTheme="majorBidi" w:hAnsiTheme="majorBidi" w:cstheme="majorBidi"/>
          <w:szCs w:val="40"/>
        </w:rPr>
      </w:pPr>
      <w:r w:rsidRPr="00443E68">
        <w:rPr>
          <w:rFonts w:asciiTheme="majorBidi" w:hAnsiTheme="majorBidi" w:cstheme="majorBidi"/>
          <w:szCs w:val="40"/>
        </w:rPr>
        <w:t xml:space="preserve">On the other hand, these formations show a noticeable decrease in their thickness in the west direction at Gebel Rissu-1 and Kattaniya-1 wells.  </w:t>
      </w:r>
    </w:p>
    <w:p w:rsidR="00164C76" w:rsidRPr="00443E68" w:rsidRDefault="00C572D8" w:rsidP="00F76803">
      <w:pPr>
        <w:tabs>
          <w:tab w:val="left" w:pos="1260"/>
          <w:tab w:val="left" w:pos="9990"/>
        </w:tabs>
        <w:spacing w:after="0"/>
        <w:ind w:left="-270" w:right="97" w:firstLine="0"/>
        <w:rPr>
          <w:rFonts w:asciiTheme="majorBidi" w:hAnsiTheme="majorBidi" w:cstheme="majorBidi"/>
          <w:szCs w:val="40"/>
        </w:rPr>
      </w:pPr>
      <w:r w:rsidRPr="00443E68">
        <w:rPr>
          <w:rFonts w:asciiTheme="majorBidi" w:hAnsiTheme="majorBidi" w:cstheme="majorBidi"/>
          <w:szCs w:val="40"/>
        </w:rPr>
        <w:t xml:space="preserve">This may be due to the tectonic regime prevailing in the area. </w:t>
      </w:r>
    </w:p>
    <w:p w:rsidR="00164C76" w:rsidRPr="00443E68" w:rsidRDefault="00C572D8" w:rsidP="00F76803">
      <w:pPr>
        <w:tabs>
          <w:tab w:val="left" w:pos="1260"/>
          <w:tab w:val="left" w:pos="9990"/>
        </w:tabs>
        <w:spacing w:after="0" w:line="259" w:lineRule="auto"/>
        <w:ind w:left="-270" w:right="97" w:firstLine="0"/>
        <w:jc w:val="left"/>
        <w:rPr>
          <w:rFonts w:asciiTheme="majorBidi" w:hAnsiTheme="majorBidi" w:cstheme="majorBidi"/>
          <w:szCs w:val="40"/>
        </w:rPr>
      </w:pPr>
      <w:r w:rsidRPr="00443E68">
        <w:rPr>
          <w:rFonts w:asciiTheme="majorBidi" w:hAnsiTheme="majorBidi" w:cstheme="majorBidi"/>
          <w:szCs w:val="40"/>
        </w:rPr>
        <w:t xml:space="preserve"> </w:t>
      </w:r>
    </w:p>
    <w:p w:rsidR="00164C76" w:rsidRPr="00443E68" w:rsidRDefault="00C572D8" w:rsidP="00F76803">
      <w:pPr>
        <w:tabs>
          <w:tab w:val="left" w:pos="1260"/>
          <w:tab w:val="left" w:pos="9990"/>
        </w:tabs>
        <w:spacing w:after="0" w:line="259" w:lineRule="auto"/>
        <w:ind w:left="-270" w:right="97" w:firstLine="0"/>
        <w:jc w:val="left"/>
        <w:rPr>
          <w:rFonts w:asciiTheme="majorBidi" w:hAnsiTheme="majorBidi" w:cstheme="majorBidi"/>
          <w:szCs w:val="40"/>
        </w:rPr>
      </w:pPr>
      <w:proofErr w:type="spellStart"/>
      <w:r w:rsidRPr="00443E68">
        <w:rPr>
          <w:rFonts w:asciiTheme="majorBidi" w:hAnsiTheme="majorBidi" w:cstheme="majorBidi"/>
          <w:szCs w:val="40"/>
        </w:rPr>
        <w:t>Isopach</w:t>
      </w:r>
      <w:proofErr w:type="spellEnd"/>
      <w:r w:rsidRPr="00443E68">
        <w:rPr>
          <w:rFonts w:asciiTheme="majorBidi" w:hAnsiTheme="majorBidi" w:cstheme="majorBidi"/>
          <w:szCs w:val="40"/>
        </w:rPr>
        <w:t xml:space="preserve"> and </w:t>
      </w:r>
      <w:proofErr w:type="spellStart"/>
      <w:r w:rsidRPr="00443E68">
        <w:rPr>
          <w:rFonts w:asciiTheme="majorBidi" w:hAnsiTheme="majorBidi" w:cstheme="majorBidi"/>
          <w:szCs w:val="40"/>
        </w:rPr>
        <w:t>Lithofacies</w:t>
      </w:r>
      <w:proofErr w:type="spellEnd"/>
      <w:r w:rsidRPr="00443E68">
        <w:rPr>
          <w:rFonts w:asciiTheme="majorBidi" w:hAnsiTheme="majorBidi" w:cstheme="majorBidi"/>
          <w:szCs w:val="40"/>
        </w:rPr>
        <w:t xml:space="preserve"> Maps </w:t>
      </w:r>
    </w:p>
    <w:p w:rsidR="00164C76" w:rsidRPr="00443E68" w:rsidRDefault="00C572D8" w:rsidP="00F76803">
      <w:pPr>
        <w:tabs>
          <w:tab w:val="left" w:pos="1260"/>
          <w:tab w:val="left" w:pos="9990"/>
        </w:tabs>
        <w:spacing w:after="0" w:line="259" w:lineRule="auto"/>
        <w:ind w:left="-270" w:right="97" w:firstLine="0"/>
        <w:jc w:val="left"/>
        <w:rPr>
          <w:rFonts w:asciiTheme="majorBidi" w:hAnsiTheme="majorBidi" w:cstheme="majorBidi"/>
          <w:szCs w:val="40"/>
        </w:rPr>
      </w:pPr>
      <w:r w:rsidRPr="00443E68">
        <w:rPr>
          <w:rFonts w:asciiTheme="majorBidi" w:hAnsiTheme="majorBidi" w:cstheme="majorBidi"/>
          <w:szCs w:val="40"/>
        </w:rPr>
        <w:t xml:space="preserve"> </w:t>
      </w:r>
    </w:p>
    <w:p w:rsidR="00164C76" w:rsidRPr="00443E68" w:rsidRDefault="00C572D8" w:rsidP="00F76803">
      <w:pPr>
        <w:tabs>
          <w:tab w:val="left" w:pos="1260"/>
          <w:tab w:val="left" w:pos="9990"/>
        </w:tabs>
        <w:spacing w:after="0" w:line="259" w:lineRule="auto"/>
        <w:ind w:left="-270" w:right="97" w:firstLine="0"/>
        <w:jc w:val="left"/>
        <w:rPr>
          <w:rFonts w:asciiTheme="majorBidi" w:hAnsiTheme="majorBidi" w:cstheme="majorBidi"/>
          <w:szCs w:val="40"/>
        </w:rPr>
      </w:pPr>
      <w:r w:rsidRPr="00443E68">
        <w:rPr>
          <w:rFonts w:asciiTheme="majorBidi" w:hAnsiTheme="majorBidi" w:cstheme="majorBidi"/>
          <w:noProof/>
          <w:szCs w:val="40"/>
        </w:rPr>
        <w:drawing>
          <wp:inline distT="0" distB="0" distL="0" distR="0">
            <wp:extent cx="6567170" cy="4245610"/>
            <wp:effectExtent l="0" t="0" r="0" b="0"/>
            <wp:docPr id="140" name="Picture 140"/>
            <wp:cNvGraphicFramePr/>
            <a:graphic xmlns:a="http://schemas.openxmlformats.org/drawingml/2006/main">
              <a:graphicData uri="http://schemas.openxmlformats.org/drawingml/2006/picture">
                <pic:pic xmlns:pic="http://schemas.openxmlformats.org/drawingml/2006/picture">
                  <pic:nvPicPr>
                    <pic:cNvPr id="140" name="Picture 140"/>
                    <pic:cNvPicPr/>
                  </pic:nvPicPr>
                  <pic:blipFill>
                    <a:blip r:embed="rId10"/>
                    <a:stretch>
                      <a:fillRect/>
                    </a:stretch>
                  </pic:blipFill>
                  <pic:spPr>
                    <a:xfrm>
                      <a:off x="0" y="0"/>
                      <a:ext cx="6567170" cy="4245610"/>
                    </a:xfrm>
                    <a:prstGeom prst="rect">
                      <a:avLst/>
                    </a:prstGeom>
                  </pic:spPr>
                </pic:pic>
              </a:graphicData>
            </a:graphic>
          </wp:inline>
        </w:drawing>
      </w:r>
    </w:p>
    <w:p w:rsidR="00164C76" w:rsidRPr="00443E68" w:rsidRDefault="00C572D8" w:rsidP="00F76803">
      <w:pPr>
        <w:tabs>
          <w:tab w:val="left" w:pos="1260"/>
          <w:tab w:val="left" w:pos="9990"/>
        </w:tabs>
        <w:spacing w:after="0"/>
        <w:ind w:left="-270" w:right="97" w:firstLine="0"/>
        <w:rPr>
          <w:rFonts w:asciiTheme="majorBidi" w:hAnsiTheme="majorBidi" w:cstheme="majorBidi"/>
          <w:szCs w:val="40"/>
        </w:rPr>
      </w:pPr>
      <w:r w:rsidRPr="00443E68">
        <w:rPr>
          <w:rFonts w:asciiTheme="majorBidi" w:hAnsiTheme="majorBidi" w:cstheme="majorBidi"/>
          <w:szCs w:val="40"/>
        </w:rPr>
        <w:t xml:space="preserve">The </w:t>
      </w:r>
      <w:proofErr w:type="spellStart"/>
      <w:r w:rsidRPr="00443E68">
        <w:rPr>
          <w:rFonts w:asciiTheme="majorBidi" w:hAnsiTheme="majorBidi" w:cstheme="majorBidi"/>
          <w:szCs w:val="40"/>
        </w:rPr>
        <w:t>isopach</w:t>
      </w:r>
      <w:proofErr w:type="spellEnd"/>
      <w:r w:rsidRPr="00443E68">
        <w:rPr>
          <w:rFonts w:asciiTheme="majorBidi" w:hAnsiTheme="majorBidi" w:cstheme="majorBidi"/>
          <w:szCs w:val="40"/>
        </w:rPr>
        <w:t xml:space="preserve"> map of </w:t>
      </w:r>
      <w:proofErr w:type="spellStart"/>
      <w:r w:rsidRPr="00443E68">
        <w:rPr>
          <w:rFonts w:asciiTheme="majorBidi" w:hAnsiTheme="majorBidi" w:cstheme="majorBidi"/>
          <w:szCs w:val="40"/>
        </w:rPr>
        <w:t>Kharita</w:t>
      </w:r>
      <w:proofErr w:type="spellEnd"/>
      <w:r w:rsidRPr="00443E68">
        <w:rPr>
          <w:rFonts w:asciiTheme="majorBidi" w:hAnsiTheme="majorBidi" w:cstheme="majorBidi"/>
          <w:szCs w:val="40"/>
        </w:rPr>
        <w:t xml:space="preserve"> Formation (Figure 5A) shows the increase in its thickness from east to west direction. Also, it reflects two main sub-basins of deposition. The first one occupies the western part at Kattaniya-1 well with maximum thickness reaching </w:t>
      </w:r>
      <w:r w:rsidRPr="00443E68">
        <w:rPr>
          <w:rFonts w:asciiTheme="majorBidi" w:hAnsiTheme="majorBidi" w:cstheme="majorBidi"/>
          <w:szCs w:val="40"/>
        </w:rPr>
        <w:lastRenderedPageBreak/>
        <w:t xml:space="preserve">1,780 m. The second </w:t>
      </w:r>
      <w:proofErr w:type="spellStart"/>
      <w:r w:rsidRPr="00443E68">
        <w:rPr>
          <w:rFonts w:asciiTheme="majorBidi" w:hAnsiTheme="majorBidi" w:cstheme="majorBidi"/>
          <w:szCs w:val="40"/>
        </w:rPr>
        <w:t>depocenter</w:t>
      </w:r>
      <w:proofErr w:type="spellEnd"/>
      <w:r w:rsidRPr="00443E68">
        <w:rPr>
          <w:rFonts w:asciiTheme="majorBidi" w:hAnsiTheme="majorBidi" w:cstheme="majorBidi"/>
          <w:szCs w:val="40"/>
        </w:rPr>
        <w:t xml:space="preserve"> locates at the central part around El Sagha-1A well (697 m). Moreover, there is a remarkable thinning of this formation towards the eastern part of the study area, where its thickness reaches to zero at </w:t>
      </w:r>
      <w:proofErr w:type="spellStart"/>
      <w:r w:rsidRPr="00443E68">
        <w:rPr>
          <w:rFonts w:asciiTheme="majorBidi" w:hAnsiTheme="majorBidi" w:cstheme="majorBidi"/>
          <w:szCs w:val="40"/>
        </w:rPr>
        <w:t>Gindi</w:t>
      </w:r>
      <w:proofErr w:type="spellEnd"/>
      <w:r w:rsidRPr="00443E68">
        <w:rPr>
          <w:rFonts w:asciiTheme="majorBidi" w:hAnsiTheme="majorBidi" w:cstheme="majorBidi"/>
          <w:szCs w:val="40"/>
        </w:rPr>
        <w:t xml:space="preserve"> Deep-1x well. This may be due to the uplifting followed by erosion of Kharita Formation at this area or may be tectonically high and not received any material of sedimentation. </w:t>
      </w:r>
    </w:p>
    <w:p w:rsidR="00164C76" w:rsidRPr="00443E68" w:rsidRDefault="00C572D8" w:rsidP="00F76803">
      <w:pPr>
        <w:tabs>
          <w:tab w:val="left" w:pos="1260"/>
          <w:tab w:val="left" w:pos="9990"/>
        </w:tabs>
        <w:ind w:left="-270" w:right="97" w:firstLine="0"/>
        <w:rPr>
          <w:rFonts w:asciiTheme="majorBidi" w:hAnsiTheme="majorBidi" w:cstheme="majorBidi"/>
          <w:szCs w:val="40"/>
        </w:rPr>
      </w:pPr>
      <w:r w:rsidRPr="00443E68">
        <w:rPr>
          <w:rFonts w:asciiTheme="majorBidi" w:hAnsiTheme="majorBidi" w:cstheme="majorBidi"/>
          <w:szCs w:val="40"/>
        </w:rPr>
        <w:t xml:space="preserve">The predominance of reservoir sandstones in the succession leads to juxtaposition of, and communication between sandstones across faults. This explains the reliance on three- or four-way dip closed structures in the Western Desert fields. Mesozoic sediments of the Western Desert were derived from a fluvial system which flowed northwards from the African </w:t>
      </w:r>
      <w:proofErr w:type="spellStart"/>
      <w:r w:rsidRPr="00443E68">
        <w:rPr>
          <w:rFonts w:asciiTheme="majorBidi" w:hAnsiTheme="majorBidi" w:cstheme="majorBidi"/>
          <w:szCs w:val="40"/>
        </w:rPr>
        <w:t>continen</w:t>
      </w:r>
      <w:proofErr w:type="spellEnd"/>
      <w:r w:rsidRPr="00443E68">
        <w:rPr>
          <w:rFonts w:asciiTheme="majorBidi" w:hAnsiTheme="majorBidi" w:cstheme="majorBidi"/>
          <w:szCs w:val="40"/>
        </w:rPr>
        <w:t xml:space="preserve">  . This fluvial system reached a shallow marine sea within the area studied in this paper, giving rise to deposition in delta and shallow marine conditions. Consequently, the Jurassic and Cretaceous, succession is dominated by shallow marine and fluvial sandstones. Variations in sea level during the Jurassic and Cretaceous, led to the migration of </w:t>
      </w:r>
      <w:proofErr w:type="spellStart"/>
      <w:r w:rsidRPr="00443E68">
        <w:rPr>
          <w:rFonts w:asciiTheme="majorBidi" w:hAnsiTheme="majorBidi" w:cstheme="majorBidi"/>
          <w:szCs w:val="40"/>
        </w:rPr>
        <w:t>facies</w:t>
      </w:r>
      <w:proofErr w:type="spellEnd"/>
      <w:r w:rsidRPr="00443E68">
        <w:rPr>
          <w:rFonts w:asciiTheme="majorBidi" w:hAnsiTheme="majorBidi" w:cstheme="majorBidi"/>
          <w:szCs w:val="40"/>
        </w:rPr>
        <w:t xml:space="preserve"> belts, and the deposition of similar </w:t>
      </w:r>
      <w:proofErr w:type="spellStart"/>
      <w:r w:rsidRPr="00443E68">
        <w:rPr>
          <w:rFonts w:asciiTheme="majorBidi" w:hAnsiTheme="majorBidi" w:cstheme="majorBidi"/>
          <w:szCs w:val="40"/>
        </w:rPr>
        <w:t>lithologies</w:t>
      </w:r>
      <w:proofErr w:type="spellEnd"/>
      <w:r w:rsidRPr="00443E68">
        <w:rPr>
          <w:rFonts w:asciiTheme="majorBidi" w:hAnsiTheme="majorBidi" w:cstheme="majorBidi"/>
          <w:szCs w:val="40"/>
        </w:rPr>
        <w:t xml:space="preserve"> across the whole of the study area. This depositional model gives rise to laterally extensive sandstone-dominated </w:t>
      </w:r>
      <w:proofErr w:type="spellStart"/>
      <w:r w:rsidRPr="00443E68">
        <w:rPr>
          <w:rFonts w:asciiTheme="majorBidi" w:hAnsiTheme="majorBidi" w:cstheme="majorBidi"/>
          <w:szCs w:val="40"/>
        </w:rPr>
        <w:t>lithofacies</w:t>
      </w:r>
      <w:proofErr w:type="spellEnd"/>
      <w:r w:rsidRPr="00443E68">
        <w:rPr>
          <w:rFonts w:asciiTheme="majorBidi" w:hAnsiTheme="majorBidi" w:cstheme="majorBidi"/>
          <w:szCs w:val="40"/>
        </w:rPr>
        <w:t xml:space="preserve">. Thick, porous and permeable sandstones are deposited during regressive phases, such as during deposition of the </w:t>
      </w:r>
      <w:proofErr w:type="spellStart"/>
      <w:r w:rsidRPr="00443E68">
        <w:rPr>
          <w:rFonts w:asciiTheme="majorBidi" w:hAnsiTheme="majorBidi" w:cstheme="majorBidi"/>
          <w:szCs w:val="40"/>
        </w:rPr>
        <w:t>Kharita</w:t>
      </w:r>
      <w:proofErr w:type="spellEnd"/>
      <w:r w:rsidRPr="00443E68">
        <w:rPr>
          <w:rFonts w:asciiTheme="majorBidi" w:hAnsiTheme="majorBidi" w:cstheme="majorBidi"/>
          <w:szCs w:val="40"/>
        </w:rPr>
        <w:t xml:space="preserve"> Formation (</w:t>
      </w:r>
      <w:proofErr w:type="spellStart"/>
      <w:r w:rsidRPr="00443E68">
        <w:rPr>
          <w:rFonts w:asciiTheme="majorBidi" w:hAnsiTheme="majorBidi" w:cstheme="majorBidi"/>
          <w:szCs w:val="40"/>
        </w:rPr>
        <w:t>Albian</w:t>
      </w:r>
      <w:proofErr w:type="spellEnd"/>
      <w:r w:rsidRPr="00443E68">
        <w:rPr>
          <w:rFonts w:asciiTheme="majorBidi" w:hAnsiTheme="majorBidi" w:cstheme="majorBidi"/>
          <w:szCs w:val="40"/>
        </w:rPr>
        <w:t xml:space="preserve">) and the </w:t>
      </w:r>
      <w:proofErr w:type="spellStart"/>
      <w:r w:rsidRPr="00443E68">
        <w:rPr>
          <w:rFonts w:asciiTheme="majorBidi" w:hAnsiTheme="majorBidi" w:cstheme="majorBidi"/>
          <w:szCs w:val="40"/>
        </w:rPr>
        <w:t>Alam</w:t>
      </w:r>
      <w:proofErr w:type="spellEnd"/>
      <w:r w:rsidRPr="00443E68">
        <w:rPr>
          <w:rFonts w:asciiTheme="majorBidi" w:hAnsiTheme="majorBidi" w:cstheme="majorBidi"/>
          <w:szCs w:val="40"/>
        </w:rPr>
        <w:t xml:space="preserve"> el </w:t>
      </w:r>
      <w:proofErr w:type="spellStart"/>
      <w:r w:rsidRPr="00443E68">
        <w:rPr>
          <w:rFonts w:asciiTheme="majorBidi" w:hAnsiTheme="majorBidi" w:cstheme="majorBidi"/>
          <w:szCs w:val="40"/>
        </w:rPr>
        <w:t>Bueib</w:t>
      </w:r>
      <w:proofErr w:type="spellEnd"/>
      <w:r w:rsidRPr="00443E68">
        <w:rPr>
          <w:rFonts w:asciiTheme="majorBidi" w:hAnsiTheme="majorBidi" w:cstheme="majorBidi"/>
          <w:szCs w:val="40"/>
        </w:rPr>
        <w:t xml:space="preserve"> Formation (</w:t>
      </w:r>
      <w:proofErr w:type="spellStart"/>
      <w:r w:rsidRPr="00443E68">
        <w:rPr>
          <w:rFonts w:asciiTheme="majorBidi" w:hAnsiTheme="majorBidi" w:cstheme="majorBidi"/>
          <w:szCs w:val="40"/>
        </w:rPr>
        <w:t>NeocomianBarremian</w:t>
      </w:r>
      <w:proofErr w:type="spellEnd"/>
      <w:r w:rsidRPr="00443E68">
        <w:rPr>
          <w:rFonts w:asciiTheme="majorBidi" w:hAnsiTheme="majorBidi" w:cstheme="majorBidi"/>
          <w:szCs w:val="40"/>
        </w:rPr>
        <w:t xml:space="preserve">) . During transgressive phases, </w:t>
      </w:r>
      <w:proofErr w:type="spellStart"/>
      <w:r w:rsidRPr="00443E68">
        <w:rPr>
          <w:rFonts w:asciiTheme="majorBidi" w:hAnsiTheme="majorBidi" w:cstheme="majorBidi"/>
          <w:szCs w:val="40"/>
        </w:rPr>
        <w:t>shaly</w:t>
      </w:r>
      <w:proofErr w:type="spellEnd"/>
      <w:r w:rsidRPr="00443E68">
        <w:rPr>
          <w:rFonts w:asciiTheme="majorBidi" w:hAnsiTheme="majorBidi" w:cstheme="majorBidi"/>
          <w:szCs w:val="40"/>
        </w:rPr>
        <w:t xml:space="preserve"> lagoon and delta-top </w:t>
      </w:r>
      <w:proofErr w:type="spellStart"/>
      <w:r w:rsidRPr="00443E68">
        <w:rPr>
          <w:rFonts w:asciiTheme="majorBidi" w:hAnsiTheme="majorBidi" w:cstheme="majorBidi"/>
          <w:szCs w:val="40"/>
        </w:rPr>
        <w:t>facies</w:t>
      </w:r>
      <w:proofErr w:type="spellEnd"/>
      <w:r w:rsidRPr="00443E68">
        <w:rPr>
          <w:rFonts w:asciiTheme="majorBidi" w:hAnsiTheme="majorBidi" w:cstheme="majorBidi"/>
          <w:szCs w:val="40"/>
        </w:rPr>
        <w:t xml:space="preserve"> are preferentially preserved, and beach barrier sandstones are less well developed. </w:t>
      </w:r>
    </w:p>
    <w:p w:rsidR="00164C76" w:rsidRPr="00443E68" w:rsidRDefault="00C572D8" w:rsidP="00F76803">
      <w:pPr>
        <w:tabs>
          <w:tab w:val="left" w:pos="1260"/>
          <w:tab w:val="left" w:pos="9990"/>
        </w:tabs>
        <w:ind w:left="-270" w:right="97" w:firstLine="0"/>
        <w:rPr>
          <w:rFonts w:asciiTheme="majorBidi" w:hAnsiTheme="majorBidi" w:cstheme="majorBidi"/>
          <w:szCs w:val="40"/>
        </w:rPr>
      </w:pPr>
      <w:r w:rsidRPr="00443E68">
        <w:rPr>
          <w:rFonts w:asciiTheme="majorBidi" w:hAnsiTheme="majorBidi" w:cstheme="majorBidi"/>
          <w:szCs w:val="40"/>
        </w:rPr>
        <w:t xml:space="preserve">Types of sealing faults considered: </w:t>
      </w:r>
    </w:p>
    <w:p w:rsidR="00164C76" w:rsidRPr="00443E68" w:rsidRDefault="00C572D8" w:rsidP="00F76803">
      <w:pPr>
        <w:numPr>
          <w:ilvl w:val="0"/>
          <w:numId w:val="1"/>
        </w:numPr>
        <w:tabs>
          <w:tab w:val="left" w:pos="1260"/>
          <w:tab w:val="left" w:pos="9990"/>
        </w:tabs>
        <w:ind w:left="-270" w:right="97" w:firstLine="0"/>
        <w:rPr>
          <w:rFonts w:asciiTheme="majorBidi" w:hAnsiTheme="majorBidi" w:cstheme="majorBidi"/>
          <w:szCs w:val="40"/>
        </w:rPr>
      </w:pPr>
      <w:r w:rsidRPr="00443E68">
        <w:rPr>
          <w:rFonts w:asciiTheme="majorBidi" w:hAnsiTheme="majorBidi" w:cstheme="majorBidi"/>
          <w:szCs w:val="40"/>
        </w:rPr>
        <w:t xml:space="preserve">Juxtaposition seals </w:t>
      </w:r>
    </w:p>
    <w:p w:rsidR="00164C76" w:rsidRPr="00443E68" w:rsidRDefault="00C572D8" w:rsidP="00F76803">
      <w:pPr>
        <w:numPr>
          <w:ilvl w:val="0"/>
          <w:numId w:val="1"/>
        </w:numPr>
        <w:tabs>
          <w:tab w:val="left" w:pos="1260"/>
          <w:tab w:val="left" w:pos="9990"/>
        </w:tabs>
        <w:ind w:left="-270" w:right="97" w:firstLine="0"/>
        <w:rPr>
          <w:rFonts w:asciiTheme="majorBidi" w:hAnsiTheme="majorBidi" w:cstheme="majorBidi"/>
          <w:szCs w:val="40"/>
        </w:rPr>
      </w:pPr>
      <w:r w:rsidRPr="00443E68">
        <w:rPr>
          <w:rFonts w:asciiTheme="majorBidi" w:hAnsiTheme="majorBidi" w:cstheme="majorBidi"/>
          <w:szCs w:val="40"/>
        </w:rPr>
        <w:t xml:space="preserve">Shale smear seals </w:t>
      </w:r>
    </w:p>
    <w:p w:rsidR="00164C76" w:rsidRPr="00443E68" w:rsidRDefault="00C572D8" w:rsidP="00F76803">
      <w:pPr>
        <w:numPr>
          <w:ilvl w:val="0"/>
          <w:numId w:val="1"/>
        </w:numPr>
        <w:tabs>
          <w:tab w:val="left" w:pos="1260"/>
          <w:tab w:val="left" w:pos="9990"/>
        </w:tabs>
        <w:ind w:left="-270" w:right="97" w:firstLine="0"/>
        <w:rPr>
          <w:rFonts w:asciiTheme="majorBidi" w:hAnsiTheme="majorBidi" w:cstheme="majorBidi"/>
          <w:szCs w:val="40"/>
        </w:rPr>
      </w:pPr>
      <w:proofErr w:type="spellStart"/>
      <w:r w:rsidRPr="00443E68">
        <w:rPr>
          <w:rFonts w:asciiTheme="majorBidi" w:hAnsiTheme="majorBidi" w:cstheme="majorBidi"/>
          <w:szCs w:val="40"/>
        </w:rPr>
        <w:t>Cataclasis</w:t>
      </w:r>
      <w:proofErr w:type="spellEnd"/>
      <w:r w:rsidRPr="00443E68">
        <w:rPr>
          <w:rFonts w:asciiTheme="majorBidi" w:hAnsiTheme="majorBidi" w:cstheme="majorBidi"/>
          <w:szCs w:val="40"/>
        </w:rPr>
        <w:t xml:space="preserve"> seals (</w:t>
      </w:r>
      <w:proofErr w:type="spellStart"/>
      <w:r w:rsidRPr="00443E68">
        <w:rPr>
          <w:rFonts w:asciiTheme="majorBidi" w:hAnsiTheme="majorBidi" w:cstheme="majorBidi"/>
          <w:szCs w:val="40"/>
        </w:rPr>
        <w:t>Knipe</w:t>
      </w:r>
      <w:proofErr w:type="spellEnd"/>
      <w:r w:rsidRPr="00443E68">
        <w:rPr>
          <w:rFonts w:asciiTheme="majorBidi" w:hAnsiTheme="majorBidi" w:cstheme="majorBidi"/>
          <w:szCs w:val="40"/>
        </w:rPr>
        <w:t xml:space="preserve"> 1992) </w:t>
      </w:r>
    </w:p>
    <w:p w:rsidR="00164C76" w:rsidRPr="00443E68" w:rsidRDefault="00164C76" w:rsidP="00B972B8">
      <w:pPr>
        <w:tabs>
          <w:tab w:val="left" w:pos="1260"/>
          <w:tab w:val="left" w:pos="9990"/>
        </w:tabs>
        <w:spacing w:after="156" w:line="259" w:lineRule="auto"/>
        <w:ind w:left="-270" w:right="97" w:firstLine="0"/>
        <w:jc w:val="left"/>
        <w:rPr>
          <w:rFonts w:asciiTheme="majorBidi" w:hAnsiTheme="majorBidi" w:cstheme="majorBidi"/>
          <w:szCs w:val="40"/>
        </w:rPr>
      </w:pPr>
    </w:p>
    <w:sectPr w:rsidR="00164C76" w:rsidRPr="00443E68">
      <w:pgSz w:w="12240" w:h="15840"/>
      <w:pgMar w:top="375" w:right="623" w:bottom="1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E3921"/>
    <w:multiLevelType w:val="hybridMultilevel"/>
    <w:tmpl w:val="B02C2878"/>
    <w:lvl w:ilvl="0" w:tplc="D2CA0C12">
      <w:start w:val="1"/>
      <w:numFmt w:val="bullet"/>
      <w:lvlText w:val="•"/>
      <w:lvlJc w:val="left"/>
      <w:pPr>
        <w:ind w:left="1080"/>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1" w:tplc="6B3A0976">
      <w:start w:val="1"/>
      <w:numFmt w:val="bullet"/>
      <w:lvlText w:val="o"/>
      <w:lvlJc w:val="left"/>
      <w:pPr>
        <w:ind w:left="1440"/>
      </w:pPr>
      <w:rPr>
        <w:rFonts w:ascii="Segoe UI Symbol" w:eastAsia="Segoe UI Symbol" w:hAnsi="Segoe UI Symbol" w:cs="Segoe UI Symbol"/>
        <w:b w:val="0"/>
        <w:i w:val="0"/>
        <w:strike w:val="0"/>
        <w:dstrike w:val="0"/>
        <w:color w:val="000000"/>
        <w:sz w:val="40"/>
        <w:szCs w:val="40"/>
        <w:u w:val="none" w:color="000000"/>
        <w:bdr w:val="none" w:sz="0" w:space="0" w:color="auto"/>
        <w:shd w:val="clear" w:color="auto" w:fill="auto"/>
        <w:vertAlign w:val="baseline"/>
      </w:rPr>
    </w:lvl>
    <w:lvl w:ilvl="2" w:tplc="52E0D9F6">
      <w:start w:val="1"/>
      <w:numFmt w:val="bullet"/>
      <w:lvlText w:val="▪"/>
      <w:lvlJc w:val="left"/>
      <w:pPr>
        <w:ind w:left="2160"/>
      </w:pPr>
      <w:rPr>
        <w:rFonts w:ascii="Segoe UI Symbol" w:eastAsia="Segoe UI Symbol" w:hAnsi="Segoe UI Symbol" w:cs="Segoe UI Symbol"/>
        <w:b w:val="0"/>
        <w:i w:val="0"/>
        <w:strike w:val="0"/>
        <w:dstrike w:val="0"/>
        <w:color w:val="000000"/>
        <w:sz w:val="40"/>
        <w:szCs w:val="40"/>
        <w:u w:val="none" w:color="000000"/>
        <w:bdr w:val="none" w:sz="0" w:space="0" w:color="auto"/>
        <w:shd w:val="clear" w:color="auto" w:fill="auto"/>
        <w:vertAlign w:val="baseline"/>
      </w:rPr>
    </w:lvl>
    <w:lvl w:ilvl="3" w:tplc="5F0CDE82">
      <w:start w:val="1"/>
      <w:numFmt w:val="bullet"/>
      <w:lvlText w:val="•"/>
      <w:lvlJc w:val="left"/>
      <w:pPr>
        <w:ind w:left="2880"/>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4" w:tplc="AA0C2C98">
      <w:start w:val="1"/>
      <w:numFmt w:val="bullet"/>
      <w:lvlText w:val="o"/>
      <w:lvlJc w:val="left"/>
      <w:pPr>
        <w:ind w:left="3600"/>
      </w:pPr>
      <w:rPr>
        <w:rFonts w:ascii="Segoe UI Symbol" w:eastAsia="Segoe UI Symbol" w:hAnsi="Segoe UI Symbol" w:cs="Segoe UI Symbol"/>
        <w:b w:val="0"/>
        <w:i w:val="0"/>
        <w:strike w:val="0"/>
        <w:dstrike w:val="0"/>
        <w:color w:val="000000"/>
        <w:sz w:val="40"/>
        <w:szCs w:val="40"/>
        <w:u w:val="none" w:color="000000"/>
        <w:bdr w:val="none" w:sz="0" w:space="0" w:color="auto"/>
        <w:shd w:val="clear" w:color="auto" w:fill="auto"/>
        <w:vertAlign w:val="baseline"/>
      </w:rPr>
    </w:lvl>
    <w:lvl w:ilvl="5" w:tplc="2416D800">
      <w:start w:val="1"/>
      <w:numFmt w:val="bullet"/>
      <w:lvlText w:val="▪"/>
      <w:lvlJc w:val="left"/>
      <w:pPr>
        <w:ind w:left="4320"/>
      </w:pPr>
      <w:rPr>
        <w:rFonts w:ascii="Segoe UI Symbol" w:eastAsia="Segoe UI Symbol" w:hAnsi="Segoe UI Symbol" w:cs="Segoe UI Symbol"/>
        <w:b w:val="0"/>
        <w:i w:val="0"/>
        <w:strike w:val="0"/>
        <w:dstrike w:val="0"/>
        <w:color w:val="000000"/>
        <w:sz w:val="40"/>
        <w:szCs w:val="40"/>
        <w:u w:val="none" w:color="000000"/>
        <w:bdr w:val="none" w:sz="0" w:space="0" w:color="auto"/>
        <w:shd w:val="clear" w:color="auto" w:fill="auto"/>
        <w:vertAlign w:val="baseline"/>
      </w:rPr>
    </w:lvl>
    <w:lvl w:ilvl="6" w:tplc="2D34A740">
      <w:start w:val="1"/>
      <w:numFmt w:val="bullet"/>
      <w:lvlText w:val="•"/>
      <w:lvlJc w:val="left"/>
      <w:pPr>
        <w:ind w:left="5040"/>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7" w:tplc="C786DFBC">
      <w:start w:val="1"/>
      <w:numFmt w:val="bullet"/>
      <w:lvlText w:val="o"/>
      <w:lvlJc w:val="left"/>
      <w:pPr>
        <w:ind w:left="5760"/>
      </w:pPr>
      <w:rPr>
        <w:rFonts w:ascii="Segoe UI Symbol" w:eastAsia="Segoe UI Symbol" w:hAnsi="Segoe UI Symbol" w:cs="Segoe UI Symbol"/>
        <w:b w:val="0"/>
        <w:i w:val="0"/>
        <w:strike w:val="0"/>
        <w:dstrike w:val="0"/>
        <w:color w:val="000000"/>
        <w:sz w:val="40"/>
        <w:szCs w:val="40"/>
        <w:u w:val="none" w:color="000000"/>
        <w:bdr w:val="none" w:sz="0" w:space="0" w:color="auto"/>
        <w:shd w:val="clear" w:color="auto" w:fill="auto"/>
        <w:vertAlign w:val="baseline"/>
      </w:rPr>
    </w:lvl>
    <w:lvl w:ilvl="8" w:tplc="F25EA32E">
      <w:start w:val="1"/>
      <w:numFmt w:val="bullet"/>
      <w:lvlText w:val="▪"/>
      <w:lvlJc w:val="left"/>
      <w:pPr>
        <w:ind w:left="6480"/>
      </w:pPr>
      <w:rPr>
        <w:rFonts w:ascii="Segoe UI Symbol" w:eastAsia="Segoe UI Symbol" w:hAnsi="Segoe UI Symbol" w:cs="Segoe UI Symbol"/>
        <w:b w:val="0"/>
        <w:i w:val="0"/>
        <w:strike w:val="0"/>
        <w:dstrike w:val="0"/>
        <w:color w:val="000000"/>
        <w:sz w:val="40"/>
        <w:szCs w:val="40"/>
        <w:u w:val="none" w:color="000000"/>
        <w:bdr w:val="none" w:sz="0" w:space="0" w:color="auto"/>
        <w:shd w:val="clear" w:color="auto" w:fill="auto"/>
        <w:vertAlign w:val="baseline"/>
      </w:rPr>
    </w:lvl>
  </w:abstractNum>
  <w:abstractNum w:abstractNumId="1" w15:restartNumberingAfterBreak="0">
    <w:nsid w:val="135318AC"/>
    <w:multiLevelType w:val="hybridMultilevel"/>
    <w:tmpl w:val="732A9A60"/>
    <w:lvl w:ilvl="0" w:tplc="CA70A89E">
      <w:start w:val="1"/>
      <w:numFmt w:val="decimal"/>
      <w:lvlText w:val="(%1)"/>
      <w:lvlJc w:val="left"/>
      <w:pPr>
        <w:ind w:left="91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1" w:tplc="672A3B60">
      <w:start w:val="1"/>
      <w:numFmt w:val="lowerLetter"/>
      <w:lvlText w:val="%2"/>
      <w:lvlJc w:val="left"/>
      <w:pPr>
        <w:ind w:left="108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2" w:tplc="3C2E0B04">
      <w:start w:val="1"/>
      <w:numFmt w:val="lowerRoman"/>
      <w:lvlText w:val="%3"/>
      <w:lvlJc w:val="left"/>
      <w:pPr>
        <w:ind w:left="180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3" w:tplc="D4208A12">
      <w:start w:val="1"/>
      <w:numFmt w:val="decimal"/>
      <w:lvlText w:val="%4"/>
      <w:lvlJc w:val="left"/>
      <w:pPr>
        <w:ind w:left="252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4" w:tplc="61068428">
      <w:start w:val="1"/>
      <w:numFmt w:val="lowerLetter"/>
      <w:lvlText w:val="%5"/>
      <w:lvlJc w:val="left"/>
      <w:pPr>
        <w:ind w:left="324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5" w:tplc="84288BB8">
      <w:start w:val="1"/>
      <w:numFmt w:val="lowerRoman"/>
      <w:lvlText w:val="%6"/>
      <w:lvlJc w:val="left"/>
      <w:pPr>
        <w:ind w:left="396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6" w:tplc="92A4177E">
      <w:start w:val="1"/>
      <w:numFmt w:val="decimal"/>
      <w:lvlText w:val="%7"/>
      <w:lvlJc w:val="left"/>
      <w:pPr>
        <w:ind w:left="468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7" w:tplc="83D6329C">
      <w:start w:val="1"/>
      <w:numFmt w:val="lowerLetter"/>
      <w:lvlText w:val="%8"/>
      <w:lvlJc w:val="left"/>
      <w:pPr>
        <w:ind w:left="540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8" w:tplc="F7D2DCAA">
      <w:start w:val="1"/>
      <w:numFmt w:val="lowerRoman"/>
      <w:lvlText w:val="%9"/>
      <w:lvlJc w:val="left"/>
      <w:pPr>
        <w:ind w:left="612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abstractNum>
  <w:abstractNum w:abstractNumId="2" w15:restartNumberingAfterBreak="0">
    <w:nsid w:val="34573628"/>
    <w:multiLevelType w:val="hybridMultilevel"/>
    <w:tmpl w:val="DA40471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56526171"/>
    <w:multiLevelType w:val="hybridMultilevel"/>
    <w:tmpl w:val="E6CCBB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257835161">
    <w:abstractNumId w:val="1"/>
  </w:num>
  <w:num w:numId="2" w16cid:durableId="1236285077">
    <w:abstractNumId w:val="0"/>
  </w:num>
  <w:num w:numId="3" w16cid:durableId="880434992">
    <w:abstractNumId w:val="2"/>
  </w:num>
  <w:num w:numId="4" w16cid:durableId="17977486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C76"/>
    <w:rsid w:val="00152C49"/>
    <w:rsid w:val="00164C76"/>
    <w:rsid w:val="00236F4C"/>
    <w:rsid w:val="00443E68"/>
    <w:rsid w:val="006021B5"/>
    <w:rsid w:val="007738B5"/>
    <w:rsid w:val="009701CC"/>
    <w:rsid w:val="00B972B8"/>
    <w:rsid w:val="00C572D8"/>
    <w:rsid w:val="00C74DE6"/>
    <w:rsid w:val="00E8534B"/>
    <w:rsid w:val="00ED4F44"/>
    <w:rsid w:val="00F768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23819"/>
  <w15:docId w15:val="{3917202C-143D-42D4-A65A-650452403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7" w:line="248" w:lineRule="auto"/>
      <w:ind w:left="370" w:right="812" w:hanging="10"/>
      <w:jc w:val="both"/>
    </w:pPr>
    <w:rPr>
      <w:rFonts w:ascii="Times New Roman" w:eastAsia="Times New Roman" w:hAnsi="Times New Roman" w:cs="Times New Roman"/>
      <w:color w:val="000000"/>
      <w:sz w:val="40"/>
    </w:rPr>
  </w:style>
  <w:style w:type="paragraph" w:styleId="Heading1">
    <w:name w:val="heading 1"/>
    <w:next w:val="Normal"/>
    <w:link w:val="Heading1Char"/>
    <w:uiPriority w:val="9"/>
    <w:qFormat/>
    <w:pPr>
      <w:keepNext/>
      <w:keepLines/>
      <w:spacing w:after="155"/>
      <w:ind w:left="370" w:hanging="10"/>
      <w:outlineLvl w:val="0"/>
    </w:pPr>
    <w:rPr>
      <w:rFonts w:ascii="Times New Roman" w:eastAsia="Times New Roman" w:hAnsi="Times New Roman" w:cs="Times New Roman"/>
      <w:b/>
      <w:color w:val="000000"/>
      <w:sz w:val="48"/>
    </w:rPr>
  </w:style>
  <w:style w:type="paragraph" w:styleId="Heading2">
    <w:name w:val="heading 2"/>
    <w:next w:val="Normal"/>
    <w:link w:val="Heading2Char"/>
    <w:uiPriority w:val="9"/>
    <w:unhideWhenUsed/>
    <w:qFormat/>
    <w:pPr>
      <w:keepNext/>
      <w:keepLines/>
      <w:spacing w:after="0"/>
      <w:ind w:left="370" w:hanging="10"/>
      <w:outlineLvl w:val="1"/>
    </w:pPr>
    <w:rPr>
      <w:rFonts w:ascii="Times New Roman" w:eastAsia="Times New Roman" w:hAnsi="Times New Roman" w:cs="Times New Roman"/>
      <w:b/>
      <w:color w:val="000000"/>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8"/>
    </w:rPr>
  </w:style>
  <w:style w:type="paragraph" w:styleId="ListParagraph">
    <w:name w:val="List Paragraph"/>
    <w:basedOn w:val="Normal"/>
    <w:uiPriority w:val="34"/>
    <w:qFormat/>
    <w:rsid w:val="007738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152020">
      <w:bodyDiv w:val="1"/>
      <w:marLeft w:val="0"/>
      <w:marRight w:val="0"/>
      <w:marTop w:val="0"/>
      <w:marBottom w:val="0"/>
      <w:divBdr>
        <w:top w:val="none" w:sz="0" w:space="0" w:color="auto"/>
        <w:left w:val="none" w:sz="0" w:space="0" w:color="auto"/>
        <w:bottom w:val="none" w:sz="0" w:space="0" w:color="auto"/>
        <w:right w:val="none" w:sz="0" w:space="0" w:color="auto"/>
      </w:divBdr>
    </w:div>
    <w:div w:id="453058388">
      <w:bodyDiv w:val="1"/>
      <w:marLeft w:val="0"/>
      <w:marRight w:val="0"/>
      <w:marTop w:val="0"/>
      <w:marBottom w:val="0"/>
      <w:divBdr>
        <w:top w:val="none" w:sz="0" w:space="0" w:color="auto"/>
        <w:left w:val="none" w:sz="0" w:space="0" w:color="auto"/>
        <w:bottom w:val="none" w:sz="0" w:space="0" w:color="auto"/>
        <w:right w:val="none" w:sz="0" w:space="0" w:color="auto"/>
      </w:divBdr>
    </w:div>
    <w:div w:id="507671131">
      <w:bodyDiv w:val="1"/>
      <w:marLeft w:val="0"/>
      <w:marRight w:val="0"/>
      <w:marTop w:val="0"/>
      <w:marBottom w:val="0"/>
      <w:divBdr>
        <w:top w:val="none" w:sz="0" w:space="0" w:color="auto"/>
        <w:left w:val="none" w:sz="0" w:space="0" w:color="auto"/>
        <w:bottom w:val="none" w:sz="0" w:space="0" w:color="auto"/>
        <w:right w:val="none" w:sz="0" w:space="0" w:color="auto"/>
      </w:divBdr>
    </w:div>
    <w:div w:id="700010606">
      <w:bodyDiv w:val="1"/>
      <w:marLeft w:val="0"/>
      <w:marRight w:val="0"/>
      <w:marTop w:val="0"/>
      <w:marBottom w:val="0"/>
      <w:divBdr>
        <w:top w:val="none" w:sz="0" w:space="0" w:color="auto"/>
        <w:left w:val="none" w:sz="0" w:space="0" w:color="auto"/>
        <w:bottom w:val="none" w:sz="0" w:space="0" w:color="auto"/>
        <w:right w:val="none" w:sz="0" w:space="0" w:color="auto"/>
      </w:divBdr>
    </w:div>
    <w:div w:id="733897985">
      <w:bodyDiv w:val="1"/>
      <w:marLeft w:val="0"/>
      <w:marRight w:val="0"/>
      <w:marTop w:val="0"/>
      <w:marBottom w:val="0"/>
      <w:divBdr>
        <w:top w:val="none" w:sz="0" w:space="0" w:color="auto"/>
        <w:left w:val="none" w:sz="0" w:space="0" w:color="auto"/>
        <w:bottom w:val="none" w:sz="0" w:space="0" w:color="auto"/>
        <w:right w:val="none" w:sz="0" w:space="0" w:color="auto"/>
      </w:divBdr>
    </w:div>
    <w:div w:id="951744847">
      <w:bodyDiv w:val="1"/>
      <w:marLeft w:val="0"/>
      <w:marRight w:val="0"/>
      <w:marTop w:val="0"/>
      <w:marBottom w:val="0"/>
      <w:divBdr>
        <w:top w:val="none" w:sz="0" w:space="0" w:color="auto"/>
        <w:left w:val="none" w:sz="0" w:space="0" w:color="auto"/>
        <w:bottom w:val="none" w:sz="0" w:space="0" w:color="auto"/>
        <w:right w:val="none" w:sz="0" w:space="0" w:color="auto"/>
      </w:divBdr>
    </w:div>
    <w:div w:id="955059748">
      <w:bodyDiv w:val="1"/>
      <w:marLeft w:val="0"/>
      <w:marRight w:val="0"/>
      <w:marTop w:val="0"/>
      <w:marBottom w:val="0"/>
      <w:divBdr>
        <w:top w:val="none" w:sz="0" w:space="0" w:color="auto"/>
        <w:left w:val="none" w:sz="0" w:space="0" w:color="auto"/>
        <w:bottom w:val="none" w:sz="0" w:space="0" w:color="auto"/>
        <w:right w:val="none" w:sz="0" w:space="0" w:color="auto"/>
      </w:divBdr>
    </w:div>
    <w:div w:id="997542039">
      <w:bodyDiv w:val="1"/>
      <w:marLeft w:val="0"/>
      <w:marRight w:val="0"/>
      <w:marTop w:val="0"/>
      <w:marBottom w:val="0"/>
      <w:divBdr>
        <w:top w:val="none" w:sz="0" w:space="0" w:color="auto"/>
        <w:left w:val="none" w:sz="0" w:space="0" w:color="auto"/>
        <w:bottom w:val="none" w:sz="0" w:space="0" w:color="auto"/>
        <w:right w:val="none" w:sz="0" w:space="0" w:color="auto"/>
      </w:divBdr>
    </w:div>
    <w:div w:id="1036278134">
      <w:bodyDiv w:val="1"/>
      <w:marLeft w:val="0"/>
      <w:marRight w:val="0"/>
      <w:marTop w:val="0"/>
      <w:marBottom w:val="0"/>
      <w:divBdr>
        <w:top w:val="none" w:sz="0" w:space="0" w:color="auto"/>
        <w:left w:val="none" w:sz="0" w:space="0" w:color="auto"/>
        <w:bottom w:val="none" w:sz="0" w:space="0" w:color="auto"/>
        <w:right w:val="none" w:sz="0" w:space="0" w:color="auto"/>
      </w:divBdr>
    </w:div>
    <w:div w:id="1056126880">
      <w:bodyDiv w:val="1"/>
      <w:marLeft w:val="0"/>
      <w:marRight w:val="0"/>
      <w:marTop w:val="0"/>
      <w:marBottom w:val="0"/>
      <w:divBdr>
        <w:top w:val="none" w:sz="0" w:space="0" w:color="auto"/>
        <w:left w:val="none" w:sz="0" w:space="0" w:color="auto"/>
        <w:bottom w:val="none" w:sz="0" w:space="0" w:color="auto"/>
        <w:right w:val="none" w:sz="0" w:space="0" w:color="auto"/>
      </w:divBdr>
    </w:div>
    <w:div w:id="1137603391">
      <w:bodyDiv w:val="1"/>
      <w:marLeft w:val="0"/>
      <w:marRight w:val="0"/>
      <w:marTop w:val="0"/>
      <w:marBottom w:val="0"/>
      <w:divBdr>
        <w:top w:val="none" w:sz="0" w:space="0" w:color="auto"/>
        <w:left w:val="none" w:sz="0" w:space="0" w:color="auto"/>
        <w:bottom w:val="none" w:sz="0" w:space="0" w:color="auto"/>
        <w:right w:val="none" w:sz="0" w:space="0" w:color="auto"/>
      </w:divBdr>
    </w:div>
    <w:div w:id="1188564177">
      <w:bodyDiv w:val="1"/>
      <w:marLeft w:val="0"/>
      <w:marRight w:val="0"/>
      <w:marTop w:val="0"/>
      <w:marBottom w:val="0"/>
      <w:divBdr>
        <w:top w:val="none" w:sz="0" w:space="0" w:color="auto"/>
        <w:left w:val="none" w:sz="0" w:space="0" w:color="auto"/>
        <w:bottom w:val="none" w:sz="0" w:space="0" w:color="auto"/>
        <w:right w:val="none" w:sz="0" w:space="0" w:color="auto"/>
      </w:divBdr>
    </w:div>
    <w:div w:id="1243686925">
      <w:bodyDiv w:val="1"/>
      <w:marLeft w:val="0"/>
      <w:marRight w:val="0"/>
      <w:marTop w:val="0"/>
      <w:marBottom w:val="0"/>
      <w:divBdr>
        <w:top w:val="none" w:sz="0" w:space="0" w:color="auto"/>
        <w:left w:val="none" w:sz="0" w:space="0" w:color="auto"/>
        <w:bottom w:val="none" w:sz="0" w:space="0" w:color="auto"/>
        <w:right w:val="none" w:sz="0" w:space="0" w:color="auto"/>
      </w:divBdr>
    </w:div>
    <w:div w:id="1382559520">
      <w:bodyDiv w:val="1"/>
      <w:marLeft w:val="0"/>
      <w:marRight w:val="0"/>
      <w:marTop w:val="0"/>
      <w:marBottom w:val="0"/>
      <w:divBdr>
        <w:top w:val="none" w:sz="0" w:space="0" w:color="auto"/>
        <w:left w:val="none" w:sz="0" w:space="0" w:color="auto"/>
        <w:bottom w:val="none" w:sz="0" w:space="0" w:color="auto"/>
        <w:right w:val="none" w:sz="0" w:space="0" w:color="auto"/>
      </w:divBdr>
    </w:div>
    <w:div w:id="1458723076">
      <w:bodyDiv w:val="1"/>
      <w:marLeft w:val="0"/>
      <w:marRight w:val="0"/>
      <w:marTop w:val="0"/>
      <w:marBottom w:val="0"/>
      <w:divBdr>
        <w:top w:val="none" w:sz="0" w:space="0" w:color="auto"/>
        <w:left w:val="none" w:sz="0" w:space="0" w:color="auto"/>
        <w:bottom w:val="none" w:sz="0" w:space="0" w:color="auto"/>
        <w:right w:val="none" w:sz="0" w:space="0" w:color="auto"/>
      </w:divBdr>
    </w:div>
    <w:div w:id="1562714466">
      <w:bodyDiv w:val="1"/>
      <w:marLeft w:val="0"/>
      <w:marRight w:val="0"/>
      <w:marTop w:val="0"/>
      <w:marBottom w:val="0"/>
      <w:divBdr>
        <w:top w:val="none" w:sz="0" w:space="0" w:color="auto"/>
        <w:left w:val="none" w:sz="0" w:space="0" w:color="auto"/>
        <w:bottom w:val="none" w:sz="0" w:space="0" w:color="auto"/>
        <w:right w:val="none" w:sz="0" w:space="0" w:color="auto"/>
      </w:divBdr>
    </w:div>
    <w:div w:id="1631742784">
      <w:bodyDiv w:val="1"/>
      <w:marLeft w:val="0"/>
      <w:marRight w:val="0"/>
      <w:marTop w:val="0"/>
      <w:marBottom w:val="0"/>
      <w:divBdr>
        <w:top w:val="none" w:sz="0" w:space="0" w:color="auto"/>
        <w:left w:val="none" w:sz="0" w:space="0" w:color="auto"/>
        <w:bottom w:val="none" w:sz="0" w:space="0" w:color="auto"/>
        <w:right w:val="none" w:sz="0" w:space="0" w:color="auto"/>
      </w:divBdr>
    </w:div>
    <w:div w:id="1675953239">
      <w:bodyDiv w:val="1"/>
      <w:marLeft w:val="0"/>
      <w:marRight w:val="0"/>
      <w:marTop w:val="0"/>
      <w:marBottom w:val="0"/>
      <w:divBdr>
        <w:top w:val="none" w:sz="0" w:space="0" w:color="auto"/>
        <w:left w:val="none" w:sz="0" w:space="0" w:color="auto"/>
        <w:bottom w:val="none" w:sz="0" w:space="0" w:color="auto"/>
        <w:right w:val="none" w:sz="0" w:space="0" w:color="auto"/>
      </w:divBdr>
    </w:div>
    <w:div w:id="1961492998">
      <w:bodyDiv w:val="1"/>
      <w:marLeft w:val="0"/>
      <w:marRight w:val="0"/>
      <w:marTop w:val="0"/>
      <w:marBottom w:val="0"/>
      <w:divBdr>
        <w:top w:val="none" w:sz="0" w:space="0" w:color="auto"/>
        <w:left w:val="none" w:sz="0" w:space="0" w:color="auto"/>
        <w:bottom w:val="none" w:sz="0" w:space="0" w:color="auto"/>
        <w:right w:val="none" w:sz="0" w:space="0" w:color="auto"/>
      </w:divBdr>
    </w:div>
    <w:div w:id="2007172612">
      <w:bodyDiv w:val="1"/>
      <w:marLeft w:val="0"/>
      <w:marRight w:val="0"/>
      <w:marTop w:val="0"/>
      <w:marBottom w:val="0"/>
      <w:divBdr>
        <w:top w:val="none" w:sz="0" w:space="0" w:color="auto"/>
        <w:left w:val="none" w:sz="0" w:space="0" w:color="auto"/>
        <w:bottom w:val="none" w:sz="0" w:space="0" w:color="auto"/>
        <w:right w:val="none" w:sz="0" w:space="0" w:color="auto"/>
      </w:divBdr>
    </w:div>
    <w:div w:id="20692595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g" /><Relationship Id="rId3" Type="http://schemas.openxmlformats.org/officeDocument/2006/relationships/styles" Target="styles.xml" /><Relationship Id="rId7" Type="http://schemas.openxmlformats.org/officeDocument/2006/relationships/image" Target="media/image2.jpeg"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image" Target="media/image1.jpg"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image" Target="media/image4.jpg" /><Relationship Id="rId4" Type="http://schemas.openxmlformats.org/officeDocument/2006/relationships/settings" Target="settings.xml" /><Relationship Id="rId9" Type="http://schemas.openxmlformats.org/officeDocument/2006/relationships/image" Target="media/image0.jp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MMH10</b:Tag>
    <b:SourceType>BookSection</b:SourceType>
    <b:Guid>{0A0F8493-C559-43D5-B85D-46C00CE7DE77}</b:Guid>
    <b:Title>The Subsurface Geology and Source Rocks Characteristics of Some Jurassic and Cretaceous Sequences in the West Qarun Area, North Western Desert, Egypt</b:Title>
    <b:Year>Aug 2010</b:Year>
    <b:Author>
      <b:Author>
        <b:NameList>
          <b:Person>
            <b:Last>M. M. Hammad</b:Last>
            <b:First>S.</b:First>
            <b:Middle>A. Awad,M. M. El Nady &amp;D. A. Moussa</b:Middle>
          </b:Person>
        </b:NameList>
      </b:Author>
    </b:Author>
    <b:BookTitle>Energy Sources, Part A: Recovery, Utilization, and Environmental Effects </b:BookTitle>
    <b:RefOrder>1</b:RefOrder>
  </b:Source>
  <b:Source>
    <b:Tag>Dea01</b:Tag>
    <b:SourceType>JournalArticle</b:SourceType>
    <b:Guid>{80685618-1DAD-4523-98F6-E1418FE3F7FD}</b:Guid>
    <b:Author>
      <b:Author>
        <b:NameList>
          <b:Person>
            <b:Last>Deaf</b:Last>
            <b:First>Amr</b:First>
          </b:Person>
        </b:NameList>
      </b:Author>
    </b:Author>
    <b:Title>Palynology, palynofacies and hydrocarbon potential of the Cretaceous rocks of northern Egypt</b:Title>
    <b:JournalName>THES</b:JournalName>
    <b:Year>2009/12/01</b:Year>
    <b:RefOrder>7</b:RefOrder>
  </b:Source>
  <b:Source>
    <b:Tag>Tho</b:Tag>
    <b:SourceType>BookSection</b:SourceType>
    <b:Guid>{AECAF96C-56E0-43EB-A71C-65FB11DDF5F0}</b:Guid>
    <b:Title>Organic facies and hydrocarbon potential of the early-middle Albian Kharita Formation in the Abu Gharadig Basin, Egypt as demonstrated by palynology, organic petrology, and geochemistry</b:Title>
    <b:Author>
      <b:Author>
        <b:NameList>
          <b:Person>
            <b:Last>Thomas Gentzis</b:Last>
            <b:First>Humberto</b:First>
            <b:Middle>Carvajal-Ortiz,Amr S. Deaf</b:Middle>
          </b:Person>
        </b:NameList>
      </b:Author>
    </b:Author>
    <b:Year>2018/08/18</b:Year>
    <b:RefOrder>2</b:RefOrder>
  </b:Source>
  <b:Source>
    <b:Tag>Mou01</b:Tag>
    <b:SourceType>JournalArticle</b:SourceType>
    <b:Guid>{15B0E19E-7B5C-4D9C-927D-BDA9E362FCAD}</b:Guid>
    <b:Title>Mesozoic-Cenozoic basin evolution in the northern Western Desert of Egypt</b:Title>
    <b:Year>2008/01/01</b:Year>
    <b:Author>
      <b:Author>
        <b:NameList>
          <b:Person>
            <b:Last>Moustafa</b:Last>
            <b:First>Adel</b:First>
          </b:Person>
        </b:NameList>
      </b:Author>
    </b:Author>
    <b:RefOrder>8</b:RefOrder>
  </b:Source>
  <b:Source>
    <b:Tag>Moh12</b:Tag>
    <b:SourceType>JournalArticle</b:SourceType>
    <b:Guid>{3FD78127-C231-43BE-88F7-26FBDFE5C004}</b:Guid>
    <b:Title>Organic geochemical characteristics and interpreted depositional environment of the Khatatba Formation, northern Western Desert, Egypt</b:Title>
    <b:Year>Nov 2012</b:Year>
    <b:Author>
      <b:Author>
        <b:NameList>
          <b:Person>
            <b:Last>Mohamed Ragab Shalaby</b:Last>
            <b:First>Mohammed</b:First>
            <b:Middle>Hail Hakimi</b:Middle>
          </b:Person>
        </b:NameList>
      </b:Author>
    </b:Author>
    <b:RefOrder>9</b:RefOrder>
  </b:Source>
  <b:Source>
    <b:Tag>Dea05</b:Tag>
    <b:SourceType>JournalArticle</b:SourceType>
    <b:Guid>{613CC7CA-14B6-4A63-8B91-6CE21E54E547}</b:Guid>
    <b:Author>
      <b:Author>
        <b:NameList>
          <b:Person>
            <b:Last>Deaf</b:Last>
            <b:First>Amr-</b:First>
            <b:Middle>Harding, Ian- Harding, Ian</b:Middle>
          </b:Person>
        </b:NameList>
      </b:Author>
    </b:Author>
    <b:Title>Cretaceous (Hauterivian–Cenomanian) palaeoceanographic conditions in southeastern Tethys (Matruh Basin, Egypt): implications for the Cretaceous climate of northeastern Gondwana</b:Title>
    <b:Year>2019/09/05</b:Year>
    <b:RefOrder>10</b:RefOrder>
  </b:Source>
  <b:Source>
    <b:Tag>Tan01</b:Tag>
    <b:SourceType>JournalArticle</b:SourceType>
    <b:Guid>{8688CBEA-590C-4FCE-B1F8-17A166577A97}</b:Guid>
    <b:Author>
      <b:Author>
        <b:NameList>
          <b:Person>
            <b:Last>Tan</b:Last>
            <b:First>Maojin</b:First>
            <b:Middle>- Mao, Keyu- Song, Xiaodong- Xu, Jingjing</b:Middle>
          </b:Person>
        </b:NameList>
      </b:Author>
    </b:Author>
    <b:Title>NMR Petrophysical Interpretation Method of Gas Shale Based on Core NMR Experiment</b:Title>
    <b:JournalName>Journal of Petroleum Science and Engineering</b:JournalName>
    <b:Year>2015/11/01</b:Year>
    <b:RefOrder>11</b:RefOrder>
  </b:Source>
  <b:Source>
    <b:Tag>Egy18</b:Tag>
    <b:SourceType>Book</b:SourceType>
    <b:Guid>{93B68413-27EA-4975-AF0A-BBE2BBB0D32D}</b:Guid>
    <b:Title>NMR Logging tools providing better answers forhydrocarbon bearing reservoirs, North Western Desert, Egypt</b:Title>
    <b:Year>2016/03/18</b:Year>
    <b:Author>
      <b:Author>
        <b:NameList>
          <b:Person>
            <b:Last>Mohamed R. Shalaby*</b:Last>
            <b:First>Abdelmoneim</b:First>
            <b:Middle>N. Abu Shady** and Osamu Takano</b:Middle>
          </b:Person>
        </b:NameList>
      </b:Author>
    </b:Author>
    <b:RefOrder>3</b:RefOrder>
  </b:Source>
  <b:Source>
    <b:Tag>Ade16</b:Tag>
    <b:SourceType>Book</b:SourceType>
    <b:Guid>{D3D14929-D652-48F5-9948-B5D66FAE1C2F}</b:Guid>
    <b:Title>Integration between well logging and seismic reflection techniques for structural analysis and reservoir characterizations, Abu El Gharadig basin, Egypt</b:Title>
    <b:Year>12 August 2016</b:Year>
    <b:Author>
      <b:Author>
        <b:NameList>
          <b:Person>
            <b:Last>Adel K.Mohamed</b:Last>
            <b:First>Hosni</b:First>
            <b:Middle>H.Ghazala,LameesMohamed</b:Middle>
          </b:Person>
        </b:NameList>
      </b:Author>
    </b:Author>
    <b:RefOrder>4</b:RefOrder>
  </b:Source>
  <b:Source>
    <b:Tag>Abd17</b:Tag>
    <b:SourceType>Book</b:SourceType>
    <b:Guid>{6938571D-BD81-4657-8ACC-C9FC6DA54581}</b:Guid>
    <b:Author>
      <b:Author>
        <b:NameList>
          <b:Person>
            <b:Last>Abd El-Gawad</b:Last>
            <b:First>E.A.,</b:First>
            <b:Middle>Mousa, D.A., Lotfy, M.A.,</b:Middle>
          </b:Person>
        </b:NameList>
      </b:Author>
    </b:Author>
    <b:Title>Origin of Bahariya oil in Salam oil field, Western</b:Title>
    <b:Year>2017</b:Year>
    <b:RefOrder>5</b:RefOrder>
  </b:Source>
  <b:Source>
    <b:Tag>Abo17</b:Tag>
    <b:SourceType>Book</b:SourceType>
    <b:Guid>{4FE2103E-E0AF-4182-9B6E-C66C1C188289}</b:Guid>
    <b:Author>
      <b:Author>
        <b:NameList>
          <b:Person>
            <b:Last>AboulEla</b:Last>
            <b:First>N.,</b:First>
            <b:Middle>Tahoun, S.S., Mostafa, T.F.,</b:Middle>
          </b:Person>
        </b:NameList>
      </b:Author>
    </b:Author>
    <b:Title>Source rock evaluation of Kharita and Bahariya formations in some wells, North Western</b:Title>
    <b:Year>2017</b:Year>
    <b:RefOrder>6</b:RefOrder>
  </b:Source>
</b:Sources>
</file>

<file path=customXml/itemProps1.xml><?xml version="1.0" encoding="utf-8"?>
<ds:datastoreItem xmlns:ds="http://schemas.openxmlformats.org/officeDocument/2006/customXml" ds:itemID="{F7791669-3730-4DE2-9832-B9F7034BCC9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531</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Abdulrazik ali</dc:creator>
  <cp:keywords/>
  <cp:lastModifiedBy>Ahmed Abdulrazik ali</cp:lastModifiedBy>
  <cp:revision>2</cp:revision>
  <dcterms:created xsi:type="dcterms:W3CDTF">2022-08-08T13:07:00Z</dcterms:created>
  <dcterms:modified xsi:type="dcterms:W3CDTF">2022-08-08T13:07:00Z</dcterms:modified>
</cp:coreProperties>
</file>