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media/image2.png" ContentType="image/png"/>
  <Override PartName="/word/media/image1.jpeg" ContentType="image/jpe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krper"/>
        <w:rPr>
          <w:sz w:val="20"/>
        </w:rPr>
      </w:pPr>
      <w:r>
        <w:rPr>
          <w:sz w:val="20"/>
        </w:rPr>
        <w:t xml:space="preserve">   </w:t>
      </w:r>
      <w:r>
        <w:rPr/>
        <w:drawing>
          <wp:inline distT="0" distB="0" distL="0" distR="0">
            <wp:extent cx="7346950" cy="787400"/>
            <wp:effectExtent l="0" t="0" r="0" b="0"/>
            <wp:docPr id="1"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
                    <pic:cNvPicPr>
                      <a:picLocks noChangeAspect="1" noChangeArrowheads="1"/>
                    </pic:cNvPicPr>
                  </pic:nvPicPr>
                  <pic:blipFill>
                    <a:blip r:embed="rId2"/>
                    <a:stretch>
                      <a:fillRect/>
                    </a:stretch>
                  </pic:blipFill>
                  <pic:spPr bwMode="auto">
                    <a:xfrm>
                      <a:off x="0" y="0"/>
                      <a:ext cx="7346950" cy="787400"/>
                    </a:xfrm>
                    <a:prstGeom prst="rect">
                      <a:avLst/>
                    </a:prstGeom>
                  </pic:spPr>
                </pic:pic>
              </a:graphicData>
            </a:graphic>
          </wp:inline>
        </w:drawing>
      </w:r>
    </w:p>
    <w:p>
      <w:pPr>
        <w:pStyle w:val="Textkrper"/>
        <w:spacing w:before="5" w:after="0"/>
        <w:rPr>
          <w:sz w:val="10"/>
        </w:rPr>
      </w:pPr>
      <w:r>
        <w:rPr>
          <w:sz w:val="10"/>
        </w:rPr>
        <mc:AlternateContent>
          <mc:Choice Requires="wps">
            <w:drawing>
              <wp:anchor behindDoc="0" distT="0" distB="0" distL="0" distR="0" simplePos="0" locked="0" layoutInCell="1" allowOverlap="1" relativeHeight="2">
                <wp:simplePos x="0" y="0"/>
                <wp:positionH relativeFrom="page">
                  <wp:posOffset>169545</wp:posOffset>
                </wp:positionH>
                <wp:positionV relativeFrom="paragraph">
                  <wp:posOffset>123190</wp:posOffset>
                </wp:positionV>
                <wp:extent cx="7201535" cy="635"/>
                <wp:effectExtent l="17145" t="27940" r="20955" b="29210"/>
                <wp:wrapTopAndBottom/>
                <wp:docPr id="2" name="Line 4"/>
                <a:graphic xmlns:a="http://schemas.openxmlformats.org/drawingml/2006/main">
                  <a:graphicData uri="http://schemas.microsoft.com/office/word/2010/wordprocessingShape">
                    <wps:wsp>
                      <wps:cNvSpPr/>
                      <wps:spPr>
                        <a:xfrm>
                          <a:off x="0" y="0"/>
                          <a:ext cx="7201080" cy="0"/>
                        </a:xfrm>
                        <a:prstGeom prst="line">
                          <a:avLst/>
                        </a:prstGeom>
                        <a:ln w="25560">
                          <a:solidFill>
                            <a:srgbClr val="5a5a5a"/>
                          </a:solidFill>
                          <a:round/>
                        </a:ln>
                      </wps:spPr>
                      <wps:style>
                        <a:lnRef idx="0"/>
                        <a:fillRef idx="0"/>
                        <a:effectRef idx="0"/>
                        <a:fontRef idx="minor"/>
                      </wps:style>
                      <wps:bodyPr/>
                    </wps:wsp>
                  </a:graphicData>
                </a:graphic>
              </wp:anchor>
            </w:drawing>
          </mc:Choice>
          <mc:Fallback>
            <w:pict>
              <v:line id="shape_0" from="13.35pt,9.7pt" to="580.3pt,9.7pt" ID="Line 4" stroked="t" style="position:absolute;mso-position-horizontal-relative:page">
                <v:stroke color="#5a5a5a" weight="25560" joinstyle="round" endcap="flat"/>
                <v:fill o:detectmouseclick="t" on="false"/>
              </v:line>
            </w:pict>
          </mc:Fallback>
        </mc:AlternateContent>
      </w:r>
    </w:p>
    <w:p>
      <w:pPr>
        <w:pStyle w:val="Berschrift1"/>
        <w:ind w:left="1105" w:right="1062" w:hanging="0"/>
        <w:jc w:val="center"/>
        <w:rPr/>
      </w:pPr>
      <w:r>
        <w:rPr>
          <w:color w:val="585858"/>
          <w:u w:val="thick" w:color="585858"/>
        </w:rPr>
        <w:t xml:space="preserve">Abstract </w:t>
      </w:r>
    </w:p>
    <w:p>
      <w:pPr>
        <w:pStyle w:val="Textkrper"/>
        <w:rPr>
          <w:b/>
          <w:b/>
          <w:sz w:val="14"/>
        </w:rPr>
      </w:pPr>
      <w:r>
        <w:rPr>
          <w:b/>
          <w:sz w:val="14"/>
        </w:rPr>
      </w:r>
    </w:p>
    <w:p>
      <w:pPr>
        <w:pStyle w:val="Normal"/>
        <w:spacing w:before="92" w:after="0"/>
        <w:ind w:left="594" w:right="151" w:hanging="0"/>
        <w:rPr/>
      </w:pPr>
      <w:r>
        <w:rPr>
          <w:b/>
          <w:color w:val="585858"/>
          <w:sz w:val="18"/>
          <w:szCs w:val="18"/>
        </w:rPr>
        <w:t xml:space="preserve">Title: </w:t>
      </w:r>
      <w:bookmarkStart w:id="0" w:name="__DdeLink__172_3180919092"/>
      <w:r>
        <w:rPr>
          <w:b/>
          <w:color w:val="585858"/>
          <w:sz w:val="18"/>
          <w:szCs w:val="18"/>
        </w:rPr>
        <w:t>S</w:t>
      </w:r>
      <w:r>
        <w:rPr>
          <w:b/>
          <w:color w:val="585858"/>
          <w:sz w:val="18"/>
          <w:szCs w:val="18"/>
        </w:rPr>
        <w:t xml:space="preserve">oft sensor methodology for the precise spatial and temporal prediction of thermodynamic </w:t>
      </w:r>
      <w:r>
        <w:rPr>
          <w:b/>
          <w:color w:val="585858"/>
          <w:sz w:val="18"/>
          <w:szCs w:val="18"/>
        </w:rPr>
        <w:t>states inside</w:t>
      </w:r>
      <w:r>
        <w:rPr>
          <w:b/>
          <w:color w:val="585858"/>
          <w:sz w:val="18"/>
          <w:szCs w:val="18"/>
        </w:rPr>
        <w:t xml:space="preserve"> chemical reactor</w:t>
      </w:r>
      <w:bookmarkEnd w:id="0"/>
    </w:p>
    <w:p>
      <w:pPr>
        <w:pStyle w:val="Normal"/>
        <w:spacing w:before="92" w:after="0"/>
        <w:ind w:left="594" w:right="151" w:hanging="0"/>
        <w:rPr>
          <w:b/>
          <w:b/>
          <w:color w:val="585858"/>
          <w:sz w:val="18"/>
          <w:szCs w:val="18"/>
        </w:rPr>
      </w:pPr>
      <w:r>
        <w:rPr/>
      </w:r>
    </w:p>
    <w:p>
      <w:pPr>
        <w:pStyle w:val="Berschrift3"/>
        <w:spacing w:lineRule="exact" w:line="214"/>
        <w:ind w:left="594" w:hanging="0"/>
        <w:rPr/>
      </w:pPr>
      <w:r>
        <w:rPr>
          <w:color w:val="585858"/>
          <w:sz w:val="18"/>
          <w:szCs w:val="18"/>
        </w:rPr>
        <w:t>Fabian ZAPF</w:t>
      </w:r>
      <w:r>
        <w:rPr>
          <w:color w:val="585858"/>
          <w:sz w:val="18"/>
          <w:szCs w:val="18"/>
          <w:vertAlign w:val="superscript"/>
        </w:rPr>
        <w:t>1</w:t>
      </w:r>
      <w:r>
        <w:rPr>
          <w:color w:val="585858"/>
          <w:sz w:val="18"/>
          <w:szCs w:val="18"/>
        </w:rPr>
        <w:t xml:space="preserve">,  </w:t>
      </w:r>
      <w:r>
        <w:rPr>
          <w:color w:val="585858"/>
          <w:sz w:val="18"/>
          <w:szCs w:val="18"/>
        </w:rPr>
        <w:t xml:space="preserve">Elisabeth Rammerstorfer </w:t>
      </w:r>
      <w:r>
        <w:rPr>
          <w:color w:val="585858"/>
          <w:sz w:val="18"/>
          <w:szCs w:val="18"/>
          <w:vertAlign w:val="superscript"/>
        </w:rPr>
        <w:t>2</w:t>
      </w:r>
      <w:r>
        <w:rPr>
          <w:color w:val="585858"/>
          <w:sz w:val="18"/>
          <w:szCs w:val="18"/>
        </w:rPr>
        <w:t xml:space="preserve">, </w:t>
      </w:r>
      <w:r>
        <w:rPr>
          <w:color w:val="585858"/>
          <w:sz w:val="18"/>
          <w:szCs w:val="18"/>
        </w:rPr>
        <w:t>Erich Jeitler</w:t>
      </w:r>
      <w:r>
        <w:rPr>
          <w:color w:val="585858"/>
          <w:sz w:val="18"/>
          <w:szCs w:val="18"/>
          <w:vertAlign w:val="superscript"/>
        </w:rPr>
        <w:t>2,</w:t>
      </w:r>
      <w:r>
        <w:rPr>
          <w:color w:val="585858"/>
          <w:position w:val="0"/>
          <w:sz w:val="18"/>
          <w:sz w:val="18"/>
          <w:szCs w:val="18"/>
          <w:vertAlign w:val="baseline"/>
        </w:rPr>
        <w:t xml:space="preserve"> Guenther Holzer</w:t>
      </w:r>
      <w:r>
        <w:rPr>
          <w:color w:val="585858"/>
          <w:sz w:val="18"/>
          <w:szCs w:val="18"/>
          <w:vertAlign w:val="superscript"/>
        </w:rPr>
        <w:t>*</w:t>
      </w:r>
      <w:r>
        <w:rPr>
          <w:color w:val="585858"/>
          <w:position w:val="0"/>
          <w:sz w:val="18"/>
          <w:sz w:val="18"/>
          <w:szCs w:val="18"/>
          <w:vertAlign w:val="baseline"/>
        </w:rPr>
        <w:t>, Thomas Wallek</w:t>
      </w:r>
      <w:r>
        <w:rPr>
          <w:color w:val="585858"/>
          <w:sz w:val="18"/>
          <w:szCs w:val="18"/>
          <w:vertAlign w:val="superscript"/>
        </w:rPr>
        <w:t>1</w:t>
      </w:r>
    </w:p>
    <w:p>
      <w:pPr>
        <w:pStyle w:val="Textkrper"/>
        <w:spacing w:lineRule="exact" w:line="231" w:before="126" w:after="0"/>
        <w:ind w:left="594" w:hanging="0"/>
        <w:rPr/>
      </w:pPr>
      <w:r>
        <w:rPr>
          <w:color w:val="585858"/>
          <w:position w:val="9"/>
          <w:sz w:val="16"/>
          <w:szCs w:val="16"/>
        </w:rPr>
        <w:t>1</w:t>
      </w:r>
      <w:r>
        <w:rPr>
          <w:color w:val="585858"/>
          <w:sz w:val="16"/>
          <w:szCs w:val="16"/>
        </w:rPr>
        <w:t>Graz University of Technology, Institute of Chemical Engineering and Environmental Technology, Inffeldgasse 25/C, 8010 Graz</w:t>
      </w:r>
    </w:p>
    <w:p>
      <w:pPr>
        <w:pStyle w:val="Textkrper"/>
        <w:spacing w:lineRule="exact" w:line="231"/>
        <w:ind w:left="594" w:hanging="0"/>
        <w:rPr/>
      </w:pPr>
      <w:r>
        <w:rPr>
          <w:color w:val="585858"/>
          <w:position w:val="9"/>
          <w:sz w:val="16"/>
          <w:szCs w:val="16"/>
        </w:rPr>
        <w:t>2</w:t>
      </w:r>
      <w:r>
        <w:rPr>
          <w:color w:val="585858"/>
          <w:sz w:val="16"/>
          <w:szCs w:val="16"/>
        </w:rPr>
        <w:t>Prozess Optimal CAP GmbH, Impulszentrum 1, 8250 Vorau, Austria</w:t>
      </w:r>
    </w:p>
    <w:p>
      <w:pPr>
        <w:pStyle w:val="Textkrper"/>
        <w:spacing w:lineRule="exact" w:line="231"/>
        <w:ind w:left="594" w:hanging="0"/>
        <w:rPr/>
      </w:pPr>
      <w:r>
        <w:rPr>
          <w:color w:val="585858"/>
          <w:sz w:val="16"/>
          <w:szCs w:val="16"/>
        </w:rPr>
        <w:t>*</w:t>
      </w:r>
      <w:r>
        <w:rPr>
          <w:color w:val="585858"/>
          <w:sz w:val="16"/>
          <w:szCs w:val="16"/>
        </w:rPr>
        <w:t>holzer@prozess-otpimal.at</w:t>
      </w:r>
    </w:p>
    <w:p>
      <w:pPr>
        <w:pStyle w:val="Textkrper"/>
        <w:spacing w:before="9" w:after="0"/>
        <w:rPr/>
      </w:pPr>
      <w:r>
        <w:rPr/>
      </w:r>
    </w:p>
    <w:p>
      <w:pPr>
        <w:sectPr>
          <w:type w:val="nextPage"/>
          <w:pgSz w:w="11906" w:h="16838"/>
          <w:pgMar w:left="140" w:right="180" w:header="720" w:top="600" w:footer="720" w:bottom="280" w:gutter="0"/>
          <w:pgNumType w:fmt="decimal"/>
          <w:formProt w:val="false"/>
          <w:textDirection w:val="lrTb"/>
        </w:sectPr>
      </w:pPr>
    </w:p>
    <w:p>
      <w:pPr>
        <w:pStyle w:val="Berschrift3"/>
        <w:spacing w:before="114" w:after="0"/>
        <w:ind w:left="426" w:right="9" w:hanging="0"/>
        <w:jc w:val="both"/>
        <w:rPr/>
      </w:pPr>
      <w:r>
        <w:rPr>
          <w:color w:val="585858"/>
          <w:sz w:val="18"/>
          <w:szCs w:val="18"/>
        </w:rPr>
        <w:t xml:space="preserve">Keywords: </w:t>
      </w:r>
      <w:r>
        <w:rPr>
          <w:color w:val="585858"/>
          <w:sz w:val="18"/>
          <w:szCs w:val="18"/>
        </w:rPr>
        <w:t>Computational Modelling</w:t>
      </w:r>
      <w:r>
        <w:rPr>
          <w:color w:val="585858"/>
          <w:sz w:val="18"/>
          <w:szCs w:val="18"/>
        </w:rPr>
        <w:t xml:space="preserve">, </w:t>
      </w:r>
      <w:r>
        <w:rPr>
          <w:color w:val="585858"/>
          <w:sz w:val="18"/>
          <w:szCs w:val="18"/>
        </w:rPr>
        <w:t>Catalyst lifetime</w:t>
      </w:r>
      <w:r>
        <w:rPr>
          <w:color w:val="585858"/>
          <w:sz w:val="18"/>
          <w:szCs w:val="18"/>
        </w:rPr>
        <w:t xml:space="preserve">, </w:t>
      </w:r>
      <w:r>
        <w:rPr>
          <w:color w:val="585858"/>
          <w:sz w:val="18"/>
          <w:szCs w:val="18"/>
        </w:rPr>
        <w:t>Process Simulation</w:t>
      </w:r>
      <w:r>
        <w:rPr>
          <w:color w:val="585858"/>
          <w:sz w:val="18"/>
          <w:szCs w:val="18"/>
        </w:rPr>
        <w:t xml:space="preserve">, </w:t>
      </w:r>
      <w:r>
        <w:rPr>
          <w:color w:val="585858"/>
          <w:sz w:val="18"/>
          <w:szCs w:val="18"/>
        </w:rPr>
        <w:t>Reaction Modelling</w:t>
      </w:r>
    </w:p>
    <w:p>
      <w:pPr>
        <w:pStyle w:val="Textkrper"/>
        <w:rPr>
          <w:b/>
          <w:b/>
          <w:sz w:val="20"/>
        </w:rPr>
      </w:pPr>
      <w:r>
        <w:rPr>
          <w:b/>
          <w:sz w:val="20"/>
        </w:rPr>
      </w:r>
    </w:p>
    <w:p>
      <w:pPr>
        <w:pStyle w:val="Textkrper"/>
        <w:spacing w:before="10" w:after="0"/>
        <w:rPr>
          <w:b/>
          <w:b/>
        </w:rPr>
      </w:pPr>
      <w:r>
        <w:rPr>
          <w:b/>
        </w:rPr>
      </w:r>
    </w:p>
    <w:p>
      <w:pPr>
        <w:pStyle w:val="ListParagraph"/>
        <w:numPr>
          <w:ilvl w:val="0"/>
          <w:numId w:val="1"/>
        </w:numPr>
        <w:tabs>
          <w:tab w:val="clear" w:pos="709"/>
          <w:tab w:val="left" w:pos="1866" w:leader="none"/>
          <w:tab w:val="left" w:pos="1867" w:leader="none"/>
        </w:tabs>
        <w:ind w:left="1866" w:hanging="446"/>
        <w:jc w:val="left"/>
        <w:rPr>
          <w:b/>
          <w:b/>
          <w:sz w:val="19"/>
        </w:rPr>
      </w:pPr>
      <w:r>
        <w:rPr>
          <w:b/>
          <w:color w:val="585858"/>
          <w:sz w:val="19"/>
        </w:rPr>
        <w:t>Abstract Body (up to 250</w:t>
      </w:r>
      <w:r>
        <w:rPr>
          <w:b/>
          <w:color w:val="585858"/>
          <w:spacing w:val="-9"/>
          <w:sz w:val="19"/>
        </w:rPr>
        <w:t xml:space="preserve"> </w:t>
      </w:r>
      <w:r>
        <w:rPr>
          <w:b/>
          <w:color w:val="585858"/>
          <w:sz w:val="19"/>
        </w:rPr>
        <w:t>words)</w:t>
      </w:r>
    </w:p>
    <w:p>
      <w:pPr>
        <w:pStyle w:val="Textkrper"/>
        <w:spacing w:before="117" w:after="0"/>
        <w:ind w:left="426" w:hanging="0"/>
        <w:jc w:val="both"/>
        <w:rPr/>
      </w:pPr>
      <w:r>
        <w:rPr>
          <w:color w:val="585858"/>
        </w:rPr>
        <w:t>Inside a continuous chemical reactor, in which phase transitions occur during the reaction, thermodynamic conditions as well as compositions of the process stream are subject to significant spatial and temporal changes. Given that measured information about thermodynamic state variables is only available for the inlet and outlet stream of the reactor, it is currently not possible to determine a spatial distribution of thermodynamic states within the reactor on the basis of measured information via software sensors. As, in particular, exothermic chemical reactions often show temperature peaks which are likely to destroy catalysts and components or adversely affect their service life, this limited information about internal reactor states poses a considerable risk with regard to product quality and process reliability. Therefore, this paper proposes a novel approach in the area of sensor technology which is based on rigorous thermodynamic models and enables a more detailed prediction of the reaction progress in view of avoiding undesired temperature peaks, based on measured process parameters of the input and output streams only.</w:t>
      </w:r>
    </w:p>
    <w:p>
      <w:pPr>
        <w:pStyle w:val="Textkrper"/>
        <w:spacing w:before="117" w:after="0"/>
        <w:ind w:left="426" w:hanging="0"/>
        <w:jc w:val="both"/>
        <w:rPr/>
      </w:pPr>
      <w:r>
        <w:rPr>
          <w:color w:val="585858"/>
        </w:rPr>
        <w:t>As a reference model, a production plant for ethyl tert-butyl ether (ETBE) as part of the gasoline line of a refinery is chosen. The liquid educts of the reaction are fed into a cooled tubular reactor in a counterflow arrangement, and the products also leave the reactor in a liquid state. Although the exothermic nature of the reaction leads to partial evaporation inside the reactor, the reaction solely occurs in the liquid phase. The influence of the phase equilibrium on the kinetics has already been described in literature. [1] Via a user kinetic extension, the kinetics for ETBE and related side reactions [2] is implemented into the commercial flow-sheet based simulation program KBC PetroSIM®, which allows for static and dynamic simulations. Consequently, differential material balances, bulk models for the phase equilibrium calculation (activity coefficients and/or equations of state) and the reaction kinetics are combined into one system of equations for the entire reactor section. This has the advantage that the convergence speed of the mathematical solver is considerably higher, compared to finite element reactor modeling approaches where the systems of equations must be solved for each mesh cell. Furthermore, the combination of a user kinetic model with a commercial process simulation tool opens the access to a broad variety of thermodynamic property models, i.e., activity coefficients and equations of state, which makes it possible to model reactions for practically all kinds of highly non-ideal systems.</w:t>
      </w:r>
    </w:p>
    <w:p>
      <w:pPr>
        <w:pStyle w:val="Textkrper"/>
        <w:spacing w:before="117" w:after="0"/>
        <w:ind w:left="426" w:hanging="0"/>
        <w:jc w:val="both"/>
        <w:rPr/>
      </w:pPr>
      <w:r>
        <w:rPr>
          <w:color w:val="585858"/>
        </w:rPr>
        <w:t xml:space="preserve">Because the kinetic model for the reference reaction is based on activities, the liquid phase fugacities in the course of vapor-liquid equilibrium calculations are described by the NRTL activity coefficient model [3], where missing binary parameters are estimated using the modified UNIFAC (Dortmund) group contribution approach [4]. The formation of a vapor phase has a significant influence on the hydrodynamics inside the reactor because, for reasons of continuity, the flow rate increases and, consequently, the residence time of the reactants in the liquid phase decreases significantly. </w:t>
      </w:r>
    </w:p>
    <w:p>
      <w:pPr>
        <w:pStyle w:val="Textkrper"/>
        <w:spacing w:before="117" w:after="0"/>
        <w:ind w:left="426" w:hanging="0"/>
        <w:jc w:val="both"/>
        <w:rPr/>
      </w:pPr>
      <w:r>
        <w:rPr>
          <w:color w:val="585858"/>
        </w:rPr>
        <w:t>The core of the CAT-SAVE approach is the rigorous local calculation of phase equilibria. As the reaction yield increases, also the concentration of the product increases. If due to the exothermic nature of the reaction the local formation of a vapor phase occurs, the concentrations of the reactants and products (and, consequently, the activities) in both phases change. Because in the ETBE reaction the product represents the high-boiling component in the mixture, a partial evaporation implies an enrichment of the product in the liquid phase, which adversely affects the reaction rate. If, on the other hand, the concentration of the product increases, the reaction rate decreases.</w:t>
      </w:r>
    </w:p>
    <w:p>
      <w:pPr>
        <w:pStyle w:val="Textkrper"/>
        <w:spacing w:before="117" w:after="0"/>
        <w:ind w:left="426" w:hanging="0"/>
        <w:jc w:val="both"/>
        <w:rPr/>
      </w:pPr>
      <w:r>
        <w:rPr>
          <w:color w:val="585858"/>
        </w:rPr>
        <w:t>The resulting output of the model is a real-time visualization of the key process parameters, including the precise spatial and temporal prediction of temperatures inside the reactor and on the walls. Based on this information, destructive temperature peaks as well as undesired by-product formation can be avoided, and plant throughputs can be optimized precisely, taking into account material life and catalyst life cycle. For the reference plant at hand, the throughput-related catalyst life cycle could by increased by up to 10%. The method can easily be transferred to other processes.</w:t>
      </w:r>
    </w:p>
    <w:p>
      <w:pPr>
        <w:pStyle w:val="Textkrper"/>
        <w:spacing w:before="2" w:after="0"/>
        <w:rPr/>
      </w:pPr>
      <w:r>
        <w:rPr/>
      </w:r>
    </w:p>
    <w:p>
      <w:pPr>
        <w:pStyle w:val="Berschrift3"/>
        <w:numPr>
          <w:ilvl w:val="0"/>
          <w:numId w:val="0"/>
        </w:numPr>
        <w:tabs>
          <w:tab w:val="clear" w:pos="709"/>
          <w:tab w:val="left" w:pos="1914" w:leader="none"/>
          <w:tab w:val="left" w:pos="1915" w:leader="none"/>
        </w:tabs>
        <w:ind w:left="3286" w:hanging="0"/>
        <w:jc w:val="left"/>
        <w:rPr>
          <w:color w:val="585858"/>
        </w:rPr>
      </w:pPr>
      <w:r>
        <w:rPr/>
      </w:r>
    </w:p>
    <w:p>
      <w:pPr>
        <w:pStyle w:val="Textkrper"/>
        <w:ind w:left="1238" w:hanging="0"/>
        <w:rPr>
          <w:sz w:val="20"/>
        </w:rPr>
      </w:pPr>
      <w:r>
        <w:rPr/>
      </w:r>
    </w:p>
    <w:p>
      <w:pPr>
        <w:pStyle w:val="ListParagraph"/>
        <w:numPr>
          <w:ilvl w:val="0"/>
          <w:numId w:val="1"/>
        </w:numPr>
        <w:tabs>
          <w:tab w:val="clear" w:pos="709"/>
          <w:tab w:val="left" w:pos="1758" w:leader="none"/>
        </w:tabs>
        <w:spacing w:before="92" w:after="0"/>
        <w:ind w:left="1757" w:hanging="447"/>
        <w:jc w:val="left"/>
        <w:rPr>
          <w:b/>
          <w:b/>
          <w:sz w:val="19"/>
        </w:rPr>
      </w:pPr>
      <w:r>
        <w:br w:type="column"/>
      </w:r>
      <w:r>
        <w:rPr>
          <w:b/>
          <w:color w:val="585858"/>
          <w:sz w:val="19"/>
        </w:rPr>
        <w:t>Reference:</w:t>
      </w:r>
    </w:p>
    <w:p>
      <w:pPr>
        <w:pStyle w:val="Textkrper"/>
        <w:spacing w:before="9" w:after="0"/>
        <w:rPr>
          <w:b/>
          <w:b/>
          <w:sz w:val="18"/>
        </w:rPr>
      </w:pPr>
      <w:r>
        <w:rPr>
          <w:b/>
          <w:sz w:val="18"/>
        </w:rPr>
      </w:r>
    </w:p>
    <w:p>
      <w:pPr>
        <w:pStyle w:val="Textkrper"/>
        <w:tabs>
          <w:tab w:val="clear" w:pos="709"/>
          <w:tab w:val="left" w:pos="1037" w:leader="none"/>
        </w:tabs>
        <w:ind w:left="1037" w:right="696" w:hanging="360"/>
        <w:rPr/>
      </w:pPr>
      <w:r>
        <w:rPr>
          <w:color w:val="585858"/>
        </w:rPr>
        <w:t>1</w:t>
        <w:tab/>
        <w:t>N.S. Caetano, J.M. Loureiro, and A.E. Rodrigues: MTBE synthesis catalysed by acid ion exchange resins: Kinetic studies and modeling of multiphase batch reactors, Chem. Eng. Sci. vol. 49(24), pp. 4589–4604, 1994.</w:t>
      </w:r>
    </w:p>
    <w:p>
      <w:pPr>
        <w:pStyle w:val="Textkrper"/>
        <w:spacing w:before="11" w:after="0"/>
        <w:rPr>
          <w:sz w:val="18"/>
        </w:rPr>
      </w:pPr>
      <w:r>
        <w:rPr>
          <w:sz w:val="18"/>
        </w:rPr>
      </w:r>
    </w:p>
    <w:p>
      <w:pPr>
        <w:pStyle w:val="ListParagraph"/>
        <w:numPr>
          <w:ilvl w:val="0"/>
          <w:numId w:val="2"/>
        </w:numPr>
        <w:tabs>
          <w:tab w:val="clear" w:pos="709"/>
          <w:tab w:val="left" w:pos="1037" w:leader="none"/>
          <w:tab w:val="left" w:pos="1038" w:leader="none"/>
        </w:tabs>
        <w:rPr/>
      </w:pPr>
      <w:r>
        <w:rPr>
          <w:color w:val="585858"/>
          <w:sz w:val="19"/>
        </w:rPr>
        <w:t>S. Schwarzer, C. Horst, U. Kunz, and U. Hoffmann: Revision of microkinetic approaches to the liquid‐phase synthesis of ethyl tert‐butyl ether (ETBE), Chem. Eng. Techn. vol. 2(5), pp. 417–421, 2000.</w:t>
      </w:r>
    </w:p>
    <w:p>
      <w:pPr>
        <w:pStyle w:val="Textkrper"/>
        <w:rPr/>
      </w:pPr>
      <w:r>
        <w:rPr/>
      </w:r>
    </w:p>
    <w:p>
      <w:pPr>
        <w:pStyle w:val="ListParagraph"/>
        <w:numPr>
          <w:ilvl w:val="0"/>
          <w:numId w:val="2"/>
        </w:numPr>
        <w:tabs>
          <w:tab w:val="clear" w:pos="709"/>
          <w:tab w:val="left" w:pos="1037" w:leader="none"/>
          <w:tab w:val="left" w:pos="1038" w:leader="none"/>
        </w:tabs>
        <w:ind w:left="1037" w:right="612" w:hanging="360"/>
        <w:rPr/>
      </w:pPr>
      <w:r>
        <w:rPr>
          <w:color w:val="585858"/>
          <w:sz w:val="19"/>
        </w:rPr>
        <w:t>H. Renon, and J.M. Prausnitz: Local compositions in thermodynamic excess functions for liquid mixtures, AIChE J vol. 14(1), pp. 135–144, 1968.</w:t>
      </w:r>
    </w:p>
    <w:p>
      <w:pPr>
        <w:pStyle w:val="ListParagraph"/>
        <w:numPr>
          <w:ilvl w:val="0"/>
          <w:numId w:val="2"/>
        </w:numPr>
        <w:tabs>
          <w:tab w:val="clear" w:pos="709"/>
          <w:tab w:val="left" w:pos="1037" w:leader="none"/>
          <w:tab w:val="left" w:pos="1038" w:leader="none"/>
        </w:tabs>
        <w:ind w:left="1037" w:right="612" w:hanging="360"/>
        <w:rPr/>
      </w:pPr>
      <w:r>
        <w:rPr>
          <w:color w:val="585858"/>
          <w:sz w:val="19"/>
        </w:rPr>
        <w:t>R. Wittig, J. Lohmann, and J. Gmehling. Vapor−liquid equilibria by UNIFAC group contribution. 6. Revision and extension, Ind. Eng. Chem. Res. vol. 42(1), pp. 183–188, 2003.</w:t>
      </w:r>
    </w:p>
    <w:p>
      <w:pPr>
        <w:pStyle w:val="Textkrper"/>
        <w:spacing w:before="2" w:after="0"/>
        <w:rPr/>
      </w:pPr>
      <w:r>
        <w:rPr/>
      </w:r>
    </w:p>
    <w:p>
      <w:pPr>
        <w:pStyle w:val="Berschrift3"/>
        <w:numPr>
          <w:ilvl w:val="0"/>
          <w:numId w:val="1"/>
        </w:numPr>
        <w:tabs>
          <w:tab w:val="clear" w:pos="709"/>
          <w:tab w:val="left" w:pos="1758" w:leader="none"/>
        </w:tabs>
        <w:ind w:left="1757" w:hanging="447"/>
        <w:jc w:val="left"/>
        <w:rPr/>
      </w:pPr>
      <w:r>
        <w:rPr>
          <w:color w:val="585858"/>
        </w:rPr>
        <w:t>Biography:</w:t>
      </w:r>
    </w:p>
    <w:p>
      <w:pPr>
        <w:pStyle w:val="Textkrper"/>
        <w:spacing w:before="119" w:after="0"/>
        <w:ind w:left="316" w:right="381" w:hanging="0"/>
        <w:jc w:val="both"/>
        <w:rPr/>
      </w:pPr>
      <w:r>
        <w:rPr>
          <w:color w:val="585858"/>
        </w:rPr>
        <w:t>Guenther Holzer</w:t>
      </w:r>
      <w:r>
        <w:rPr>
          <w:color w:val="585858"/>
        </w:rPr>
        <w:t xml:space="preserve"> has completed his </w:t>
      </w:r>
      <w:r>
        <w:rPr>
          <w:color w:val="585858"/>
        </w:rPr>
        <w:t>Master in Chemical Engineering</w:t>
      </w:r>
      <w:r>
        <w:rPr>
          <w:color w:val="585858"/>
        </w:rPr>
        <w:t xml:space="preserve"> </w:t>
      </w:r>
      <w:r>
        <w:rPr>
          <w:color w:val="585858"/>
        </w:rPr>
        <w:t>2004 f</w:t>
      </w:r>
      <w:r>
        <w:rPr>
          <w:color w:val="585858"/>
        </w:rPr>
        <w:t xml:space="preserve">rom </w:t>
      </w:r>
      <w:r>
        <w:rPr>
          <w:color w:val="585858"/>
        </w:rPr>
        <w:t>Technical</w:t>
      </w:r>
      <w:r>
        <w:rPr>
          <w:color w:val="585858"/>
        </w:rPr>
        <w:t xml:space="preserve"> University </w:t>
      </w:r>
      <w:r>
        <w:rPr>
          <w:color w:val="585858"/>
        </w:rPr>
        <w:t>of Graz, Austria.</w:t>
      </w:r>
      <w:r>
        <w:rPr>
          <w:color w:val="585858"/>
        </w:rPr>
        <w:t xml:space="preserve"> He is the </w:t>
      </w:r>
      <w:r>
        <w:rPr>
          <w:color w:val="585858"/>
        </w:rPr>
        <w:t>CEO</w:t>
      </w:r>
      <w:r>
        <w:rPr>
          <w:color w:val="585858"/>
        </w:rPr>
        <w:t xml:space="preserve"> of </w:t>
      </w:r>
      <w:r>
        <w:rPr>
          <w:color w:val="585858"/>
        </w:rPr>
        <w:t xml:space="preserve">the company Process Optimal CAP GmbH since 2007, </w:t>
      </w:r>
      <w:r>
        <w:rPr>
          <w:color w:val="585858"/>
        </w:rPr>
        <w:t xml:space="preserve"> a premier </w:t>
      </w:r>
      <w:r>
        <w:rPr>
          <w:color w:val="585858"/>
        </w:rPr>
        <w:t>company for Process Optimization</w:t>
      </w:r>
      <w:r>
        <w:rPr>
          <w:color w:val="585858"/>
        </w:rPr>
        <w:t xml:space="preserve">. He </w:t>
      </w:r>
      <w:r>
        <w:rPr>
          <w:color w:val="585858"/>
        </w:rPr>
        <w:t xml:space="preserve">es leading the R&amp;D in this company and </w:t>
      </w:r>
      <w:r>
        <w:rPr>
          <w:color w:val="585858"/>
        </w:rPr>
        <w:t xml:space="preserve">has published </w:t>
      </w:r>
      <w:r>
        <w:rPr>
          <w:color w:val="585858"/>
        </w:rPr>
        <w:t>several</w:t>
      </w:r>
      <w:r>
        <w:rPr>
          <w:color w:val="585858"/>
        </w:rPr>
        <w:t xml:space="preserve"> papers.</w:t>
      </w:r>
    </w:p>
    <w:p>
      <w:pPr>
        <w:pStyle w:val="Textkrper"/>
        <w:spacing w:before="1" w:after="0"/>
        <w:rPr/>
      </w:pPr>
      <w:r>
        <w:rPr/>
      </w:r>
    </w:p>
    <w:p>
      <w:pPr>
        <w:pStyle w:val="Berschrift3"/>
        <w:numPr>
          <w:ilvl w:val="0"/>
          <w:numId w:val="1"/>
        </w:numPr>
        <w:tabs>
          <w:tab w:val="clear" w:pos="709"/>
          <w:tab w:val="left" w:pos="1757" w:leader="none"/>
          <w:tab w:val="left" w:pos="1758" w:leader="none"/>
        </w:tabs>
        <w:spacing w:before="1" w:after="0"/>
        <w:ind w:left="1757" w:hanging="447"/>
        <w:jc w:val="left"/>
        <w:rPr/>
      </w:pPr>
      <w:r>
        <w:rPr>
          <w:color w:val="585858"/>
        </w:rPr>
        <w:t>Presenting author</w:t>
      </w:r>
      <w:r>
        <w:rPr>
          <w:color w:val="585858"/>
          <w:spacing w:val="-7"/>
        </w:rPr>
        <w:t xml:space="preserve"> </w:t>
      </w:r>
      <w:r>
        <w:rPr>
          <w:color w:val="585858"/>
        </w:rPr>
        <w:t>details</w:t>
      </w:r>
    </w:p>
    <w:p>
      <w:pPr>
        <w:pStyle w:val="Textkrper"/>
        <w:spacing w:before="7" w:after="0"/>
        <w:rPr>
          <w:b/>
          <w:b/>
          <w:sz w:val="15"/>
        </w:rPr>
      </w:pPr>
      <w:r>
        <w:rPr>
          <w:b/>
          <w:sz w:val="15"/>
        </w:rPr>
      </w:r>
    </w:p>
    <w:p>
      <w:pPr>
        <w:pStyle w:val="Textkrper"/>
        <w:spacing w:before="172" w:after="0"/>
        <w:ind w:left="316" w:right="4143" w:hanging="0"/>
        <w:rPr/>
      </w:pPr>
      <w:r>
        <w:rPr>
          <w:color w:val="585858"/>
        </w:rPr>
        <w:t xml:space="preserve">Full Name: </w:t>
      </w:r>
      <w:r>
        <w:rPr>
          <w:color w:val="585858"/>
        </w:rPr>
        <w:t>Guenther Holezr</w:t>
      </w:r>
      <w:r>
        <w:rPr>
          <w:color w:val="585858"/>
        </w:rPr>
        <w:t xml:space="preserve"> Contact number: </w:t>
      </w:r>
      <w:r>
        <w:rPr>
          <w:color w:val="585858"/>
        </w:rPr>
        <w:t>+436769712486</w:t>
      </w:r>
      <w:r>
        <w:rPr>
          <w:color w:val="585858"/>
        </w:rPr>
        <w:t xml:space="preserve"> Twitter account: Linked In account:</w:t>
      </w:r>
    </w:p>
    <w:p>
      <w:pPr>
        <w:pStyle w:val="Textkrper"/>
        <w:ind w:left="316" w:hanging="0"/>
        <w:rPr/>
      </w:pPr>
      <w:r>
        <w:rPr>
          <w:color w:val="585858"/>
        </w:rPr>
        <w:t>Session name/ number:</w:t>
      </w:r>
    </w:p>
    <w:p>
      <w:pPr>
        <w:pStyle w:val="Textkrper"/>
        <w:ind w:left="316" w:right="1786" w:hanging="0"/>
        <w:rPr/>
      </w:pPr>
      <w:r>
        <w:rPr>
          <w:color w:val="585858"/>
        </w:rPr>
        <w:t>Category: (</w:t>
      </w:r>
      <w:r>
        <w:rPr>
          <w:color w:val="585858"/>
        </w:rPr>
        <w:t>ePaper</w:t>
      </w:r>
      <w:r>
        <w:rPr>
          <w:color w:val="585858"/>
        </w:rPr>
        <w:t>) Passport Number</w:t>
      </w:r>
      <w:r>
        <w:rPr>
          <w:color w:val="585858"/>
          <w:sz w:val="18"/>
        </w:rPr>
        <w:t xml:space="preserve">: </w:t>
      </w:r>
      <w:r>
        <w:rPr>
          <w:color w:val="585858"/>
          <w:sz w:val="18"/>
        </w:rPr>
        <w:t>U0550110</w:t>
      </w:r>
    </w:p>
    <w:p>
      <w:pPr>
        <w:sectPr>
          <w:type w:val="continuous"/>
          <w:pgSz w:w="11906" w:h="16838"/>
          <w:pgMar w:left="140" w:right="180" w:header="720" w:top="600" w:footer="720" w:bottom="280" w:gutter="0"/>
          <w:cols w:num="2" w:equalWidth="false" w:sep="false">
            <w:col w:w="5636" w:space="40"/>
            <w:col w:w="5909"/>
          </w:cols>
          <w:formProt w:val="false"/>
          <w:textDirection w:val="lrTb"/>
          <w:docGrid w:type="default" w:linePitch="312" w:charSpace="4294965247"/>
        </w:sectPr>
      </w:pPr>
    </w:p>
    <w:p>
      <w:pPr>
        <w:pStyle w:val="Textkrper"/>
        <w:rPr>
          <w:sz w:val="20"/>
        </w:rPr>
      </w:pPr>
      <w:r>
        <w:rPr>
          <w:sz w:val="20"/>
        </w:rPr>
      </w:r>
    </w:p>
    <w:p>
      <w:pPr>
        <w:pStyle w:val="Textkrper"/>
        <w:spacing w:lineRule="exact" w:line="55"/>
        <w:ind w:left="107" w:hanging="0"/>
        <w:rPr>
          <w:sz w:val="5"/>
        </w:rPr>
      </w:pPr>
      <w:r>
        <w:rPr>
          <w:sz w:val="5"/>
        </w:rPr>
        <mc:AlternateContent>
          <mc:Choice Requires="wpg">
            <w:drawing>
              <wp:anchor behindDoc="1" distT="0" distB="0" distL="114300" distR="114300" simplePos="0" locked="0" layoutInCell="1" allowOverlap="1" relativeHeight="3" wp14:anchorId="586BCAEB">
                <wp:simplePos x="0" y="0"/>
                <wp:positionH relativeFrom="column">
                  <wp:posOffset>50165</wp:posOffset>
                </wp:positionH>
                <wp:positionV relativeFrom="paragraph">
                  <wp:posOffset>21590</wp:posOffset>
                </wp:positionV>
                <wp:extent cx="7226300" cy="635"/>
                <wp:effectExtent l="0" t="0" r="0" b="0"/>
                <wp:wrapTight wrapText="bothSides">
                  <wp:wrapPolygon edited="0">
                    <wp:start x="0" y="0"/>
                    <wp:lineTo x="0" y="0"/>
                    <wp:lineTo x="21524" y="0"/>
                    <wp:lineTo x="21524" y="0"/>
                    <wp:lineTo x="0" y="0"/>
                  </wp:wrapPolygon>
                </wp:wrapTight>
                <wp:docPr id="3" name="Group 2"/>
                <a:graphic xmlns:a="http://schemas.openxmlformats.org/drawingml/2006/main">
                  <a:graphicData uri="http://schemas.microsoft.com/office/word/2010/wordprocessingGroup">
                    <wpg:wgp>
                      <wpg:cNvGrpSpPr/>
                      <wpg:grpSpPr>
                        <a:xfrm>
                          <a:off x="0" y="0"/>
                          <a:ext cx="7225560" cy="0"/>
                        </a:xfrm>
                      </wpg:grpSpPr>
                      <wps:wsp>
                        <wps:cNvSpPr/>
                        <wps:spPr>
                          <a:xfrm>
                            <a:off x="0" y="0"/>
                            <a:ext cx="7225560" cy="0"/>
                          </a:xfrm>
                          <a:prstGeom prst="line">
                            <a:avLst/>
                          </a:prstGeom>
                          <a:ln w="25560">
                            <a:solidFill>
                              <a:srgbClr val="5a5a5a"/>
                            </a:solidFill>
                            <a:round/>
                          </a:ln>
                        </wps:spPr>
                        <wps:style>
                          <a:lnRef idx="0"/>
                          <a:fillRef idx="0"/>
                          <a:effectRef idx="0"/>
                          <a:fontRef idx="minor"/>
                        </wps:style>
                        <wps:bodyPr/>
                      </wps:wsp>
                    </wpg:wgp>
                  </a:graphicData>
                </a:graphic>
              </wp:anchor>
            </w:drawing>
          </mc:Choice>
          <mc:Fallback>
            <w:pict>
              <v:group id="shape_0" alt="Group 2" style="position:absolute;margin-left:3.95pt;margin-top:1.7pt;width:568.9pt;height:0pt" coordorigin="79,34" coordsize="11378,0">
                <v:line id="shape_0" from="79,34" to="11457,34" ID="Line 3" stroked="t" style="position:absolute">
                  <v:stroke color="#5a5a5a" weight="25560" joinstyle="round" endcap="flat"/>
                  <v:fill o:detectmouseclick="t" on="false"/>
                </v:line>
              </v:group>
            </w:pict>
          </mc:Fallback>
        </mc:AlternateContent>
      </w:r>
    </w:p>
    <w:p>
      <w:pPr>
        <w:pStyle w:val="Normal"/>
        <w:rPr>
          <w:color w:val="333333"/>
          <w:sz w:val="18"/>
          <w:szCs w:val="18"/>
        </w:rPr>
      </w:pPr>
      <w:r>
        <w:rPr/>
        <w:drawing>
          <wp:inline distT="0" distB="0" distL="0" distR="6350">
            <wp:extent cx="7346950" cy="1009650"/>
            <wp:effectExtent l="0" t="0" r="0" b="0"/>
            <wp:docPr id="4"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
                    <pic:cNvPicPr>
                      <a:picLocks noChangeAspect="1" noChangeArrowheads="1"/>
                    </pic:cNvPicPr>
                  </pic:nvPicPr>
                  <pic:blipFill>
                    <a:blip r:embed="rId3"/>
                    <a:stretch>
                      <a:fillRect/>
                    </a:stretch>
                  </pic:blipFill>
                  <pic:spPr bwMode="auto">
                    <a:xfrm>
                      <a:off x="0" y="0"/>
                      <a:ext cx="7346950" cy="1009650"/>
                    </a:xfrm>
                    <a:prstGeom prst="rect">
                      <a:avLst/>
                    </a:prstGeom>
                  </pic:spPr>
                </pic:pic>
              </a:graphicData>
            </a:graphic>
          </wp:inline>
        </w:drawing>
      </w:r>
    </w:p>
    <w:p>
      <w:pPr>
        <w:pStyle w:val="Normal"/>
        <w:rPr>
          <w:color w:val="333333"/>
          <w:sz w:val="24"/>
          <w:szCs w:val="24"/>
        </w:rPr>
      </w:pPr>
      <w:r>
        <w:rPr>
          <w:color w:val="333333"/>
          <w:sz w:val="24"/>
          <w:szCs w:val="24"/>
        </w:rPr>
      </w:r>
    </w:p>
    <w:p>
      <w:pPr>
        <w:pStyle w:val="Normal"/>
        <w:spacing w:lineRule="exact" w:line="276"/>
        <w:ind w:left="1048" w:right="1488" w:hanging="0"/>
        <w:jc w:val="center"/>
        <w:rPr/>
      </w:pPr>
      <w:r>
        <w:rPr/>
      </w:r>
    </w:p>
    <w:sectPr>
      <w:type w:val="continuous"/>
      <w:pgSz w:w="11906" w:h="16838"/>
      <w:pgMar w:left="140" w:right="180" w:header="720" w:top="600" w:footer="720" w:bottom="280" w:gutter="0"/>
      <w:pgNumType w:fmt="decimal"/>
      <w:formProt w:val="false"/>
      <w:textDirection w:val="lrTb"/>
      <w:docGrid w:type="default" w:linePitch="312"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Times">
    <w:altName w:val="Times New Roman"/>
    <w:charset w:val="01"/>
    <w:family w:val="roman"/>
    <w:pitch w:val="variable"/>
  </w:font>
  <w:font w:name="Courier New">
    <w:charset w:val="01"/>
    <w:family w:val="roman"/>
    <w:pitch w:val="variable"/>
  </w:font>
  <w:font w:name="Courier">
    <w:altName w:val="Courier New"/>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Roman"/>
      <w:lvlText w:val="%1."/>
      <w:lvlJc w:val="left"/>
      <w:pPr>
        <w:ind w:left="1866" w:hanging="447"/>
      </w:pPr>
      <w:rPr>
        <w:sz w:val="19"/>
        <w:b/>
        <w:szCs w:val="19"/>
        <w:bCs/>
        <w:w w:val="99"/>
        <w:rFonts w:eastAsia="Times New Roman" w:cs="Times New Roman"/>
        <w:color w:val="585858"/>
      </w:rPr>
    </w:lvl>
    <w:lvl w:ilvl="1">
      <w:start w:val="1"/>
      <w:numFmt w:val="bullet"/>
      <w:lvlText w:val=""/>
      <w:lvlJc w:val="left"/>
      <w:pPr>
        <w:ind w:left="2237" w:hanging="447"/>
      </w:pPr>
      <w:rPr>
        <w:rFonts w:ascii="Symbol" w:hAnsi="Symbol" w:cs="Symbol" w:hint="default"/>
      </w:rPr>
    </w:lvl>
    <w:lvl w:ilvl="2">
      <w:start w:val="1"/>
      <w:numFmt w:val="bullet"/>
      <w:lvlText w:val=""/>
      <w:lvlJc w:val="left"/>
      <w:pPr>
        <w:ind w:left="2615" w:hanging="447"/>
      </w:pPr>
      <w:rPr>
        <w:rFonts w:ascii="Symbol" w:hAnsi="Symbol" w:cs="Symbol" w:hint="default"/>
      </w:rPr>
    </w:lvl>
    <w:lvl w:ilvl="3">
      <w:start w:val="1"/>
      <w:numFmt w:val="bullet"/>
      <w:lvlText w:val=""/>
      <w:lvlJc w:val="left"/>
      <w:pPr>
        <w:ind w:left="2993" w:hanging="447"/>
      </w:pPr>
      <w:rPr>
        <w:rFonts w:ascii="Symbol" w:hAnsi="Symbol" w:cs="Symbol" w:hint="default"/>
      </w:rPr>
    </w:lvl>
    <w:lvl w:ilvl="4">
      <w:start w:val="1"/>
      <w:numFmt w:val="bullet"/>
      <w:lvlText w:val=""/>
      <w:lvlJc w:val="left"/>
      <w:pPr>
        <w:ind w:left="3371" w:hanging="447"/>
      </w:pPr>
      <w:rPr>
        <w:rFonts w:ascii="Symbol" w:hAnsi="Symbol" w:cs="Symbol" w:hint="default"/>
      </w:rPr>
    </w:lvl>
    <w:lvl w:ilvl="5">
      <w:start w:val="1"/>
      <w:numFmt w:val="bullet"/>
      <w:lvlText w:val=""/>
      <w:lvlJc w:val="left"/>
      <w:pPr>
        <w:ind w:left="3749" w:hanging="447"/>
      </w:pPr>
      <w:rPr>
        <w:rFonts w:ascii="Symbol" w:hAnsi="Symbol" w:cs="Symbol" w:hint="default"/>
      </w:rPr>
    </w:lvl>
    <w:lvl w:ilvl="6">
      <w:start w:val="1"/>
      <w:numFmt w:val="bullet"/>
      <w:lvlText w:val=""/>
      <w:lvlJc w:val="left"/>
      <w:pPr>
        <w:ind w:left="4127" w:hanging="447"/>
      </w:pPr>
      <w:rPr>
        <w:rFonts w:ascii="Symbol" w:hAnsi="Symbol" w:cs="Symbol" w:hint="default"/>
      </w:rPr>
    </w:lvl>
    <w:lvl w:ilvl="7">
      <w:start w:val="1"/>
      <w:numFmt w:val="bullet"/>
      <w:lvlText w:val=""/>
      <w:lvlJc w:val="left"/>
      <w:pPr>
        <w:ind w:left="4504" w:hanging="447"/>
      </w:pPr>
      <w:rPr>
        <w:rFonts w:ascii="Symbol" w:hAnsi="Symbol" w:cs="Symbol" w:hint="default"/>
      </w:rPr>
    </w:lvl>
    <w:lvl w:ilvl="8">
      <w:start w:val="1"/>
      <w:numFmt w:val="bullet"/>
      <w:lvlText w:val=""/>
      <w:lvlJc w:val="left"/>
      <w:pPr>
        <w:ind w:left="4882" w:hanging="447"/>
      </w:pPr>
      <w:rPr>
        <w:rFonts w:ascii="Symbol" w:hAnsi="Symbol" w:cs="Symbol" w:hint="default"/>
      </w:rPr>
    </w:lvl>
  </w:abstractNum>
  <w:abstractNum w:abstractNumId="2">
    <w:lvl w:ilvl="0">
      <w:start w:val="2"/>
      <w:numFmt w:val="decimal"/>
      <w:lvlText w:val="%1."/>
      <w:lvlJc w:val="left"/>
      <w:pPr>
        <w:ind w:left="1037" w:hanging="360"/>
      </w:pPr>
      <w:rPr>
        <w:sz w:val="19"/>
        <w:spacing w:val="0"/>
        <w:szCs w:val="19"/>
        <w:w w:val="99"/>
        <w:rFonts w:eastAsia="Times New Roman" w:cs="Times New Roman"/>
        <w:color w:val="585858"/>
      </w:rPr>
    </w:lvl>
    <w:lvl w:ilvl="1">
      <w:start w:val="1"/>
      <w:numFmt w:val="bullet"/>
      <w:lvlText w:val=""/>
      <w:lvlJc w:val="left"/>
      <w:pPr>
        <w:ind w:left="1527" w:hanging="360"/>
      </w:pPr>
      <w:rPr>
        <w:rFonts w:ascii="Symbol" w:hAnsi="Symbol" w:cs="Symbol" w:hint="default"/>
      </w:rPr>
    </w:lvl>
    <w:lvl w:ilvl="2">
      <w:start w:val="1"/>
      <w:numFmt w:val="bullet"/>
      <w:lvlText w:val=""/>
      <w:lvlJc w:val="left"/>
      <w:pPr>
        <w:ind w:left="2014" w:hanging="360"/>
      </w:pPr>
      <w:rPr>
        <w:rFonts w:ascii="Symbol" w:hAnsi="Symbol" w:cs="Symbol" w:hint="default"/>
      </w:rPr>
    </w:lvl>
    <w:lvl w:ilvl="3">
      <w:start w:val="1"/>
      <w:numFmt w:val="bullet"/>
      <w:lvlText w:val=""/>
      <w:lvlJc w:val="left"/>
      <w:pPr>
        <w:ind w:left="2501" w:hanging="360"/>
      </w:pPr>
      <w:rPr>
        <w:rFonts w:ascii="Symbol" w:hAnsi="Symbol" w:cs="Symbol" w:hint="default"/>
      </w:rPr>
    </w:lvl>
    <w:lvl w:ilvl="4">
      <w:start w:val="1"/>
      <w:numFmt w:val="bullet"/>
      <w:lvlText w:val=""/>
      <w:lvlJc w:val="left"/>
      <w:pPr>
        <w:ind w:left="2988" w:hanging="360"/>
      </w:pPr>
      <w:rPr>
        <w:rFonts w:ascii="Symbol" w:hAnsi="Symbol" w:cs="Symbol" w:hint="default"/>
      </w:rPr>
    </w:lvl>
    <w:lvl w:ilvl="5">
      <w:start w:val="1"/>
      <w:numFmt w:val="bullet"/>
      <w:lvlText w:val=""/>
      <w:lvlJc w:val="left"/>
      <w:pPr>
        <w:ind w:left="3475" w:hanging="360"/>
      </w:pPr>
      <w:rPr>
        <w:rFonts w:ascii="Symbol" w:hAnsi="Symbol" w:cs="Symbol" w:hint="default"/>
      </w:rPr>
    </w:lvl>
    <w:lvl w:ilvl="6">
      <w:start w:val="1"/>
      <w:numFmt w:val="bullet"/>
      <w:lvlText w:val=""/>
      <w:lvlJc w:val="left"/>
      <w:pPr>
        <w:ind w:left="3962" w:hanging="360"/>
      </w:pPr>
      <w:rPr>
        <w:rFonts w:ascii="Symbol" w:hAnsi="Symbol" w:cs="Symbol" w:hint="default"/>
      </w:rPr>
    </w:lvl>
    <w:lvl w:ilvl="7">
      <w:start w:val="1"/>
      <w:numFmt w:val="bullet"/>
      <w:lvlText w:val=""/>
      <w:lvlJc w:val="left"/>
      <w:pPr>
        <w:ind w:left="4449" w:hanging="360"/>
      </w:pPr>
      <w:rPr>
        <w:rFonts w:ascii="Symbol" w:hAnsi="Symbol" w:cs="Symbol" w:hint="default"/>
      </w:rPr>
    </w:lvl>
    <w:lvl w:ilvl="8">
      <w:start w:val="1"/>
      <w:numFmt w:val="bullet"/>
      <w:lvlText w:val=""/>
      <w:lvlJc w:val="left"/>
      <w:pPr>
        <w:ind w:left="4936" w:hanging="360"/>
      </w:pPr>
      <w:rPr>
        <w:rFonts w:ascii="Symbol" w:hAnsi="Symbol" w:cs="Symbol"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bidi w:val="0"/>
      <w:jc w:val="left"/>
    </w:pPr>
    <w:rPr>
      <w:rFonts w:ascii="Times New Roman" w:hAnsi="Times New Roman" w:eastAsia="Times New Roman" w:cs="Times New Roman"/>
      <w:color w:val="auto"/>
      <w:kern w:val="0"/>
      <w:sz w:val="22"/>
      <w:szCs w:val="22"/>
      <w:lang w:val="en-US" w:eastAsia="en-US" w:bidi="ar-SA"/>
    </w:rPr>
  </w:style>
  <w:style w:type="paragraph" w:styleId="Berschrift1">
    <w:name w:val="Heading 1"/>
    <w:basedOn w:val="Normal"/>
    <w:uiPriority w:val="1"/>
    <w:qFormat/>
    <w:pPr>
      <w:spacing w:before="74" w:after="0"/>
      <w:ind w:left="594" w:right="151" w:hanging="0"/>
      <w:outlineLvl w:val="0"/>
    </w:pPr>
    <w:rPr>
      <w:b/>
      <w:bCs/>
    </w:rPr>
  </w:style>
  <w:style w:type="paragraph" w:styleId="Berschrift2">
    <w:name w:val="Heading 2"/>
    <w:basedOn w:val="Normal"/>
    <w:uiPriority w:val="1"/>
    <w:qFormat/>
    <w:pPr>
      <w:ind w:left="1105" w:right="1370" w:hanging="0"/>
      <w:jc w:val="center"/>
      <w:outlineLvl w:val="1"/>
    </w:pPr>
    <w:rPr>
      <w:sz w:val="20"/>
      <w:szCs w:val="20"/>
    </w:rPr>
  </w:style>
  <w:style w:type="paragraph" w:styleId="Berschrift3">
    <w:name w:val="Heading 3"/>
    <w:basedOn w:val="Normal"/>
    <w:uiPriority w:val="1"/>
    <w:qFormat/>
    <w:pPr>
      <w:ind w:left="1757" w:hanging="447"/>
      <w:outlineLvl w:val="2"/>
    </w:pPr>
    <w:rPr>
      <w:b/>
      <w:bCs/>
      <w:sz w:val="19"/>
      <w:szCs w:val="19"/>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b5063e"/>
    <w:rPr>
      <w:rFonts w:ascii="Tahoma" w:hAnsi="Tahoma" w:eastAsia="Times New Roman" w:cs="Tahoma"/>
      <w:sz w:val="16"/>
      <w:szCs w:val="16"/>
    </w:rPr>
  </w:style>
  <w:style w:type="character" w:styleId="Internetverknpfung">
    <w:name w:val="Internetverknüpfung"/>
    <w:basedOn w:val="DefaultParagraphFont"/>
    <w:uiPriority w:val="99"/>
    <w:unhideWhenUsed/>
    <w:rsid w:val="00b5063e"/>
    <w:rPr>
      <w:color w:val="0000FF" w:themeColor="hyperlink"/>
      <w:u w:val="single"/>
    </w:rPr>
  </w:style>
  <w:style w:type="character" w:styleId="ListLabel1">
    <w:name w:val="ListLabel 1"/>
    <w:qFormat/>
    <w:rPr>
      <w:rFonts w:eastAsia="Times New Roman" w:cs="Times New Roman"/>
      <w:b/>
      <w:bCs/>
      <w:color w:val="585858"/>
      <w:w w:val="99"/>
      <w:sz w:val="19"/>
      <w:szCs w:val="19"/>
    </w:rPr>
  </w:style>
  <w:style w:type="character" w:styleId="ListLabel2">
    <w:name w:val="ListLabel 2"/>
    <w:qFormat/>
    <w:rPr>
      <w:rFonts w:eastAsia="Times New Roman" w:cs="Times New Roman"/>
      <w:color w:val="585858"/>
      <w:spacing w:val="0"/>
      <w:w w:val="99"/>
      <w:sz w:val="19"/>
      <w:szCs w:val="19"/>
    </w:rPr>
  </w:style>
  <w:style w:type="character" w:styleId="ListLabel3">
    <w:name w:val="ListLabel 3"/>
    <w:qFormat/>
    <w:rPr>
      <w:color w:val="585858"/>
      <w:position w:val="9"/>
      <w:sz w:val="18"/>
      <w:szCs w:val="18"/>
    </w:rPr>
  </w:style>
  <w:style w:type="character" w:styleId="ListLabel4">
    <w:name w:val="ListLabel 4"/>
    <w:qFormat/>
    <w:rPr>
      <w:color w:val="585858"/>
      <w:sz w:val="18"/>
      <w:szCs w:val="18"/>
    </w:rPr>
  </w:style>
  <w:style w:type="character" w:styleId="Bekezdsalapbettpusa1">
    <w:name w:val="Bekezdés alapbetűtípusa1"/>
    <w:qFormat/>
    <w:rPr/>
  </w:style>
  <w:style w:type="character" w:styleId="AbsatzStandardschriftart">
    <w:name w:val="Absatz-Standardschriftart"/>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paragraph" w:styleId="Berschrift">
    <w:name w:val="Überschrift"/>
    <w:basedOn w:val="Normal"/>
    <w:next w:val="Textkrper"/>
    <w:qFormat/>
    <w:pPr>
      <w:keepNext w:val="true"/>
      <w:spacing w:before="240" w:after="120"/>
    </w:pPr>
    <w:rPr>
      <w:rFonts w:ascii="Liberation Sans" w:hAnsi="Liberation Sans" w:eastAsia="Droid Sans Fallback" w:cs="Noto Sans Devanagari"/>
      <w:sz w:val="28"/>
      <w:szCs w:val="28"/>
    </w:rPr>
  </w:style>
  <w:style w:type="paragraph" w:styleId="Textkrper">
    <w:name w:val="Body Text"/>
    <w:basedOn w:val="Normal"/>
    <w:uiPriority w:val="1"/>
    <w:qFormat/>
    <w:pPr/>
    <w:rPr>
      <w:sz w:val="19"/>
      <w:szCs w:val="19"/>
    </w:rPr>
  </w:style>
  <w:style w:type="paragraph" w:styleId="Liste">
    <w:name w:val="List"/>
    <w:basedOn w:val="Textkrper"/>
    <w:pPr/>
    <w:rPr>
      <w:rFonts w:cs="Noto Sans Devanagari"/>
    </w:rPr>
  </w:style>
  <w:style w:type="paragraph" w:styleId="Beschriftung">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ListParagraph">
    <w:name w:val="List Paragraph"/>
    <w:basedOn w:val="Normal"/>
    <w:uiPriority w:val="1"/>
    <w:qFormat/>
    <w:pPr>
      <w:ind w:left="1757" w:hanging="447"/>
    </w:pPr>
    <w:rPr/>
  </w:style>
  <w:style w:type="paragraph" w:styleId="TableParagraph" w:customStyle="1">
    <w:name w:val="Table Paragraph"/>
    <w:basedOn w:val="Normal"/>
    <w:uiPriority w:val="1"/>
    <w:qFormat/>
    <w:pPr/>
    <w:rPr/>
  </w:style>
  <w:style w:type="paragraph" w:styleId="BalloonText">
    <w:name w:val="Balloon Text"/>
    <w:basedOn w:val="Normal"/>
    <w:link w:val="BalloonTextChar"/>
    <w:uiPriority w:val="99"/>
    <w:semiHidden/>
    <w:unhideWhenUsed/>
    <w:qFormat/>
    <w:rsid w:val="00b5063e"/>
    <w:pPr/>
    <w:rPr>
      <w:rFonts w:ascii="Tahoma" w:hAnsi="Tahoma" w:cs="Tahoma"/>
      <w:sz w:val="16"/>
      <w:szCs w:val="16"/>
    </w:rPr>
  </w:style>
  <w:style w:type="paragraph" w:styleId="StandardWeb">
    <w:name w:val="Standard (Web)"/>
    <w:basedOn w:val="Normal"/>
    <w:qFormat/>
    <w:pPr>
      <w:widowControl/>
      <w:suppressAutoHyphens w:val="true"/>
      <w:bidi w:val="0"/>
      <w:spacing w:before="100" w:after="100"/>
      <w:jc w:val="left"/>
    </w:pPr>
    <w:rPr>
      <w:rFonts w:ascii="Times" w:hAnsi="Times" w:eastAsia="Times"/>
      <w:color w:val="auto"/>
      <w:sz w:val="24"/>
      <w:lang w:val="it-IT" w:eastAsia="ar-SA"/>
    </w:rPr>
  </w:style>
  <w:style w:type="paragraph" w:styleId="Csakszveg1">
    <w:name w:val="Csak szöveg1"/>
    <w:basedOn w:val="Normal"/>
    <w:qFormat/>
    <w:pPr>
      <w:widowControl/>
      <w:suppressAutoHyphens w:val="true"/>
      <w:bidi w:val="0"/>
      <w:jc w:val="left"/>
    </w:pPr>
    <w:rPr>
      <w:rFonts w:ascii="Courier New" w:hAnsi="Courier New" w:eastAsia="Courier New"/>
      <w:color w:val="auto"/>
      <w:sz w:val="20"/>
      <w:lang w:val="it-IT" w:eastAsia="ar-SA"/>
    </w:rPr>
  </w:style>
  <w:style w:type="paragraph" w:styleId="Szvegtrzsbehzssal31">
    <w:name w:val="Szövegtörzs behúzással 31"/>
    <w:basedOn w:val="Normal"/>
    <w:qFormat/>
    <w:pPr>
      <w:widowControl/>
      <w:suppressAutoHyphens w:val="true"/>
      <w:bidi w:val="0"/>
      <w:spacing w:before="120" w:after="0"/>
      <w:ind w:firstLine="227"/>
      <w:jc w:val="both"/>
    </w:pPr>
    <w:rPr>
      <w:rFonts w:ascii="Times" w:hAnsi="Times" w:eastAsia="Times"/>
      <w:color w:val="auto"/>
      <w:sz w:val="18"/>
      <w:lang w:val="it-IT" w:eastAsia="ar-SA"/>
    </w:rPr>
  </w:style>
  <w:style w:type="paragraph" w:styleId="Szvegtrzsbehzssal21">
    <w:name w:val="Szövegtörzs behúzással 21"/>
    <w:basedOn w:val="Normal"/>
    <w:qFormat/>
    <w:pPr>
      <w:widowControl/>
      <w:suppressAutoHyphens w:val="true"/>
      <w:bidi w:val="0"/>
      <w:ind w:firstLine="227"/>
      <w:jc w:val="both"/>
    </w:pPr>
    <w:rPr>
      <w:rFonts w:ascii="Times" w:hAnsi="Times" w:eastAsia="Times"/>
      <w:color w:val="auto"/>
      <w:sz w:val="20"/>
      <w:lang w:val="it-IT" w:eastAsia="ar-SA"/>
    </w:rPr>
  </w:style>
  <w:style w:type="paragraph" w:styleId="VAX">
    <w:name w:val="VAX"/>
    <w:basedOn w:val="Normal"/>
    <w:qFormat/>
    <w:pPr>
      <w:widowControl/>
      <w:suppressAutoHyphens w:val="true"/>
      <w:bidi w:val="0"/>
      <w:ind w:firstLine="227"/>
      <w:jc w:val="both"/>
    </w:pPr>
    <w:rPr>
      <w:rFonts w:ascii="Courier" w:hAnsi="Courier" w:eastAsia="Courier"/>
      <w:color w:val="auto"/>
      <w:sz w:val="18"/>
      <w:lang w:val="it-IT" w:eastAsia="ar-SA"/>
    </w:rPr>
  </w:style>
  <w:style w:type="paragraph" w:styleId="Normalindent">
    <w:name w:val="Normal indent"/>
    <w:basedOn w:val="Normal"/>
    <w:qFormat/>
    <w:pPr>
      <w:widowControl/>
      <w:suppressAutoHyphens w:val="true"/>
      <w:bidi w:val="0"/>
      <w:ind w:left="720" w:firstLine="227"/>
      <w:jc w:val="both"/>
    </w:pPr>
    <w:rPr>
      <w:rFonts w:ascii="Times" w:hAnsi="Times" w:eastAsia="Times"/>
      <w:color w:val="auto"/>
      <w:sz w:val="20"/>
      <w:lang w:val="it-IT" w:eastAsia="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LibreOffice/6.2.0.3$Linux_X86_64 LibreOffice_project/20$Build-3</Application>
  <Pages>2</Pages>
  <Words>947</Words>
  <Characters>5433</Characters>
  <CharactersWithSpaces>6352</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2018-02-05T12:50:00Z</dcterms:created>
  <dc:creator>IEEE</dc:creator>
  <dc:description/>
  <dc:language>de-AT</dc:language>
  <cp:lastModifiedBy/>
  <dcterms:modified xsi:type="dcterms:W3CDTF">2019-03-06T12:36:31Z</dcterms:modified>
  <cp:revision>17</cp:revision>
  <dc:subject/>
  <dc:title>Paper Title (use style: paper title)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2017-12-01T00:00:00Z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2017-12-20T00:00:00Z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