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ACE" w:rsidRDefault="00E3650A" w:rsidP="00B5063E">
      <w:pPr>
        <w:pStyle w:val="a3"/>
        <w:rPr>
          <w:sz w:val="20"/>
        </w:rPr>
      </w:pPr>
      <w:r>
        <w:rPr>
          <w:sz w:val="20"/>
        </w:rPr>
        <w:t xml:space="preserve">   </w:t>
      </w:r>
      <w:r>
        <w:rPr>
          <w:noProof/>
          <w:sz w:val="20"/>
          <w:lang w:eastAsia="zh-CN"/>
        </w:rPr>
        <w:drawing>
          <wp:inline distT="0" distB="0" distL="0" distR="0">
            <wp:extent cx="7347006" cy="78717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troleum Engineering 2019.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47006" cy="787179"/>
                    </a:xfrm>
                    <a:prstGeom prst="rect">
                      <a:avLst/>
                    </a:prstGeom>
                  </pic:spPr>
                </pic:pic>
              </a:graphicData>
            </a:graphic>
          </wp:inline>
        </w:drawing>
      </w:r>
    </w:p>
    <w:p w:rsidR="008C3ACE" w:rsidRDefault="00B5063E">
      <w:pPr>
        <w:pStyle w:val="a3"/>
        <w:spacing w:before="5"/>
        <w:rPr>
          <w:sz w:val="10"/>
        </w:rPr>
      </w:pPr>
      <w:r>
        <w:rPr>
          <w:noProof/>
          <w:lang w:eastAsia="zh-CN"/>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6B908DAB" id="Line 4" o:spid="_x0000_s1026" style="position:absolute;left:0;text-align:lef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rsidR="008C3ACE" w:rsidRDefault="00B5063E">
      <w:pPr>
        <w:pStyle w:val="1"/>
        <w:ind w:left="1105" w:right="1062"/>
        <w:jc w:val="center"/>
      </w:pPr>
      <w:r>
        <w:rPr>
          <w:color w:val="585858"/>
          <w:u w:val="thick" w:color="585858"/>
        </w:rPr>
        <w:t>Abstract Template</w:t>
      </w:r>
    </w:p>
    <w:p w:rsidR="008C3ACE" w:rsidRDefault="008C3ACE">
      <w:pPr>
        <w:pStyle w:val="a3"/>
        <w:rPr>
          <w:b/>
          <w:sz w:val="14"/>
        </w:rPr>
      </w:pPr>
    </w:p>
    <w:p w:rsidR="008C3ACE" w:rsidRPr="001A59A5" w:rsidRDefault="00FF6D4C">
      <w:pPr>
        <w:spacing w:before="92"/>
        <w:ind w:left="594" w:right="151"/>
        <w:rPr>
          <w:rFonts w:eastAsiaTheme="minorEastAsia"/>
          <w:b/>
          <w:sz w:val="18"/>
          <w:szCs w:val="18"/>
          <w:lang w:eastAsia="zh-CN"/>
        </w:rPr>
      </w:pPr>
      <w:r w:rsidRPr="00FF6D4C">
        <w:rPr>
          <w:b/>
          <w:color w:val="585858"/>
          <w:sz w:val="18"/>
          <w:szCs w:val="18"/>
        </w:rPr>
        <w:t xml:space="preserve">Recovery of tight </w:t>
      </w:r>
      <w:r w:rsidR="006868F1">
        <w:rPr>
          <w:b/>
          <w:color w:val="585858"/>
          <w:sz w:val="18"/>
          <w:szCs w:val="18"/>
        </w:rPr>
        <w:t xml:space="preserve">oil </w:t>
      </w:r>
      <w:r w:rsidRPr="00FF6D4C">
        <w:rPr>
          <w:b/>
          <w:color w:val="585858"/>
          <w:sz w:val="18"/>
          <w:szCs w:val="18"/>
        </w:rPr>
        <w:t xml:space="preserve">reservoir considering wettability alteration </w:t>
      </w:r>
      <w:r w:rsidR="00065960">
        <w:rPr>
          <w:rFonts w:eastAsiaTheme="minorEastAsia" w:hint="eastAsia"/>
          <w:b/>
          <w:color w:val="585858"/>
          <w:sz w:val="18"/>
          <w:szCs w:val="18"/>
          <w:lang w:eastAsia="zh-CN"/>
        </w:rPr>
        <w:t>by adding</w:t>
      </w:r>
      <w:r w:rsidR="0097291C">
        <w:rPr>
          <w:b/>
          <w:color w:val="585858"/>
          <w:sz w:val="18"/>
          <w:szCs w:val="18"/>
        </w:rPr>
        <w:t xml:space="preserve"> surfactant </w:t>
      </w:r>
      <w:r w:rsidR="009E5029">
        <w:rPr>
          <w:b/>
          <w:color w:val="585858"/>
          <w:sz w:val="18"/>
          <w:szCs w:val="18"/>
        </w:rPr>
        <w:t>a</w:t>
      </w:r>
      <w:r w:rsidR="0097291C" w:rsidRPr="0097291C">
        <w:rPr>
          <w:b/>
          <w:color w:val="585858"/>
          <w:sz w:val="18"/>
          <w:szCs w:val="18"/>
        </w:rPr>
        <w:t>dditive</w:t>
      </w:r>
      <w:r w:rsidR="001A59A5">
        <w:rPr>
          <w:rFonts w:eastAsiaTheme="minorEastAsia" w:hint="eastAsia"/>
          <w:b/>
          <w:color w:val="585858"/>
          <w:sz w:val="18"/>
          <w:szCs w:val="18"/>
          <w:lang w:eastAsia="zh-CN"/>
        </w:rPr>
        <w:t xml:space="preserve"> </w:t>
      </w:r>
      <w:r w:rsidR="001A59A5" w:rsidRPr="001A59A5">
        <w:rPr>
          <w:rFonts w:eastAsiaTheme="minorEastAsia"/>
          <w:b/>
          <w:color w:val="585858"/>
          <w:sz w:val="18"/>
          <w:szCs w:val="18"/>
          <w:lang w:eastAsia="zh-CN"/>
        </w:rPr>
        <w:t>agent</w:t>
      </w:r>
    </w:p>
    <w:p w:rsidR="008C3ACE" w:rsidRPr="0053435A" w:rsidRDefault="00FF6D4C">
      <w:pPr>
        <w:pStyle w:val="3"/>
        <w:spacing w:line="214" w:lineRule="exact"/>
        <w:ind w:left="594" w:firstLine="0"/>
        <w:rPr>
          <w:sz w:val="18"/>
          <w:szCs w:val="18"/>
        </w:rPr>
      </w:pPr>
      <w:proofErr w:type="spellStart"/>
      <w:r w:rsidRPr="0053435A">
        <w:rPr>
          <w:color w:val="585858"/>
          <w:sz w:val="18"/>
          <w:szCs w:val="18"/>
        </w:rPr>
        <w:t>S</w:t>
      </w:r>
      <w:r w:rsidRPr="0053435A">
        <w:rPr>
          <w:rFonts w:eastAsiaTheme="minorEastAsia"/>
          <w:color w:val="585858"/>
          <w:sz w:val="18"/>
          <w:szCs w:val="18"/>
          <w:lang w:eastAsia="zh-CN"/>
        </w:rPr>
        <w:t>huai</w:t>
      </w:r>
      <w:proofErr w:type="spellEnd"/>
      <w:r w:rsidRPr="0053435A">
        <w:rPr>
          <w:color w:val="585858"/>
          <w:sz w:val="18"/>
          <w:szCs w:val="18"/>
        </w:rPr>
        <w:t xml:space="preserve"> L</w:t>
      </w:r>
      <w:r w:rsidRPr="0053435A">
        <w:rPr>
          <w:rFonts w:eastAsiaTheme="minorEastAsia"/>
          <w:color w:val="585858"/>
          <w:sz w:val="18"/>
          <w:szCs w:val="18"/>
          <w:lang w:eastAsia="zh-CN"/>
        </w:rPr>
        <w:t>i</w:t>
      </w:r>
      <w:r w:rsidR="0053435A" w:rsidRPr="0053435A">
        <w:rPr>
          <w:color w:val="585858"/>
          <w:sz w:val="18"/>
          <w:szCs w:val="18"/>
        </w:rPr>
        <w:t xml:space="preserve">, </w:t>
      </w:r>
      <w:proofErr w:type="spellStart"/>
      <w:r w:rsidRPr="0053435A">
        <w:rPr>
          <w:color w:val="585858"/>
          <w:sz w:val="18"/>
          <w:szCs w:val="18"/>
        </w:rPr>
        <w:t>X</w:t>
      </w:r>
      <w:r w:rsidRPr="0053435A">
        <w:rPr>
          <w:rFonts w:eastAsiaTheme="minorEastAsia"/>
          <w:color w:val="585858"/>
          <w:sz w:val="18"/>
          <w:szCs w:val="18"/>
          <w:lang w:eastAsia="zh-CN"/>
        </w:rPr>
        <w:t>in</w:t>
      </w:r>
      <w:proofErr w:type="spellEnd"/>
      <w:r w:rsidRPr="0053435A">
        <w:rPr>
          <w:color w:val="585858"/>
          <w:sz w:val="18"/>
          <w:szCs w:val="18"/>
        </w:rPr>
        <w:t xml:space="preserve"> W</w:t>
      </w:r>
      <w:r w:rsidRPr="0053435A">
        <w:rPr>
          <w:rFonts w:eastAsiaTheme="minorEastAsia"/>
          <w:color w:val="585858"/>
          <w:sz w:val="18"/>
          <w:szCs w:val="18"/>
          <w:lang w:eastAsia="zh-CN"/>
        </w:rPr>
        <w:t>ang</w:t>
      </w:r>
      <w:hyperlink r:id="rId9" w:anchor="a1">
        <w:r w:rsidR="00B5063E" w:rsidRPr="0053435A">
          <w:rPr>
            <w:color w:val="585858"/>
            <w:sz w:val="18"/>
            <w:szCs w:val="18"/>
          </w:rPr>
          <w:t>,</w:t>
        </w:r>
      </w:hyperlink>
      <w:r w:rsidR="0053435A" w:rsidRPr="0053435A">
        <w:rPr>
          <w:color w:val="585858"/>
          <w:sz w:val="18"/>
          <w:szCs w:val="18"/>
        </w:rPr>
        <w:t xml:space="preserve"> </w:t>
      </w:r>
      <w:r w:rsidRPr="0053435A">
        <w:rPr>
          <w:color w:val="585858"/>
          <w:sz w:val="18"/>
          <w:szCs w:val="18"/>
        </w:rPr>
        <w:t>B</w:t>
      </w:r>
      <w:r w:rsidRPr="0053435A">
        <w:rPr>
          <w:rFonts w:eastAsiaTheme="minorEastAsia"/>
          <w:color w:val="585858"/>
          <w:sz w:val="18"/>
          <w:szCs w:val="18"/>
          <w:lang w:eastAsia="zh-CN"/>
        </w:rPr>
        <w:t>o</w:t>
      </w:r>
      <w:r w:rsidR="00B5063E" w:rsidRPr="0053435A">
        <w:rPr>
          <w:color w:val="585858"/>
          <w:sz w:val="18"/>
          <w:szCs w:val="18"/>
        </w:rPr>
        <w:t xml:space="preserve"> </w:t>
      </w:r>
      <w:proofErr w:type="spellStart"/>
      <w:proofErr w:type="gramStart"/>
      <w:r w:rsidRPr="0053435A">
        <w:rPr>
          <w:color w:val="585858"/>
          <w:sz w:val="18"/>
          <w:szCs w:val="18"/>
        </w:rPr>
        <w:t>C</w:t>
      </w:r>
      <w:r w:rsidRPr="0053435A">
        <w:rPr>
          <w:rFonts w:eastAsiaTheme="minorEastAsia"/>
          <w:color w:val="585858"/>
          <w:sz w:val="18"/>
          <w:szCs w:val="18"/>
          <w:lang w:eastAsia="zh-CN"/>
        </w:rPr>
        <w:t>ai</w:t>
      </w:r>
      <w:proofErr w:type="spellEnd"/>
      <w:proofErr w:type="gramEnd"/>
      <w:r w:rsidR="00B5063E" w:rsidRPr="0053435A">
        <w:rPr>
          <w:color w:val="585858"/>
          <w:sz w:val="18"/>
          <w:szCs w:val="18"/>
        </w:rPr>
        <w:t>,</w:t>
      </w:r>
      <w:r w:rsidR="003D25E2" w:rsidRPr="0053435A">
        <w:rPr>
          <w:color w:val="585858"/>
          <w:sz w:val="18"/>
          <w:szCs w:val="18"/>
        </w:rPr>
        <w:t xml:space="preserve"> </w:t>
      </w:r>
      <w:proofErr w:type="spellStart"/>
      <w:r w:rsidR="003D25E2" w:rsidRPr="0053435A">
        <w:rPr>
          <w:color w:val="585858"/>
          <w:sz w:val="18"/>
          <w:szCs w:val="18"/>
        </w:rPr>
        <w:t>Chunming</w:t>
      </w:r>
      <w:proofErr w:type="spellEnd"/>
      <w:r w:rsidR="003D25E2" w:rsidRPr="0053435A">
        <w:rPr>
          <w:color w:val="585858"/>
          <w:sz w:val="18"/>
          <w:szCs w:val="18"/>
        </w:rPr>
        <w:t xml:space="preserve"> He, Yang Li</w:t>
      </w:r>
    </w:p>
    <w:p w:rsidR="008C3ACE" w:rsidRPr="00DB7ECF" w:rsidRDefault="00FF6D4C">
      <w:pPr>
        <w:pStyle w:val="a3"/>
        <w:spacing w:before="126" w:line="231" w:lineRule="exact"/>
        <w:ind w:left="594"/>
        <w:rPr>
          <w:sz w:val="16"/>
          <w:szCs w:val="16"/>
        </w:rPr>
      </w:pPr>
      <w:r w:rsidRPr="00DB7ECF">
        <w:rPr>
          <w:color w:val="585858"/>
          <w:sz w:val="16"/>
          <w:szCs w:val="16"/>
        </w:rPr>
        <w:t>R</w:t>
      </w:r>
      <w:r w:rsidRPr="00DB7ECF">
        <w:rPr>
          <w:rFonts w:eastAsiaTheme="minorEastAsia"/>
          <w:color w:val="585858"/>
          <w:sz w:val="16"/>
          <w:szCs w:val="16"/>
          <w:lang w:eastAsia="zh-CN"/>
        </w:rPr>
        <w:t>esearch</w:t>
      </w:r>
      <w:r w:rsidRPr="00DB7ECF">
        <w:rPr>
          <w:color w:val="585858"/>
          <w:sz w:val="16"/>
          <w:szCs w:val="16"/>
        </w:rPr>
        <w:t xml:space="preserve"> Institute of Petroleum Exploration and Development, PetroChina</w:t>
      </w:r>
      <w:r w:rsidR="00347D6E" w:rsidRPr="00DB7ECF">
        <w:rPr>
          <w:color w:val="585858"/>
          <w:sz w:val="16"/>
          <w:szCs w:val="16"/>
        </w:rPr>
        <w:t>, Beijing, China</w:t>
      </w:r>
    </w:p>
    <w:p w:rsidR="008C3ACE" w:rsidRDefault="008C3ACE">
      <w:pPr>
        <w:pStyle w:val="a3"/>
        <w:spacing w:before="9"/>
      </w:pPr>
    </w:p>
    <w:p w:rsidR="008C3ACE" w:rsidRDefault="008C3ACE">
      <w:pPr>
        <w:sectPr w:rsidR="008C3ACE">
          <w:type w:val="continuous"/>
          <w:pgSz w:w="11910" w:h="16840"/>
          <w:pgMar w:top="600" w:right="180" w:bottom="280" w:left="140" w:header="720" w:footer="720" w:gutter="0"/>
          <w:cols w:space="720"/>
        </w:sectPr>
      </w:pPr>
    </w:p>
    <w:p w:rsidR="008C3ACE" w:rsidRPr="00A26704" w:rsidRDefault="00B5063E">
      <w:pPr>
        <w:pStyle w:val="3"/>
        <w:spacing w:before="114"/>
        <w:ind w:left="426" w:right="9" w:firstLine="0"/>
        <w:jc w:val="both"/>
        <w:rPr>
          <w:sz w:val="18"/>
          <w:szCs w:val="18"/>
        </w:rPr>
      </w:pPr>
      <w:r w:rsidRPr="00A26704">
        <w:rPr>
          <w:color w:val="585858"/>
          <w:sz w:val="18"/>
          <w:szCs w:val="18"/>
        </w:rPr>
        <w:lastRenderedPageBreak/>
        <w:t xml:space="preserve">Keywords: </w:t>
      </w:r>
      <w:r w:rsidR="00C54975" w:rsidRPr="00C54975">
        <w:rPr>
          <w:color w:val="585858"/>
          <w:sz w:val="18"/>
          <w:szCs w:val="18"/>
        </w:rPr>
        <w:t xml:space="preserve">tight </w:t>
      </w:r>
      <w:r w:rsidR="00C91B6A">
        <w:rPr>
          <w:color w:val="585858"/>
          <w:sz w:val="18"/>
          <w:szCs w:val="18"/>
        </w:rPr>
        <w:t>oil</w:t>
      </w:r>
      <w:r w:rsidR="00C54975" w:rsidRPr="00C54975">
        <w:rPr>
          <w:color w:val="585858"/>
          <w:sz w:val="18"/>
          <w:szCs w:val="18"/>
        </w:rPr>
        <w:t xml:space="preserve">; hydraulic fracturing; </w:t>
      </w:r>
      <w:r w:rsidR="00463D85">
        <w:rPr>
          <w:rFonts w:eastAsiaTheme="minorEastAsia" w:hint="eastAsia"/>
          <w:color w:val="585858"/>
          <w:sz w:val="18"/>
          <w:szCs w:val="18"/>
          <w:lang w:eastAsia="zh-CN"/>
        </w:rPr>
        <w:t>surfactant additive</w:t>
      </w:r>
      <w:r w:rsidR="00C54975" w:rsidRPr="00C54975">
        <w:rPr>
          <w:color w:val="585858"/>
          <w:sz w:val="18"/>
          <w:szCs w:val="18"/>
        </w:rPr>
        <w:t>; imbibition; wettability alteration</w:t>
      </w:r>
    </w:p>
    <w:p w:rsidR="008C3ACE" w:rsidRDefault="008C3ACE">
      <w:pPr>
        <w:pStyle w:val="a3"/>
        <w:rPr>
          <w:b/>
          <w:sz w:val="20"/>
        </w:rPr>
      </w:pPr>
    </w:p>
    <w:p w:rsidR="008C3ACE" w:rsidRDefault="008C3ACE">
      <w:pPr>
        <w:pStyle w:val="a3"/>
        <w:spacing w:before="10"/>
        <w:rPr>
          <w:b/>
        </w:rPr>
      </w:pPr>
    </w:p>
    <w:p w:rsidR="008C3ACE" w:rsidRDefault="00B5063E">
      <w:pPr>
        <w:pStyle w:val="a4"/>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8C3ACE" w:rsidRDefault="001776AA">
      <w:pPr>
        <w:pStyle w:val="a3"/>
        <w:spacing w:before="117"/>
        <w:ind w:left="426"/>
        <w:jc w:val="both"/>
      </w:pPr>
      <w:r w:rsidRPr="001776AA">
        <w:rPr>
          <w:color w:val="585858"/>
        </w:rPr>
        <w:t>Based on contact angle and interfacial tension measurement, this paper concentrated on adding surfactants</w:t>
      </w:r>
      <w:r w:rsidR="00C72AE7" w:rsidRPr="00C72AE7">
        <w:t xml:space="preserve"> </w:t>
      </w:r>
      <w:r w:rsidR="00C72AE7" w:rsidRPr="00C72AE7">
        <w:rPr>
          <w:color w:val="585858"/>
        </w:rPr>
        <w:t>agent</w:t>
      </w:r>
      <w:r w:rsidRPr="001776AA">
        <w:rPr>
          <w:color w:val="585858"/>
        </w:rPr>
        <w:t xml:space="preserve"> into fracturing fluids to increase oil output </w:t>
      </w:r>
      <w:r w:rsidR="00441EA3">
        <w:rPr>
          <w:rFonts w:eastAsiaTheme="minorEastAsia" w:hint="eastAsia"/>
          <w:color w:val="585858"/>
          <w:lang w:eastAsia="zh-CN"/>
        </w:rPr>
        <w:t>after</w:t>
      </w:r>
      <w:r w:rsidRPr="001776AA">
        <w:rPr>
          <w:color w:val="585858"/>
        </w:rPr>
        <w:t xml:space="preserve"> hydraulic fracturing. Cationic, anionic and nonionic surfactants were added into </w:t>
      </w:r>
      <w:proofErr w:type="spellStart"/>
      <w:r w:rsidRPr="001776AA">
        <w:rPr>
          <w:color w:val="585858"/>
        </w:rPr>
        <w:t>slickwater</w:t>
      </w:r>
      <w:proofErr w:type="spellEnd"/>
      <w:r w:rsidRPr="001776AA">
        <w:rPr>
          <w:color w:val="585858"/>
        </w:rPr>
        <w:t xml:space="preserve"> to perform a serious of one end open (OEO) imbibition experiments at a certain concentration. Scanning electron microscope (SEM) and nuclear magnetic resonance (NMR) method were also applied in the detection before and after the </w:t>
      </w:r>
      <w:r w:rsidR="00E50C5D">
        <w:rPr>
          <w:color w:val="585858"/>
        </w:rPr>
        <w:t xml:space="preserve">imbibition </w:t>
      </w:r>
      <w:r w:rsidRPr="001776AA">
        <w:rPr>
          <w:color w:val="585858"/>
        </w:rPr>
        <w:t>process. Results demonstrated that core samples changed from oil-wet to intermediate-wet or water-wet after soaked in surfactants, cationic surfactant shows a better performance in changing contact angle while different kinds of surfactants have a similar ability in lowering IFT. In the soaking duration, NMR transverse relaxation time (T2) spectrum showed that oil recovered by counter-current imbibition mainly distributed in intervals of 10-</w:t>
      </w:r>
      <w:r w:rsidR="00F2007B">
        <w:rPr>
          <w:rFonts w:eastAsiaTheme="minorEastAsia" w:hint="eastAsia"/>
          <w:color w:val="585858"/>
          <w:lang w:eastAsia="zh-CN"/>
        </w:rPr>
        <w:t>10</w:t>
      </w:r>
      <w:r w:rsidRPr="001776AA">
        <w:rPr>
          <w:color w:val="585858"/>
        </w:rPr>
        <w:t xml:space="preserve">00 </w:t>
      </w:r>
      <w:proofErr w:type="spellStart"/>
      <w:r w:rsidRPr="001776AA">
        <w:rPr>
          <w:color w:val="585858"/>
        </w:rPr>
        <w:t>ms</w:t>
      </w:r>
      <w:proofErr w:type="spellEnd"/>
      <w:r w:rsidRPr="001776AA">
        <w:rPr>
          <w:color w:val="585858"/>
        </w:rPr>
        <w:t xml:space="preserve"> while oil remained uncovered mainly distributed in intervals of 0.1-10 </w:t>
      </w:r>
      <w:proofErr w:type="spellStart"/>
      <w:r w:rsidRPr="001776AA">
        <w:rPr>
          <w:color w:val="585858"/>
        </w:rPr>
        <w:t>ms.</w:t>
      </w:r>
      <w:proofErr w:type="spellEnd"/>
      <w:r w:rsidRPr="001776AA">
        <w:rPr>
          <w:color w:val="585858"/>
        </w:rPr>
        <w:t xml:space="preserve"> T2 spectrum moved towards left side and this indicated that aqueous phase migrate from larger pores to smaller ones. Both laboratory experiments and field applications have indicated that adding surfactants into fracturing fluids can significantly increase oil outputs for tight oil-wet reservoirs. Application of this technology can be a good way to solve low production problems for this type of reservoir.</w:t>
      </w:r>
    </w:p>
    <w:p w:rsidR="008C3ACE" w:rsidRDefault="008C3ACE">
      <w:pPr>
        <w:pStyle w:val="a3"/>
        <w:spacing w:before="2"/>
      </w:pPr>
    </w:p>
    <w:p w:rsidR="008C3ACE" w:rsidRDefault="00B5063E">
      <w:pPr>
        <w:pStyle w:val="3"/>
        <w:numPr>
          <w:ilvl w:val="0"/>
          <w:numId w:val="1"/>
        </w:numPr>
        <w:tabs>
          <w:tab w:val="left" w:pos="1914"/>
          <w:tab w:val="left" w:pos="1915"/>
        </w:tabs>
        <w:ind w:left="1914" w:hanging="494"/>
        <w:jc w:val="left"/>
      </w:pPr>
      <w:r>
        <w:rPr>
          <w:color w:val="585858"/>
        </w:rPr>
        <w:t>Image:</w:t>
      </w:r>
    </w:p>
    <w:p w:rsidR="008C3ACE" w:rsidRDefault="00754B23" w:rsidP="00754B23">
      <w:pPr>
        <w:pStyle w:val="a3"/>
        <w:rPr>
          <w:sz w:val="20"/>
        </w:rPr>
      </w:pPr>
      <w:r>
        <w:rPr>
          <w:noProof/>
          <w:sz w:val="20"/>
          <w:lang w:eastAsia="zh-CN"/>
        </w:rPr>
        <w:drawing>
          <wp:inline distT="0" distB="0" distL="0" distR="0" wp14:anchorId="00E8CBEB">
            <wp:extent cx="1703196" cy="1021775"/>
            <wp:effectExtent l="0" t="0" r="0" b="698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250" cy="1028406"/>
                    </a:xfrm>
                    <a:prstGeom prst="rect">
                      <a:avLst/>
                    </a:prstGeom>
                    <a:noFill/>
                  </pic:spPr>
                </pic:pic>
              </a:graphicData>
            </a:graphic>
          </wp:inline>
        </w:drawing>
      </w:r>
      <w:r>
        <w:rPr>
          <w:noProof/>
          <w:sz w:val="20"/>
          <w:lang w:eastAsia="zh-CN"/>
        </w:rPr>
        <w:drawing>
          <wp:inline distT="0" distB="0" distL="0" distR="0" wp14:anchorId="0FA39D21">
            <wp:extent cx="1744366" cy="949367"/>
            <wp:effectExtent l="0" t="0" r="8255" b="317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2855" cy="959429"/>
                    </a:xfrm>
                    <a:prstGeom prst="rect">
                      <a:avLst/>
                    </a:prstGeom>
                    <a:noFill/>
                  </pic:spPr>
                </pic:pic>
              </a:graphicData>
            </a:graphic>
          </wp:inline>
        </w:drawing>
      </w:r>
    </w:p>
    <w:p w:rsidR="00754B23" w:rsidRDefault="00754B23" w:rsidP="00754B23">
      <w:pPr>
        <w:pStyle w:val="a3"/>
        <w:rPr>
          <w:sz w:val="20"/>
        </w:rPr>
      </w:pPr>
      <w:r>
        <w:rPr>
          <w:noProof/>
          <w:sz w:val="20"/>
          <w:lang w:eastAsia="zh-CN"/>
        </w:rPr>
        <w:drawing>
          <wp:inline distT="0" distB="0" distL="0" distR="0" wp14:anchorId="0E1D88A5">
            <wp:extent cx="1506918" cy="1029956"/>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6305" r="7361"/>
                    <a:stretch/>
                  </pic:blipFill>
                  <pic:spPr bwMode="auto">
                    <a:xfrm>
                      <a:off x="0" y="0"/>
                      <a:ext cx="1520840" cy="1039472"/>
                    </a:xfrm>
                    <a:prstGeom prst="rect">
                      <a:avLst/>
                    </a:prstGeom>
                    <a:noFill/>
                    <a:ln>
                      <a:noFill/>
                    </a:ln>
                    <a:extLst>
                      <a:ext uri="{53640926-AAD7-44D8-BBD7-CCE9431645EC}">
                        <a14:shadowObscured xmlns:a14="http://schemas.microsoft.com/office/drawing/2010/main"/>
                      </a:ext>
                    </a:extLst>
                  </pic:spPr>
                </pic:pic>
              </a:graphicData>
            </a:graphic>
          </wp:inline>
        </w:drawing>
      </w:r>
      <w:r>
        <w:rPr>
          <w:noProof/>
          <w:sz w:val="20"/>
          <w:lang w:eastAsia="zh-CN"/>
        </w:rPr>
        <w:drawing>
          <wp:inline distT="0" distB="0" distL="0" distR="0" wp14:anchorId="0DB506C0">
            <wp:extent cx="1752513" cy="1021177"/>
            <wp:effectExtent l="0" t="0" r="635" b="762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4851" r="5874"/>
                    <a:stretch/>
                  </pic:blipFill>
                  <pic:spPr bwMode="auto">
                    <a:xfrm>
                      <a:off x="0" y="0"/>
                      <a:ext cx="1766061" cy="1029071"/>
                    </a:xfrm>
                    <a:prstGeom prst="rect">
                      <a:avLst/>
                    </a:prstGeom>
                    <a:noFill/>
                    <a:ln>
                      <a:noFill/>
                    </a:ln>
                    <a:extLst>
                      <a:ext uri="{53640926-AAD7-44D8-BBD7-CCE9431645EC}">
                        <a14:shadowObscured xmlns:a14="http://schemas.microsoft.com/office/drawing/2010/main"/>
                      </a:ext>
                    </a:extLst>
                  </pic:spPr>
                </pic:pic>
              </a:graphicData>
            </a:graphic>
          </wp:inline>
        </w:drawing>
      </w:r>
    </w:p>
    <w:p w:rsidR="008C3ACE" w:rsidRDefault="00B5063E">
      <w:pPr>
        <w:pStyle w:val="a4"/>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8C3ACE" w:rsidRDefault="008C3ACE">
      <w:pPr>
        <w:pStyle w:val="a3"/>
        <w:spacing w:before="9"/>
        <w:rPr>
          <w:b/>
          <w:sz w:val="18"/>
        </w:rPr>
      </w:pPr>
    </w:p>
    <w:p w:rsidR="008C3ACE" w:rsidRDefault="00B5063E" w:rsidP="002A76F1">
      <w:pPr>
        <w:pStyle w:val="a3"/>
        <w:tabs>
          <w:tab w:val="left" w:pos="1037"/>
        </w:tabs>
        <w:ind w:left="1037" w:right="696" w:hanging="360"/>
        <w:jc w:val="both"/>
        <w:rPr>
          <w:sz w:val="18"/>
        </w:rPr>
      </w:pPr>
      <w:r>
        <w:rPr>
          <w:color w:val="585858"/>
        </w:rPr>
        <w:t>1</w:t>
      </w:r>
      <w:r>
        <w:rPr>
          <w:color w:val="585858"/>
        </w:rPr>
        <w:tab/>
      </w:r>
      <w:proofErr w:type="spellStart"/>
      <w:r w:rsidR="00DE1305" w:rsidRPr="0031572D">
        <w:rPr>
          <w:color w:val="585858"/>
          <w:szCs w:val="22"/>
        </w:rPr>
        <w:t>Almulhim</w:t>
      </w:r>
      <w:proofErr w:type="spellEnd"/>
      <w:r w:rsidR="00DE1305" w:rsidRPr="0031572D">
        <w:rPr>
          <w:color w:val="585858"/>
          <w:szCs w:val="22"/>
        </w:rPr>
        <w:t xml:space="preserve">, A., </w:t>
      </w:r>
      <w:proofErr w:type="spellStart"/>
      <w:r w:rsidR="00DE1305" w:rsidRPr="0031572D">
        <w:rPr>
          <w:color w:val="585858"/>
          <w:szCs w:val="22"/>
        </w:rPr>
        <w:t>Alharthy</w:t>
      </w:r>
      <w:proofErr w:type="spellEnd"/>
      <w:r w:rsidR="00DE1305" w:rsidRPr="0031572D">
        <w:rPr>
          <w:color w:val="585858"/>
          <w:szCs w:val="22"/>
        </w:rPr>
        <w:t xml:space="preserve">, N., </w:t>
      </w:r>
      <w:proofErr w:type="spellStart"/>
      <w:r w:rsidR="00DE1305" w:rsidRPr="0031572D">
        <w:rPr>
          <w:color w:val="585858"/>
          <w:szCs w:val="22"/>
        </w:rPr>
        <w:t>Tutuncu</w:t>
      </w:r>
      <w:proofErr w:type="spellEnd"/>
      <w:r w:rsidR="00DE1305" w:rsidRPr="0031572D">
        <w:rPr>
          <w:color w:val="585858"/>
          <w:szCs w:val="22"/>
        </w:rPr>
        <w:t xml:space="preserve">, A. N. &amp; </w:t>
      </w:r>
      <w:proofErr w:type="spellStart"/>
      <w:r w:rsidR="00DE1305" w:rsidRPr="0031572D">
        <w:rPr>
          <w:color w:val="585858"/>
          <w:szCs w:val="22"/>
        </w:rPr>
        <w:t>Kazemi</w:t>
      </w:r>
      <w:proofErr w:type="spellEnd"/>
      <w:r w:rsidR="00DE1305" w:rsidRPr="0031572D">
        <w:rPr>
          <w:color w:val="585858"/>
          <w:szCs w:val="22"/>
        </w:rPr>
        <w:t>, H. Impact of imbibition mechanism on flowback behavior: a numerical study. Presented at the Abu Dhabi International Petroleum Exhibition and Conference, Abu Dhabi, 10-13 November, SPE-171799-MS, doi</w:t>
      </w:r>
      <w:proofErr w:type="gramStart"/>
      <w:r w:rsidR="00DE1305" w:rsidRPr="0031572D">
        <w:rPr>
          <w:color w:val="585858"/>
          <w:szCs w:val="22"/>
        </w:rPr>
        <w:t>:10.2118</w:t>
      </w:r>
      <w:proofErr w:type="gramEnd"/>
      <w:r w:rsidR="00DE1305" w:rsidRPr="0031572D">
        <w:rPr>
          <w:color w:val="585858"/>
          <w:szCs w:val="22"/>
        </w:rPr>
        <w:t>/171799-MS (2014).</w:t>
      </w:r>
    </w:p>
    <w:p w:rsidR="008C3ACE" w:rsidRDefault="006D718D" w:rsidP="007E4C85">
      <w:pPr>
        <w:pStyle w:val="a4"/>
        <w:numPr>
          <w:ilvl w:val="0"/>
          <w:numId w:val="2"/>
        </w:numPr>
        <w:tabs>
          <w:tab w:val="left" w:pos="1037"/>
          <w:tab w:val="left" w:pos="1038"/>
        </w:tabs>
        <w:ind w:right="612"/>
        <w:jc w:val="both"/>
      </w:pPr>
      <w:proofErr w:type="spellStart"/>
      <w:r w:rsidRPr="002A76F1">
        <w:rPr>
          <w:color w:val="585858"/>
          <w:sz w:val="19"/>
        </w:rPr>
        <w:t>Odumabo</w:t>
      </w:r>
      <w:proofErr w:type="spellEnd"/>
      <w:r w:rsidRPr="002A76F1">
        <w:rPr>
          <w:color w:val="585858"/>
          <w:sz w:val="19"/>
        </w:rPr>
        <w:t xml:space="preserve">, </w:t>
      </w:r>
      <w:proofErr w:type="spellStart"/>
      <w:r w:rsidRPr="002A76F1">
        <w:rPr>
          <w:color w:val="585858"/>
          <w:sz w:val="19"/>
        </w:rPr>
        <w:t>Sijuola</w:t>
      </w:r>
      <w:proofErr w:type="spellEnd"/>
      <w:r w:rsidRPr="002A76F1">
        <w:rPr>
          <w:color w:val="585858"/>
          <w:sz w:val="19"/>
        </w:rPr>
        <w:t xml:space="preserve"> M. &amp; </w:t>
      </w:r>
      <w:proofErr w:type="spellStart"/>
      <w:r w:rsidRPr="002A76F1">
        <w:rPr>
          <w:color w:val="585858"/>
          <w:sz w:val="19"/>
        </w:rPr>
        <w:t>Zuleima</w:t>
      </w:r>
      <w:proofErr w:type="spellEnd"/>
      <w:r w:rsidRPr="002A76F1">
        <w:rPr>
          <w:color w:val="585858"/>
          <w:sz w:val="19"/>
        </w:rPr>
        <w:t xml:space="preserve"> T. K. Investigation of gas flow hindrance due to fracturing fluid </w:t>
      </w:r>
      <w:proofErr w:type="spellStart"/>
      <w:r w:rsidRPr="002A76F1">
        <w:rPr>
          <w:color w:val="585858"/>
          <w:sz w:val="19"/>
        </w:rPr>
        <w:t>leakoff</w:t>
      </w:r>
      <w:proofErr w:type="spellEnd"/>
      <w:r w:rsidRPr="002A76F1">
        <w:rPr>
          <w:color w:val="585858"/>
          <w:sz w:val="19"/>
        </w:rPr>
        <w:t xml:space="preserve"> in low permeability sandstones. </w:t>
      </w:r>
      <w:r w:rsidRPr="002A76F1">
        <w:rPr>
          <w:b/>
          <w:i/>
          <w:color w:val="585858"/>
          <w:sz w:val="19"/>
        </w:rPr>
        <w:t xml:space="preserve">J. Nat. Gas Sci. Eng. </w:t>
      </w:r>
      <w:r w:rsidRPr="002A76F1">
        <w:rPr>
          <w:color w:val="585858"/>
          <w:sz w:val="19"/>
        </w:rPr>
        <w:t>17, 1-12, doi:10.1016/j.jngse.2013.12.002 (2014).</w:t>
      </w:r>
    </w:p>
    <w:p w:rsidR="008C3ACE" w:rsidRPr="0031572D" w:rsidRDefault="006D718D" w:rsidP="007E4C85">
      <w:pPr>
        <w:pStyle w:val="a4"/>
        <w:numPr>
          <w:ilvl w:val="0"/>
          <w:numId w:val="2"/>
        </w:numPr>
        <w:tabs>
          <w:tab w:val="left" w:pos="1037"/>
          <w:tab w:val="left" w:pos="1038"/>
        </w:tabs>
        <w:ind w:right="612"/>
        <w:jc w:val="both"/>
        <w:rPr>
          <w:color w:val="585858"/>
          <w:sz w:val="19"/>
        </w:rPr>
      </w:pPr>
      <w:r w:rsidRPr="006D718D">
        <w:rPr>
          <w:color w:val="585858"/>
          <w:sz w:val="19"/>
        </w:rPr>
        <w:t xml:space="preserve">Dutta, R. et al. Experimental investigation of fracturing-fluid migration caused by spontaneous imbibition in fractured low-permeability sands. </w:t>
      </w:r>
      <w:r w:rsidRPr="00AC5010">
        <w:rPr>
          <w:b/>
          <w:i/>
          <w:color w:val="585858"/>
          <w:sz w:val="19"/>
        </w:rPr>
        <w:t xml:space="preserve">SPE </w:t>
      </w:r>
      <w:proofErr w:type="spellStart"/>
      <w:r w:rsidRPr="00AC5010">
        <w:rPr>
          <w:b/>
          <w:i/>
          <w:color w:val="585858"/>
          <w:sz w:val="19"/>
        </w:rPr>
        <w:t>Reserv</w:t>
      </w:r>
      <w:proofErr w:type="spellEnd"/>
      <w:r w:rsidRPr="00AC5010">
        <w:rPr>
          <w:b/>
          <w:i/>
          <w:color w:val="585858"/>
          <w:sz w:val="19"/>
        </w:rPr>
        <w:t>. Eval. Eng.</w:t>
      </w:r>
      <w:r w:rsidRPr="006D718D">
        <w:rPr>
          <w:color w:val="585858"/>
          <w:sz w:val="19"/>
        </w:rPr>
        <w:t xml:space="preserve"> 17(01), 74-81, doi</w:t>
      </w:r>
      <w:proofErr w:type="gramStart"/>
      <w:r w:rsidRPr="006D718D">
        <w:rPr>
          <w:color w:val="585858"/>
          <w:sz w:val="19"/>
        </w:rPr>
        <w:t>:10.2118</w:t>
      </w:r>
      <w:proofErr w:type="gramEnd"/>
      <w:r w:rsidRPr="006D718D">
        <w:rPr>
          <w:color w:val="585858"/>
          <w:sz w:val="19"/>
        </w:rPr>
        <w:t>/154939-PA (2014).</w:t>
      </w:r>
    </w:p>
    <w:p w:rsidR="007E4C85" w:rsidRPr="005772A1" w:rsidRDefault="007E4C85" w:rsidP="005772A1">
      <w:pPr>
        <w:pStyle w:val="a4"/>
        <w:numPr>
          <w:ilvl w:val="0"/>
          <w:numId w:val="2"/>
        </w:numPr>
        <w:tabs>
          <w:tab w:val="left" w:pos="1037"/>
          <w:tab w:val="left" w:pos="1038"/>
        </w:tabs>
        <w:ind w:right="612"/>
        <w:jc w:val="both"/>
        <w:rPr>
          <w:color w:val="585858"/>
          <w:sz w:val="19"/>
        </w:rPr>
      </w:pPr>
      <w:proofErr w:type="spellStart"/>
      <w:r w:rsidRPr="005772A1">
        <w:rPr>
          <w:color w:val="585858"/>
          <w:sz w:val="19"/>
        </w:rPr>
        <w:t>Hamidpour</w:t>
      </w:r>
      <w:proofErr w:type="spellEnd"/>
      <w:r w:rsidRPr="005772A1">
        <w:rPr>
          <w:color w:val="585858"/>
          <w:sz w:val="19"/>
        </w:rPr>
        <w:t xml:space="preserve">, E., </w:t>
      </w:r>
      <w:proofErr w:type="spellStart"/>
      <w:r w:rsidRPr="005772A1">
        <w:rPr>
          <w:color w:val="585858"/>
          <w:sz w:val="19"/>
        </w:rPr>
        <w:t>Mirzaei-Paiaman</w:t>
      </w:r>
      <w:proofErr w:type="spellEnd"/>
      <w:r w:rsidRPr="005772A1">
        <w:rPr>
          <w:color w:val="585858"/>
          <w:sz w:val="19"/>
        </w:rPr>
        <w:t xml:space="preserve">, A., </w:t>
      </w:r>
      <w:proofErr w:type="spellStart"/>
      <w:r w:rsidRPr="005772A1">
        <w:rPr>
          <w:color w:val="585858"/>
          <w:sz w:val="19"/>
        </w:rPr>
        <w:t>Masihi</w:t>
      </w:r>
      <w:proofErr w:type="spellEnd"/>
      <w:r w:rsidRPr="005772A1">
        <w:rPr>
          <w:color w:val="585858"/>
          <w:sz w:val="19"/>
        </w:rPr>
        <w:t xml:space="preserve">, M. &amp; </w:t>
      </w:r>
      <w:proofErr w:type="spellStart"/>
      <w:r w:rsidRPr="005772A1">
        <w:rPr>
          <w:color w:val="585858"/>
          <w:sz w:val="19"/>
        </w:rPr>
        <w:t>Harimi</w:t>
      </w:r>
      <w:proofErr w:type="spellEnd"/>
      <w:r w:rsidRPr="005772A1">
        <w:rPr>
          <w:color w:val="585858"/>
          <w:sz w:val="19"/>
        </w:rPr>
        <w:t xml:space="preserve">, B. Experimental study of some important factors on nonwetting phase recovery by </w:t>
      </w:r>
      <w:proofErr w:type="spellStart"/>
      <w:r w:rsidRPr="005772A1">
        <w:rPr>
          <w:color w:val="585858"/>
          <w:sz w:val="19"/>
        </w:rPr>
        <w:t>cocurrent</w:t>
      </w:r>
      <w:proofErr w:type="spellEnd"/>
      <w:r w:rsidRPr="005772A1">
        <w:rPr>
          <w:color w:val="585858"/>
          <w:sz w:val="19"/>
        </w:rPr>
        <w:t xml:space="preserve"> spontaneous imbibition. </w:t>
      </w:r>
      <w:r w:rsidRPr="00AC5010">
        <w:rPr>
          <w:b/>
          <w:i/>
          <w:color w:val="585858"/>
          <w:sz w:val="19"/>
        </w:rPr>
        <w:t>J. Nat. Gas Sci. Eng.</w:t>
      </w:r>
      <w:r w:rsidRPr="005772A1">
        <w:rPr>
          <w:color w:val="585858"/>
          <w:sz w:val="19"/>
        </w:rPr>
        <w:t xml:space="preserve"> 27, 1213−1228, doi:10.1016/j.jngse.2015.09.070 (2015). </w:t>
      </w:r>
    </w:p>
    <w:p w:rsidR="007E4C85" w:rsidRPr="005772A1" w:rsidRDefault="007E4C85" w:rsidP="005772A1">
      <w:pPr>
        <w:pStyle w:val="a4"/>
        <w:numPr>
          <w:ilvl w:val="0"/>
          <w:numId w:val="2"/>
        </w:numPr>
        <w:tabs>
          <w:tab w:val="left" w:pos="1037"/>
          <w:tab w:val="left" w:pos="1038"/>
        </w:tabs>
        <w:ind w:right="612"/>
        <w:jc w:val="both"/>
        <w:rPr>
          <w:color w:val="585858"/>
          <w:sz w:val="19"/>
        </w:rPr>
      </w:pPr>
      <w:proofErr w:type="spellStart"/>
      <w:r w:rsidRPr="005772A1">
        <w:rPr>
          <w:color w:val="585858"/>
          <w:sz w:val="19"/>
        </w:rPr>
        <w:t>Morsy</w:t>
      </w:r>
      <w:proofErr w:type="spellEnd"/>
      <w:r w:rsidRPr="005772A1">
        <w:rPr>
          <w:color w:val="585858"/>
          <w:sz w:val="19"/>
        </w:rPr>
        <w:t>, S., Sheng, J. J. &amp; Soliman, M. Y. Waterflooding in the Eagle Ford shale formation: experimental and simulation study. Present at Unconventional Resources Conference and Exhibition-Asia Pacific, Brisbane, Australia, 11-13 November, SPE-167056-MS, doi:10.2118/167056-MS (2013).</w:t>
      </w:r>
    </w:p>
    <w:p w:rsidR="007E4C85" w:rsidRPr="005772A1" w:rsidRDefault="007E4C85" w:rsidP="005772A1">
      <w:pPr>
        <w:pStyle w:val="a4"/>
        <w:numPr>
          <w:ilvl w:val="0"/>
          <w:numId w:val="2"/>
        </w:numPr>
        <w:tabs>
          <w:tab w:val="left" w:pos="1037"/>
          <w:tab w:val="left" w:pos="1038"/>
        </w:tabs>
        <w:ind w:right="612"/>
        <w:jc w:val="both"/>
        <w:rPr>
          <w:color w:val="585858"/>
          <w:sz w:val="19"/>
        </w:rPr>
      </w:pPr>
      <w:r w:rsidRPr="005772A1">
        <w:rPr>
          <w:color w:val="585858"/>
          <w:sz w:val="19"/>
        </w:rPr>
        <w:t xml:space="preserve">Lai, F., Li, Z., Wei, Q., Zhang, T. &amp; Zhao, </w:t>
      </w:r>
      <w:proofErr w:type="gramStart"/>
      <w:r w:rsidRPr="005772A1">
        <w:rPr>
          <w:color w:val="585858"/>
          <w:sz w:val="19"/>
        </w:rPr>
        <w:t>Q..</w:t>
      </w:r>
      <w:proofErr w:type="gramEnd"/>
      <w:r w:rsidRPr="005772A1">
        <w:rPr>
          <w:color w:val="585858"/>
          <w:sz w:val="19"/>
        </w:rPr>
        <w:t xml:space="preserve"> Experimental investigation of spontaneous imbibition in a tight reservoir with nuclear magnetic resonance testing. </w:t>
      </w:r>
      <w:r w:rsidRPr="00AC5010">
        <w:rPr>
          <w:b/>
          <w:i/>
          <w:color w:val="585858"/>
          <w:sz w:val="19"/>
        </w:rPr>
        <w:t>Energy Fuels</w:t>
      </w:r>
      <w:r w:rsidRPr="005772A1">
        <w:rPr>
          <w:color w:val="585858"/>
          <w:sz w:val="19"/>
        </w:rPr>
        <w:t xml:space="preserve">, 30(11), 8932-8940, doi:10.1021/acs.energyfuels.6b01324 (2016). </w:t>
      </w:r>
    </w:p>
    <w:p w:rsidR="007E4C85" w:rsidRPr="005772A1" w:rsidRDefault="007E4C85" w:rsidP="005772A1">
      <w:pPr>
        <w:pStyle w:val="a4"/>
        <w:numPr>
          <w:ilvl w:val="0"/>
          <w:numId w:val="2"/>
        </w:numPr>
        <w:tabs>
          <w:tab w:val="left" w:pos="1037"/>
          <w:tab w:val="left" w:pos="1038"/>
        </w:tabs>
        <w:ind w:right="612"/>
        <w:jc w:val="both"/>
        <w:rPr>
          <w:color w:val="585858"/>
          <w:sz w:val="19"/>
        </w:rPr>
      </w:pPr>
      <w:r w:rsidRPr="005772A1">
        <w:rPr>
          <w:color w:val="585858"/>
          <w:sz w:val="19"/>
        </w:rPr>
        <w:t xml:space="preserve">Zhou, Z. et al. Experimental investigation of the effect of imbibition on shale permeability during hydraulic fracturing. </w:t>
      </w:r>
      <w:r w:rsidRPr="00AC5010">
        <w:rPr>
          <w:b/>
          <w:i/>
          <w:color w:val="585858"/>
          <w:sz w:val="19"/>
        </w:rPr>
        <w:t>J. Nat. Gas Sci. Eng.</w:t>
      </w:r>
      <w:r w:rsidRPr="005772A1">
        <w:rPr>
          <w:color w:val="585858"/>
          <w:sz w:val="19"/>
        </w:rPr>
        <w:t xml:space="preserve"> 29: 413-430. doi:10.1016/j.jngse.2016.01.023 (2016).</w:t>
      </w:r>
    </w:p>
    <w:p w:rsidR="006D718D" w:rsidRDefault="006D718D" w:rsidP="005772A1">
      <w:pPr>
        <w:pStyle w:val="a4"/>
        <w:tabs>
          <w:tab w:val="left" w:pos="1037"/>
          <w:tab w:val="left" w:pos="1038"/>
        </w:tabs>
        <w:ind w:left="1037" w:right="612" w:firstLine="0"/>
        <w:jc w:val="both"/>
        <w:rPr>
          <w:sz w:val="19"/>
        </w:rPr>
      </w:pPr>
    </w:p>
    <w:p w:rsidR="008C3ACE" w:rsidRDefault="008C3ACE">
      <w:pPr>
        <w:pStyle w:val="a3"/>
        <w:spacing w:before="2"/>
      </w:pPr>
    </w:p>
    <w:p w:rsidR="008C3ACE" w:rsidRDefault="00B5063E">
      <w:pPr>
        <w:pStyle w:val="3"/>
        <w:numPr>
          <w:ilvl w:val="0"/>
          <w:numId w:val="1"/>
        </w:numPr>
        <w:tabs>
          <w:tab w:val="left" w:pos="1758"/>
        </w:tabs>
        <w:ind w:left="1757"/>
        <w:jc w:val="left"/>
      </w:pPr>
      <w:r>
        <w:rPr>
          <w:color w:val="585858"/>
        </w:rPr>
        <w:t>Biography:</w:t>
      </w:r>
    </w:p>
    <w:p w:rsidR="008C3ACE" w:rsidRDefault="00213109" w:rsidP="00461B92">
      <w:pPr>
        <w:pStyle w:val="a3"/>
        <w:spacing w:before="119"/>
        <w:ind w:left="316" w:right="381"/>
        <w:jc w:val="both"/>
      </w:pPr>
      <w:r w:rsidRPr="00213109">
        <w:rPr>
          <w:color w:val="585858"/>
        </w:rPr>
        <w:t xml:space="preserve">Shuai Li, born in 1987, </w:t>
      </w:r>
      <w:r w:rsidR="00461B92">
        <w:rPr>
          <w:rFonts w:eastAsiaTheme="minorEastAsia" w:hint="eastAsia"/>
          <w:color w:val="585858"/>
          <w:lang w:eastAsia="zh-CN"/>
        </w:rPr>
        <w:t xml:space="preserve">he holds a </w:t>
      </w:r>
      <w:proofErr w:type="spellStart"/>
      <w:r w:rsidR="00461B92">
        <w:rPr>
          <w:rFonts w:eastAsiaTheme="minorEastAsia" w:hint="eastAsia"/>
          <w:color w:val="585858"/>
          <w:lang w:eastAsia="zh-CN"/>
        </w:rPr>
        <w:t>P.h.D</w:t>
      </w:r>
      <w:proofErr w:type="spellEnd"/>
      <w:r w:rsidR="00461B92">
        <w:rPr>
          <w:rFonts w:eastAsiaTheme="minorEastAsia" w:hint="eastAsia"/>
          <w:color w:val="585858"/>
          <w:lang w:eastAsia="zh-CN"/>
        </w:rPr>
        <w:t xml:space="preserve"> degree at </w:t>
      </w:r>
      <w:r w:rsidR="00461B92" w:rsidRPr="00213109">
        <w:rPr>
          <w:color w:val="585858"/>
        </w:rPr>
        <w:t>Research Institute of Petroleum Exploration &amp; Development</w:t>
      </w:r>
      <w:r w:rsidR="00461B92">
        <w:rPr>
          <w:rFonts w:eastAsiaTheme="minorEastAsia" w:hint="eastAsia"/>
          <w:color w:val="585858"/>
          <w:lang w:eastAsia="zh-CN"/>
        </w:rPr>
        <w:t xml:space="preserve">, </w:t>
      </w:r>
      <w:proofErr w:type="spellStart"/>
      <w:r w:rsidR="00461B92">
        <w:rPr>
          <w:rFonts w:eastAsiaTheme="minorEastAsia" w:hint="eastAsia"/>
          <w:color w:val="585858"/>
          <w:lang w:eastAsia="zh-CN"/>
        </w:rPr>
        <w:t>PetroChina</w:t>
      </w:r>
      <w:proofErr w:type="spellEnd"/>
      <w:r w:rsidR="00461B92">
        <w:rPr>
          <w:rFonts w:eastAsiaTheme="minorEastAsia" w:hint="eastAsia"/>
          <w:color w:val="585858"/>
          <w:lang w:eastAsia="zh-CN"/>
        </w:rPr>
        <w:t>, majoring in oil and gas en</w:t>
      </w:r>
      <w:bookmarkStart w:id="0" w:name="_GoBack"/>
      <w:bookmarkEnd w:id="0"/>
      <w:r w:rsidR="00461B92">
        <w:rPr>
          <w:rFonts w:eastAsiaTheme="minorEastAsia" w:hint="eastAsia"/>
          <w:color w:val="585858"/>
          <w:lang w:eastAsia="zh-CN"/>
        </w:rPr>
        <w:t xml:space="preserve">gineering. He also </w:t>
      </w:r>
      <w:r w:rsidRPr="00213109">
        <w:rPr>
          <w:color w:val="585858"/>
        </w:rPr>
        <w:t>holds a bachelor’s degree (2011) and a master’s degree (2014) at China University of Petroleum (Beijing), both in petroleum engineering. He is also a visiting student at the Pennsylvania State University, USA</w:t>
      </w:r>
      <w:r w:rsidR="00612AEB">
        <w:rPr>
          <w:rFonts w:eastAsiaTheme="minorEastAsia" w:hint="eastAsia"/>
          <w:color w:val="585858"/>
          <w:lang w:eastAsia="zh-CN"/>
        </w:rPr>
        <w:t xml:space="preserve"> from year 2017 to </w:t>
      </w:r>
      <w:r w:rsidR="00A67A22">
        <w:rPr>
          <w:rFonts w:eastAsiaTheme="minorEastAsia" w:hint="eastAsia"/>
          <w:color w:val="585858"/>
          <w:lang w:eastAsia="zh-CN"/>
        </w:rPr>
        <w:t xml:space="preserve">year </w:t>
      </w:r>
      <w:r w:rsidR="00612AEB">
        <w:rPr>
          <w:rFonts w:eastAsiaTheme="minorEastAsia" w:hint="eastAsia"/>
          <w:color w:val="585858"/>
          <w:lang w:eastAsia="zh-CN"/>
        </w:rPr>
        <w:t>2018</w:t>
      </w:r>
      <w:r w:rsidRPr="00213109">
        <w:rPr>
          <w:color w:val="585858"/>
        </w:rPr>
        <w:t>.</w:t>
      </w:r>
    </w:p>
    <w:p w:rsidR="008C3ACE" w:rsidRDefault="008C3ACE">
      <w:pPr>
        <w:pStyle w:val="a3"/>
        <w:spacing w:before="1"/>
      </w:pPr>
    </w:p>
    <w:p w:rsidR="008C3ACE" w:rsidRDefault="00B5063E">
      <w:pPr>
        <w:pStyle w:val="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E63D91" w:rsidRDefault="00E63D91">
      <w:pPr>
        <w:pStyle w:val="a3"/>
        <w:spacing w:before="7"/>
        <w:rPr>
          <w:rFonts w:eastAsiaTheme="minorEastAsia" w:hint="eastAsia"/>
          <w:b/>
          <w:sz w:val="15"/>
          <w:lang w:eastAsia="zh-CN"/>
        </w:rPr>
      </w:pPr>
    </w:p>
    <w:p w:rsidR="00E63D91" w:rsidRDefault="00E63D91" w:rsidP="00E63D91">
      <w:pPr>
        <w:pStyle w:val="a3"/>
        <w:spacing w:before="7"/>
        <w:jc w:val="center"/>
        <w:rPr>
          <w:rFonts w:eastAsiaTheme="minorEastAsia" w:hint="eastAsia"/>
          <w:b/>
          <w:sz w:val="15"/>
          <w:lang w:eastAsia="zh-CN"/>
        </w:rPr>
      </w:pPr>
      <w:r>
        <w:rPr>
          <w:rFonts w:eastAsiaTheme="minorEastAsia"/>
          <w:b/>
          <w:noProof/>
          <w:sz w:val="15"/>
          <w:lang w:eastAsia="zh-CN"/>
        </w:rPr>
        <w:lastRenderedPageBreak/>
        <w:drawing>
          <wp:inline distT="0" distB="0" distL="0" distR="0">
            <wp:extent cx="1156050" cy="1644733"/>
            <wp:effectExtent l="0" t="0" r="6350" b="0"/>
            <wp:docPr id="1" name="图片 1" descr="F:\1寸照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1寸照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56031" cy="1644706"/>
                    </a:xfrm>
                    <a:prstGeom prst="rect">
                      <a:avLst/>
                    </a:prstGeom>
                    <a:noFill/>
                    <a:ln>
                      <a:noFill/>
                    </a:ln>
                  </pic:spPr>
                </pic:pic>
              </a:graphicData>
            </a:graphic>
          </wp:inline>
        </w:drawing>
      </w:r>
    </w:p>
    <w:p w:rsidR="00E63D91" w:rsidRDefault="00E63D91">
      <w:pPr>
        <w:pStyle w:val="a3"/>
        <w:spacing w:before="7"/>
        <w:rPr>
          <w:rFonts w:eastAsiaTheme="minorEastAsia" w:hint="eastAsia"/>
          <w:b/>
          <w:sz w:val="15"/>
          <w:lang w:eastAsia="zh-CN"/>
        </w:rPr>
      </w:pPr>
    </w:p>
    <w:p w:rsidR="00E63D91" w:rsidRDefault="00E63D91">
      <w:pPr>
        <w:pStyle w:val="a3"/>
        <w:spacing w:before="7"/>
        <w:rPr>
          <w:rFonts w:eastAsiaTheme="minorEastAsia" w:hint="eastAsia"/>
          <w:b/>
          <w:sz w:val="15"/>
          <w:lang w:eastAsia="zh-CN"/>
        </w:rPr>
      </w:pPr>
    </w:p>
    <w:p w:rsidR="008C3ACE" w:rsidRDefault="008C3ACE">
      <w:pPr>
        <w:pStyle w:val="a3"/>
        <w:spacing w:before="7"/>
        <w:rPr>
          <w:b/>
          <w:sz w:val="15"/>
        </w:rPr>
      </w:pPr>
    </w:p>
    <w:p w:rsidR="00E63D91" w:rsidRPr="00E63D91" w:rsidRDefault="00B5063E" w:rsidP="00CD11F4">
      <w:pPr>
        <w:pStyle w:val="a3"/>
        <w:adjustRightInd w:val="0"/>
        <w:snapToGrid w:val="0"/>
        <w:ind w:left="318" w:right="1797"/>
        <w:rPr>
          <w:rFonts w:eastAsiaTheme="minorEastAsia" w:hint="eastAsia"/>
          <w:color w:val="585858"/>
          <w:lang w:eastAsia="zh-CN"/>
        </w:rPr>
      </w:pPr>
      <w:r>
        <w:rPr>
          <w:color w:val="585858"/>
        </w:rPr>
        <w:t xml:space="preserve">Full Name: </w:t>
      </w:r>
      <w:proofErr w:type="spellStart"/>
      <w:r w:rsidR="00E63D91" w:rsidRPr="00816B8F">
        <w:rPr>
          <w:rFonts w:eastAsiaTheme="minorEastAsia" w:hint="eastAsia"/>
          <w:b/>
          <w:color w:val="585858"/>
          <w:lang w:eastAsia="zh-CN"/>
        </w:rPr>
        <w:t>Shuai</w:t>
      </w:r>
      <w:proofErr w:type="spellEnd"/>
      <w:r w:rsidR="00E63D91" w:rsidRPr="00816B8F">
        <w:rPr>
          <w:rFonts w:eastAsiaTheme="minorEastAsia" w:hint="eastAsia"/>
          <w:b/>
          <w:color w:val="585858"/>
          <w:lang w:eastAsia="zh-CN"/>
        </w:rPr>
        <w:t xml:space="preserve"> Li</w:t>
      </w:r>
    </w:p>
    <w:p w:rsidR="00E63D91" w:rsidRPr="00E63D91" w:rsidRDefault="00B5063E" w:rsidP="00CD11F4">
      <w:pPr>
        <w:pStyle w:val="a3"/>
        <w:adjustRightInd w:val="0"/>
        <w:snapToGrid w:val="0"/>
        <w:ind w:left="318" w:right="1797"/>
        <w:rPr>
          <w:rFonts w:eastAsiaTheme="minorEastAsia" w:hint="eastAsia"/>
          <w:color w:val="585858"/>
          <w:lang w:eastAsia="zh-CN"/>
        </w:rPr>
      </w:pPr>
      <w:r>
        <w:rPr>
          <w:color w:val="585858"/>
        </w:rPr>
        <w:t xml:space="preserve">Contact number: </w:t>
      </w:r>
      <w:r w:rsidR="00E63D91" w:rsidRPr="00816B8F">
        <w:rPr>
          <w:rFonts w:eastAsiaTheme="minorEastAsia" w:hint="eastAsia"/>
          <w:b/>
          <w:color w:val="585858"/>
          <w:lang w:eastAsia="zh-CN"/>
        </w:rPr>
        <w:t>+86-178-8881-6345</w:t>
      </w:r>
    </w:p>
    <w:p w:rsidR="00E63D91" w:rsidRDefault="00B5063E" w:rsidP="00CD11F4">
      <w:pPr>
        <w:pStyle w:val="a3"/>
        <w:adjustRightInd w:val="0"/>
        <w:snapToGrid w:val="0"/>
        <w:ind w:left="318" w:right="1797"/>
        <w:rPr>
          <w:rFonts w:eastAsiaTheme="minorEastAsia" w:hint="eastAsia"/>
          <w:color w:val="585858"/>
          <w:lang w:eastAsia="zh-CN"/>
        </w:rPr>
      </w:pPr>
      <w:r>
        <w:rPr>
          <w:color w:val="585858"/>
        </w:rPr>
        <w:t xml:space="preserve">Twitter account: </w:t>
      </w:r>
    </w:p>
    <w:p w:rsidR="008C3ACE" w:rsidRDefault="00B5063E" w:rsidP="00CD11F4">
      <w:pPr>
        <w:pStyle w:val="a3"/>
        <w:adjustRightInd w:val="0"/>
        <w:snapToGrid w:val="0"/>
        <w:ind w:left="318" w:right="1797"/>
      </w:pPr>
      <w:r>
        <w:rPr>
          <w:color w:val="585858"/>
        </w:rPr>
        <w:t>Linked In account:</w:t>
      </w:r>
    </w:p>
    <w:p w:rsidR="008C3ACE" w:rsidRDefault="00B5063E" w:rsidP="00CD11F4">
      <w:pPr>
        <w:pStyle w:val="a3"/>
        <w:adjustRightInd w:val="0"/>
        <w:snapToGrid w:val="0"/>
        <w:ind w:left="318" w:right="1797"/>
      </w:pPr>
      <w:r>
        <w:rPr>
          <w:color w:val="585858"/>
        </w:rPr>
        <w:t>Session name/ number:</w:t>
      </w:r>
    </w:p>
    <w:p w:rsidR="00E63D91" w:rsidRDefault="00B5063E" w:rsidP="00CD11F4">
      <w:pPr>
        <w:pStyle w:val="a3"/>
        <w:adjustRightInd w:val="0"/>
        <w:snapToGrid w:val="0"/>
        <w:ind w:left="318" w:right="1797"/>
        <w:rPr>
          <w:rFonts w:eastAsiaTheme="minorEastAsia" w:hint="eastAsia"/>
          <w:color w:val="585858"/>
          <w:lang w:eastAsia="zh-CN"/>
        </w:rPr>
      </w:pPr>
      <w:r>
        <w:rPr>
          <w:color w:val="585858"/>
        </w:rPr>
        <w:t xml:space="preserve">Category: </w:t>
      </w:r>
      <w:r w:rsidRPr="004432E1">
        <w:rPr>
          <w:b/>
          <w:color w:val="585858"/>
        </w:rPr>
        <w:t>Oral presentation</w:t>
      </w:r>
    </w:p>
    <w:p w:rsidR="008C3ACE" w:rsidRDefault="00B5063E" w:rsidP="00CD11F4">
      <w:pPr>
        <w:pStyle w:val="a3"/>
        <w:adjustRightInd w:val="0"/>
        <w:snapToGrid w:val="0"/>
        <w:ind w:left="318" w:right="1797"/>
        <w:rPr>
          <w:rFonts w:eastAsiaTheme="minorEastAsia" w:hint="eastAsia"/>
          <w:b/>
          <w:color w:val="585858"/>
          <w:sz w:val="18"/>
          <w:lang w:eastAsia="zh-CN"/>
        </w:rPr>
      </w:pPr>
      <w:r>
        <w:rPr>
          <w:color w:val="585858"/>
        </w:rPr>
        <w:t>Passport Number</w:t>
      </w:r>
      <w:r>
        <w:rPr>
          <w:color w:val="585858"/>
          <w:sz w:val="18"/>
        </w:rPr>
        <w:t>:</w:t>
      </w:r>
      <w:r w:rsidR="00D51BCF" w:rsidRPr="00D51BCF">
        <w:t xml:space="preserve"> </w:t>
      </w:r>
      <w:r w:rsidR="00D51BCF" w:rsidRPr="00816B8F">
        <w:rPr>
          <w:b/>
          <w:color w:val="585858"/>
          <w:sz w:val="18"/>
        </w:rPr>
        <w:t>E80792818</w:t>
      </w:r>
    </w:p>
    <w:p w:rsidR="00393864" w:rsidRDefault="00393864" w:rsidP="00CD11F4">
      <w:pPr>
        <w:pStyle w:val="a3"/>
        <w:adjustRightInd w:val="0"/>
        <w:snapToGrid w:val="0"/>
        <w:ind w:left="318" w:right="1797"/>
        <w:rPr>
          <w:rFonts w:eastAsiaTheme="minorEastAsia" w:hint="eastAsia"/>
          <w:b/>
          <w:color w:val="585858"/>
          <w:lang w:eastAsia="zh-CN"/>
        </w:rPr>
      </w:pPr>
      <w:r w:rsidRPr="008129CC">
        <w:rPr>
          <w:color w:val="585858"/>
        </w:rPr>
        <w:t>Affiliate</w:t>
      </w:r>
      <w:r w:rsidRPr="008129CC">
        <w:rPr>
          <w:rFonts w:hint="eastAsia"/>
          <w:color w:val="585858"/>
        </w:rPr>
        <w:t xml:space="preserve">: </w:t>
      </w:r>
      <w:r w:rsidRPr="008129CC">
        <w:rPr>
          <w:b/>
          <w:color w:val="585858"/>
        </w:rPr>
        <w:t>Research</w:t>
      </w:r>
      <w:r w:rsidRPr="008129CC">
        <w:rPr>
          <w:rFonts w:hint="eastAsia"/>
          <w:b/>
          <w:color w:val="585858"/>
        </w:rPr>
        <w:t xml:space="preserve"> Institute of Petroleum E. &amp; D., </w:t>
      </w:r>
      <w:proofErr w:type="spellStart"/>
      <w:r w:rsidRPr="008129CC">
        <w:rPr>
          <w:rFonts w:hint="eastAsia"/>
          <w:b/>
          <w:color w:val="585858"/>
        </w:rPr>
        <w:t>PetroChina</w:t>
      </w:r>
      <w:proofErr w:type="spellEnd"/>
    </w:p>
    <w:p w:rsidR="006D58BD" w:rsidRPr="006D58BD" w:rsidRDefault="006D58BD" w:rsidP="00CD11F4">
      <w:pPr>
        <w:pStyle w:val="a3"/>
        <w:adjustRightInd w:val="0"/>
        <w:snapToGrid w:val="0"/>
        <w:ind w:left="318" w:right="1797"/>
        <w:rPr>
          <w:rFonts w:eastAsiaTheme="minorEastAsia" w:hint="eastAsia"/>
          <w:color w:val="585858"/>
          <w:lang w:eastAsia="zh-CN"/>
        </w:rPr>
      </w:pPr>
      <w:r w:rsidRPr="003312B0">
        <w:rPr>
          <w:rFonts w:eastAsiaTheme="minorEastAsia" w:hint="eastAsia"/>
          <w:color w:val="585858"/>
          <w:lang w:eastAsia="zh-CN"/>
        </w:rPr>
        <w:t xml:space="preserve">Title: </w:t>
      </w:r>
      <w:r w:rsidR="002B0892" w:rsidRPr="002B0892">
        <w:rPr>
          <w:rFonts w:eastAsiaTheme="minorEastAsia"/>
          <w:b/>
          <w:color w:val="585858"/>
          <w:lang w:eastAsia="zh-CN"/>
        </w:rPr>
        <w:t>Recovery of tight oil reservoir considering wettability alteration by adding surfactant additive agent</w:t>
      </w:r>
    </w:p>
    <w:p w:rsidR="00393864" w:rsidRPr="00393864" w:rsidRDefault="00393864" w:rsidP="00CD11F4">
      <w:pPr>
        <w:pStyle w:val="a3"/>
        <w:adjustRightInd w:val="0"/>
        <w:snapToGrid w:val="0"/>
        <w:ind w:left="318" w:right="1797"/>
        <w:rPr>
          <w:rFonts w:eastAsiaTheme="minorEastAsia" w:hint="eastAsia"/>
          <w:sz w:val="18"/>
          <w:lang w:eastAsia="zh-CN"/>
        </w:rPr>
      </w:pPr>
    </w:p>
    <w:p w:rsidR="008C3ACE" w:rsidRDefault="008C3ACE">
      <w:pPr>
        <w:rPr>
          <w:sz w:val="18"/>
        </w:rPr>
        <w:sectPr w:rsidR="008C3ACE">
          <w:type w:val="continuous"/>
          <w:pgSz w:w="11910" w:h="16840"/>
          <w:pgMar w:top="600" w:right="180" w:bottom="280" w:left="140" w:header="720" w:footer="720" w:gutter="0"/>
          <w:cols w:num="2" w:space="720" w:equalWidth="0">
            <w:col w:w="5639" w:space="40"/>
            <w:col w:w="5911"/>
          </w:cols>
        </w:sectPr>
      </w:pPr>
    </w:p>
    <w:p w:rsidR="008C3ACE" w:rsidRDefault="008C3ACE">
      <w:pPr>
        <w:pStyle w:val="a3"/>
        <w:rPr>
          <w:sz w:val="20"/>
        </w:rPr>
      </w:pPr>
    </w:p>
    <w:p w:rsidR="008C3ACE" w:rsidRDefault="0003091D">
      <w:pPr>
        <w:pStyle w:val="a3"/>
        <w:spacing w:line="55" w:lineRule="exact"/>
        <w:ind w:left="107"/>
        <w:rPr>
          <w:sz w:val="5"/>
        </w:rPr>
      </w:pPr>
      <w:r>
        <w:rPr>
          <w:noProof/>
          <w:sz w:val="5"/>
          <w:lang w:eastAsia="zh-CN"/>
        </w:rPr>
        <mc:AlternateContent>
          <mc:Choice Requires="wpg">
            <w:drawing>
              <wp:anchor distT="0" distB="0" distL="114300" distR="114300" simplePos="0" relativeHeight="251658752" behindDoc="1" locked="0" layoutInCell="1" allowOverlap="1" wp14:anchorId="586BCAEB" wp14:editId="3A547648">
                <wp:simplePos x="0" y="0"/>
                <wp:positionH relativeFrom="column">
                  <wp:posOffset>50165</wp:posOffset>
                </wp:positionH>
                <wp:positionV relativeFrom="paragraph">
                  <wp:posOffset>21590</wp:posOffset>
                </wp:positionV>
                <wp:extent cx="7226300" cy="34925"/>
                <wp:effectExtent l="0" t="0" r="0" b="0"/>
                <wp:wrapTight wrapText="bothSides">
                  <wp:wrapPolygon edited="0">
                    <wp:start x="0" y="0"/>
                    <wp:lineTo x="0" y="0"/>
                    <wp:lineTo x="21524" y="0"/>
                    <wp:lineTo x="21524" y="0"/>
                    <wp:lineTo x="0" y="0"/>
                  </wp:wrapPolygon>
                </wp:wrapTight>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w14:anchorId="1E76DF08" id="Group 2" o:spid="_x0000_s1026" style="position:absolute;left:0;text-align:left;margin-left:3.95pt;margin-top:1.7pt;width:569pt;height:2.75pt;z-index:-251657728"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">
                <v:line id="Line 3" o:spid="_x0000_s1027" style="position:absolute;visibility:visible;mso-wrap-style:square" from="20,35" to="1136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" strokecolor="#5a5a5a" strokeweight="2pt"/>
                <w10:wrap type="tight"/>
              </v:group>
            </w:pict>
          </mc:Fallback>
        </mc:AlternateContent>
      </w:r>
    </w:p>
    <w:p w:rsidR="00A26704" w:rsidRPr="00A26704" w:rsidRDefault="0003091D" w:rsidP="00B5063E">
      <w:pPr>
        <w:rPr>
          <w:color w:val="333333"/>
          <w:sz w:val="18"/>
          <w:szCs w:val="18"/>
        </w:rPr>
      </w:pPr>
      <w:r>
        <w:rPr>
          <w:noProof/>
          <w:color w:val="333333"/>
          <w:sz w:val="18"/>
          <w:szCs w:val="18"/>
          <w:lang w:eastAsia="zh-CN"/>
        </w:rPr>
        <w:drawing>
          <wp:inline distT="0" distB="0" distL="0" distR="0">
            <wp:extent cx="7347006" cy="1009669"/>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World Summit on.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359650" cy="1011407"/>
                    </a:xfrm>
                    <a:prstGeom prst="rect">
                      <a:avLst/>
                    </a:prstGeom>
                  </pic:spPr>
                </pic:pic>
              </a:graphicData>
            </a:graphic>
          </wp:inline>
        </w:drawing>
      </w:r>
    </w:p>
    <w:p w:rsidR="00935715" w:rsidRPr="00F90B75" w:rsidRDefault="00935715" w:rsidP="00B5063E">
      <w:pPr>
        <w:rPr>
          <w:color w:val="333333"/>
          <w:sz w:val="24"/>
          <w:szCs w:val="24"/>
        </w:rPr>
      </w:pPr>
    </w:p>
    <w:p w:rsidR="008C3ACE" w:rsidRDefault="008C3ACE">
      <w:pPr>
        <w:spacing w:line="276" w:lineRule="exact"/>
        <w:ind w:left="1048" w:right="1488"/>
        <w:jc w:val="center"/>
        <w:rPr>
          <w:sz w:val="20"/>
        </w:rPr>
      </w:pPr>
    </w:p>
    <w:sectPr w:rsidR="008C3ACE">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3BBD" w:rsidRDefault="00B23BBD" w:rsidP="00FF6D4C">
      <w:r>
        <w:separator/>
      </w:r>
    </w:p>
  </w:endnote>
  <w:endnote w:type="continuationSeparator" w:id="0">
    <w:p w:rsidR="00B23BBD" w:rsidRDefault="00B23BBD" w:rsidP="00FF6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3BBD" w:rsidRDefault="00B23BBD" w:rsidP="00FF6D4C">
      <w:r>
        <w:separator/>
      </w:r>
    </w:p>
  </w:footnote>
  <w:footnote w:type="continuationSeparator" w:id="0">
    <w:p w:rsidR="00B23BBD" w:rsidRDefault="00B23BBD" w:rsidP="00FF6D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03091D"/>
    <w:rsid w:val="000533A7"/>
    <w:rsid w:val="00065960"/>
    <w:rsid w:val="000960E3"/>
    <w:rsid w:val="000E4D1B"/>
    <w:rsid w:val="000E5974"/>
    <w:rsid w:val="00164DF6"/>
    <w:rsid w:val="001776AA"/>
    <w:rsid w:val="001A59A5"/>
    <w:rsid w:val="00213109"/>
    <w:rsid w:val="0022441A"/>
    <w:rsid w:val="002A76F1"/>
    <w:rsid w:val="002B0892"/>
    <w:rsid w:val="002B4BED"/>
    <w:rsid w:val="0031572D"/>
    <w:rsid w:val="003312B0"/>
    <w:rsid w:val="00332D78"/>
    <w:rsid w:val="00347D6E"/>
    <w:rsid w:val="00361450"/>
    <w:rsid w:val="00393864"/>
    <w:rsid w:val="003D25E2"/>
    <w:rsid w:val="003D6055"/>
    <w:rsid w:val="003E6AE9"/>
    <w:rsid w:val="00441EA3"/>
    <w:rsid w:val="004432E1"/>
    <w:rsid w:val="00461B92"/>
    <w:rsid w:val="00463D85"/>
    <w:rsid w:val="0053435A"/>
    <w:rsid w:val="005772A1"/>
    <w:rsid w:val="0058095B"/>
    <w:rsid w:val="00612AEB"/>
    <w:rsid w:val="00647DD3"/>
    <w:rsid w:val="006868F1"/>
    <w:rsid w:val="006C7B51"/>
    <w:rsid w:val="006D58BD"/>
    <w:rsid w:val="006D718D"/>
    <w:rsid w:val="00736718"/>
    <w:rsid w:val="00754B23"/>
    <w:rsid w:val="007B2903"/>
    <w:rsid w:val="007D2583"/>
    <w:rsid w:val="007E4C85"/>
    <w:rsid w:val="007F3557"/>
    <w:rsid w:val="008129CC"/>
    <w:rsid w:val="00816B8F"/>
    <w:rsid w:val="008C3ACE"/>
    <w:rsid w:val="00935715"/>
    <w:rsid w:val="0097291C"/>
    <w:rsid w:val="009D7910"/>
    <w:rsid w:val="009E5029"/>
    <w:rsid w:val="009F3FAE"/>
    <w:rsid w:val="00A26704"/>
    <w:rsid w:val="00A67A22"/>
    <w:rsid w:val="00AC5010"/>
    <w:rsid w:val="00B23BBD"/>
    <w:rsid w:val="00B5063E"/>
    <w:rsid w:val="00B65FED"/>
    <w:rsid w:val="00BD3894"/>
    <w:rsid w:val="00C54975"/>
    <w:rsid w:val="00C72AE7"/>
    <w:rsid w:val="00C818D8"/>
    <w:rsid w:val="00C91B6A"/>
    <w:rsid w:val="00CC7AC9"/>
    <w:rsid w:val="00CD11F4"/>
    <w:rsid w:val="00D06940"/>
    <w:rsid w:val="00D50DFB"/>
    <w:rsid w:val="00D51BCF"/>
    <w:rsid w:val="00DB1AAD"/>
    <w:rsid w:val="00DB7ECF"/>
    <w:rsid w:val="00DE1305"/>
    <w:rsid w:val="00E27DA6"/>
    <w:rsid w:val="00E3650A"/>
    <w:rsid w:val="00E50C5D"/>
    <w:rsid w:val="00E63D91"/>
    <w:rsid w:val="00EC4830"/>
    <w:rsid w:val="00EE2907"/>
    <w:rsid w:val="00F125CF"/>
    <w:rsid w:val="00F15DA4"/>
    <w:rsid w:val="00F2007B"/>
    <w:rsid w:val="00FB36DF"/>
    <w:rsid w:val="00FD419B"/>
    <w:rsid w:val="00FF6D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spacing w:before="74"/>
      <w:ind w:left="594" w:right="151"/>
      <w:outlineLvl w:val="0"/>
    </w:pPr>
    <w:rPr>
      <w:b/>
      <w:bCs/>
    </w:rPr>
  </w:style>
  <w:style w:type="paragraph" w:styleId="2">
    <w:name w:val="heading 2"/>
    <w:basedOn w:val="a"/>
    <w:uiPriority w:val="1"/>
    <w:qFormat/>
    <w:pPr>
      <w:ind w:left="1105" w:right="1370"/>
      <w:jc w:val="center"/>
      <w:outlineLvl w:val="1"/>
    </w:pPr>
    <w:rPr>
      <w:sz w:val="20"/>
      <w:szCs w:val="20"/>
    </w:rPr>
  </w:style>
  <w:style w:type="paragraph" w:styleId="3">
    <w:name w:val="heading 3"/>
    <w:basedOn w:val="a"/>
    <w:uiPriority w:val="1"/>
    <w:qFormat/>
    <w:pPr>
      <w:ind w:left="1757" w:hanging="447"/>
      <w:outlineLvl w:val="2"/>
    </w:pPr>
    <w:rPr>
      <w:b/>
      <w:bCs/>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19"/>
      <w:szCs w:val="19"/>
    </w:rPr>
  </w:style>
  <w:style w:type="paragraph" w:styleId="a4">
    <w:name w:val="List Paragraph"/>
    <w:basedOn w:val="a"/>
    <w:uiPriority w:val="1"/>
    <w:qFormat/>
    <w:pPr>
      <w:ind w:left="1757" w:hanging="447"/>
    </w:pPr>
  </w:style>
  <w:style w:type="paragraph" w:customStyle="1" w:styleId="TableParagraph">
    <w:name w:val="Table Paragraph"/>
    <w:basedOn w:val="a"/>
    <w:uiPriority w:val="1"/>
    <w:qFormat/>
  </w:style>
  <w:style w:type="paragraph" w:styleId="a5">
    <w:name w:val="Balloon Text"/>
    <w:basedOn w:val="a"/>
    <w:link w:val="Char"/>
    <w:uiPriority w:val="99"/>
    <w:semiHidden/>
    <w:unhideWhenUsed/>
    <w:rsid w:val="00B5063E"/>
    <w:rPr>
      <w:rFonts w:ascii="Tahoma" w:hAnsi="Tahoma" w:cs="Tahoma"/>
      <w:sz w:val="16"/>
      <w:szCs w:val="16"/>
    </w:rPr>
  </w:style>
  <w:style w:type="character" w:customStyle="1" w:styleId="Char">
    <w:name w:val="批注框文本 Char"/>
    <w:basedOn w:val="a0"/>
    <w:link w:val="a5"/>
    <w:uiPriority w:val="99"/>
    <w:semiHidden/>
    <w:rsid w:val="00B5063E"/>
    <w:rPr>
      <w:rFonts w:ascii="Tahoma" w:eastAsia="Times New Roman" w:hAnsi="Tahoma" w:cs="Tahoma"/>
      <w:sz w:val="16"/>
      <w:szCs w:val="16"/>
    </w:rPr>
  </w:style>
  <w:style w:type="character" w:styleId="a6">
    <w:name w:val="Hyperlink"/>
    <w:basedOn w:val="a0"/>
    <w:uiPriority w:val="99"/>
    <w:unhideWhenUsed/>
    <w:rsid w:val="00B5063E"/>
    <w:rPr>
      <w:color w:val="0000FF" w:themeColor="hyperlink"/>
      <w:u w:val="single"/>
    </w:rPr>
  </w:style>
  <w:style w:type="paragraph" w:styleId="a7">
    <w:name w:val="header"/>
    <w:basedOn w:val="a"/>
    <w:link w:val="Char0"/>
    <w:uiPriority w:val="99"/>
    <w:unhideWhenUsed/>
    <w:rsid w:val="00FF6D4C"/>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7"/>
    <w:uiPriority w:val="99"/>
    <w:rsid w:val="00FF6D4C"/>
    <w:rPr>
      <w:rFonts w:ascii="Times New Roman" w:eastAsia="Times New Roman" w:hAnsi="Times New Roman" w:cs="Times New Roman"/>
      <w:sz w:val="18"/>
      <w:szCs w:val="18"/>
    </w:rPr>
  </w:style>
  <w:style w:type="paragraph" w:styleId="a8">
    <w:name w:val="footer"/>
    <w:basedOn w:val="a"/>
    <w:link w:val="Char1"/>
    <w:uiPriority w:val="99"/>
    <w:unhideWhenUsed/>
    <w:rsid w:val="00FF6D4C"/>
    <w:pPr>
      <w:tabs>
        <w:tab w:val="center" w:pos="4153"/>
        <w:tab w:val="right" w:pos="8306"/>
      </w:tabs>
      <w:snapToGrid w:val="0"/>
    </w:pPr>
    <w:rPr>
      <w:sz w:val="18"/>
      <w:szCs w:val="18"/>
    </w:rPr>
  </w:style>
  <w:style w:type="character" w:customStyle="1" w:styleId="Char1">
    <w:name w:val="页脚 Char"/>
    <w:basedOn w:val="a0"/>
    <w:link w:val="a8"/>
    <w:uiPriority w:val="99"/>
    <w:rsid w:val="00FF6D4C"/>
    <w:rPr>
      <w:rFonts w:ascii="Times New Roman" w:eastAsia="Times New Roman"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spacing w:before="74"/>
      <w:ind w:left="594" w:right="151"/>
      <w:outlineLvl w:val="0"/>
    </w:pPr>
    <w:rPr>
      <w:b/>
      <w:bCs/>
    </w:rPr>
  </w:style>
  <w:style w:type="paragraph" w:styleId="2">
    <w:name w:val="heading 2"/>
    <w:basedOn w:val="a"/>
    <w:uiPriority w:val="1"/>
    <w:qFormat/>
    <w:pPr>
      <w:ind w:left="1105" w:right="1370"/>
      <w:jc w:val="center"/>
      <w:outlineLvl w:val="1"/>
    </w:pPr>
    <w:rPr>
      <w:sz w:val="20"/>
      <w:szCs w:val="20"/>
    </w:rPr>
  </w:style>
  <w:style w:type="paragraph" w:styleId="3">
    <w:name w:val="heading 3"/>
    <w:basedOn w:val="a"/>
    <w:uiPriority w:val="1"/>
    <w:qFormat/>
    <w:pPr>
      <w:ind w:left="1757" w:hanging="447"/>
      <w:outlineLvl w:val="2"/>
    </w:pPr>
    <w:rPr>
      <w:b/>
      <w:bCs/>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19"/>
      <w:szCs w:val="19"/>
    </w:rPr>
  </w:style>
  <w:style w:type="paragraph" w:styleId="a4">
    <w:name w:val="List Paragraph"/>
    <w:basedOn w:val="a"/>
    <w:uiPriority w:val="1"/>
    <w:qFormat/>
    <w:pPr>
      <w:ind w:left="1757" w:hanging="447"/>
    </w:pPr>
  </w:style>
  <w:style w:type="paragraph" w:customStyle="1" w:styleId="TableParagraph">
    <w:name w:val="Table Paragraph"/>
    <w:basedOn w:val="a"/>
    <w:uiPriority w:val="1"/>
    <w:qFormat/>
  </w:style>
  <w:style w:type="paragraph" w:styleId="a5">
    <w:name w:val="Balloon Text"/>
    <w:basedOn w:val="a"/>
    <w:link w:val="Char"/>
    <w:uiPriority w:val="99"/>
    <w:semiHidden/>
    <w:unhideWhenUsed/>
    <w:rsid w:val="00B5063E"/>
    <w:rPr>
      <w:rFonts w:ascii="Tahoma" w:hAnsi="Tahoma" w:cs="Tahoma"/>
      <w:sz w:val="16"/>
      <w:szCs w:val="16"/>
    </w:rPr>
  </w:style>
  <w:style w:type="character" w:customStyle="1" w:styleId="Char">
    <w:name w:val="批注框文本 Char"/>
    <w:basedOn w:val="a0"/>
    <w:link w:val="a5"/>
    <w:uiPriority w:val="99"/>
    <w:semiHidden/>
    <w:rsid w:val="00B5063E"/>
    <w:rPr>
      <w:rFonts w:ascii="Tahoma" w:eastAsia="Times New Roman" w:hAnsi="Tahoma" w:cs="Tahoma"/>
      <w:sz w:val="16"/>
      <w:szCs w:val="16"/>
    </w:rPr>
  </w:style>
  <w:style w:type="character" w:styleId="a6">
    <w:name w:val="Hyperlink"/>
    <w:basedOn w:val="a0"/>
    <w:uiPriority w:val="99"/>
    <w:unhideWhenUsed/>
    <w:rsid w:val="00B5063E"/>
    <w:rPr>
      <w:color w:val="0000FF" w:themeColor="hyperlink"/>
      <w:u w:val="single"/>
    </w:rPr>
  </w:style>
  <w:style w:type="paragraph" w:styleId="a7">
    <w:name w:val="header"/>
    <w:basedOn w:val="a"/>
    <w:link w:val="Char0"/>
    <w:uiPriority w:val="99"/>
    <w:unhideWhenUsed/>
    <w:rsid w:val="00FF6D4C"/>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7"/>
    <w:uiPriority w:val="99"/>
    <w:rsid w:val="00FF6D4C"/>
    <w:rPr>
      <w:rFonts w:ascii="Times New Roman" w:eastAsia="Times New Roman" w:hAnsi="Times New Roman" w:cs="Times New Roman"/>
      <w:sz w:val="18"/>
      <w:szCs w:val="18"/>
    </w:rPr>
  </w:style>
  <w:style w:type="paragraph" w:styleId="a8">
    <w:name w:val="footer"/>
    <w:basedOn w:val="a"/>
    <w:link w:val="Char1"/>
    <w:uiPriority w:val="99"/>
    <w:unhideWhenUsed/>
    <w:rsid w:val="00FF6D4C"/>
    <w:pPr>
      <w:tabs>
        <w:tab w:val="center" w:pos="4153"/>
        <w:tab w:val="right" w:pos="8306"/>
      </w:tabs>
      <w:snapToGrid w:val="0"/>
    </w:pPr>
    <w:rPr>
      <w:sz w:val="18"/>
      <w:szCs w:val="18"/>
    </w:rPr>
  </w:style>
  <w:style w:type="character" w:customStyle="1" w:styleId="Char1">
    <w:name w:val="页脚 Char"/>
    <w:basedOn w:val="a0"/>
    <w:link w:val="a8"/>
    <w:uiPriority w:val="99"/>
    <w:rsid w:val="00FF6D4C"/>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openaccessjournals.com/articles/major-risk-factors-for-atherosclerosis-and-metabolic-syndrome-the-uhs-12178.html" TargetMode="External"/><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2</Pages>
  <Words>669</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4475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shuai li</cp:lastModifiedBy>
  <cp:revision>82</cp:revision>
  <dcterms:created xsi:type="dcterms:W3CDTF">2018-02-05T12:50:00Z</dcterms:created>
  <dcterms:modified xsi:type="dcterms:W3CDTF">2019-01-17T01:22:00Z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