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ACE" w:rsidRDefault="00E3650A" w:rsidP="00B5063E">
      <w:pPr>
        <w:pStyle w:val="BodyText"/>
        <w:rPr>
          <w:sz w:val="20"/>
        </w:rPr>
      </w:pPr>
      <w:r>
        <w:rPr>
          <w:sz w:val="20"/>
        </w:rPr>
        <w:t xml:space="preserve">   </w:t>
      </w:r>
      <w:r>
        <w:rPr>
          <w:noProof/>
          <w:sz w:val="20"/>
        </w:rPr>
        <w:drawing>
          <wp:inline distT="0" distB="0" distL="0" distR="0">
            <wp:extent cx="7347006" cy="7871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roleum Engineering 2019.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47006" cy="787179"/>
                    </a:xfrm>
                    <a:prstGeom prst="rect">
                      <a:avLst/>
                    </a:prstGeom>
                  </pic:spPr>
                </pic:pic>
              </a:graphicData>
            </a:graphic>
          </wp:inline>
        </w:drawing>
      </w:r>
    </w:p>
    <w:p w:rsidR="008C3ACE" w:rsidRDefault="00B5063E">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744610"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680E37" w:rsidRDefault="00680E37">
      <w:pPr>
        <w:pStyle w:val="Heading3"/>
        <w:spacing w:line="214" w:lineRule="exact"/>
        <w:ind w:left="594" w:firstLine="0"/>
        <w:rPr>
          <w:bCs w:val="0"/>
          <w:color w:val="585858"/>
          <w:sz w:val="18"/>
          <w:szCs w:val="18"/>
        </w:rPr>
      </w:pPr>
      <w:r w:rsidRPr="00680E37">
        <w:rPr>
          <w:bCs w:val="0"/>
          <w:color w:val="585858"/>
          <w:sz w:val="18"/>
          <w:szCs w:val="18"/>
        </w:rPr>
        <w:t>AN INTEGRATED APPROACH TO DETERMINE LOW-RESISTIVITY PAY ZONES IN THIN LAMINATED CLASTIC RESERVOIRS: A CASE STUDY FROM THE GULF OF SUEZ</w:t>
      </w:r>
    </w:p>
    <w:p w:rsidR="008C3ACE" w:rsidRPr="00A26704" w:rsidRDefault="00680E37" w:rsidP="00680E37">
      <w:pPr>
        <w:pStyle w:val="Heading3"/>
        <w:spacing w:line="214" w:lineRule="exact"/>
        <w:ind w:left="594" w:firstLine="0"/>
        <w:rPr>
          <w:sz w:val="18"/>
          <w:szCs w:val="18"/>
        </w:rPr>
      </w:pPr>
      <w:r w:rsidRPr="00680E37">
        <w:rPr>
          <w:color w:val="585858"/>
          <w:sz w:val="18"/>
          <w:szCs w:val="18"/>
        </w:rPr>
        <w:t xml:space="preserve">Dahab </w:t>
      </w:r>
      <w:r>
        <w:rPr>
          <w:color w:val="585858"/>
          <w:sz w:val="18"/>
          <w:szCs w:val="18"/>
        </w:rPr>
        <w:t>A. M.</w:t>
      </w:r>
      <w:r w:rsidR="00B5063E" w:rsidRPr="00A26704">
        <w:rPr>
          <w:color w:val="585858"/>
          <w:position w:val="9"/>
          <w:sz w:val="18"/>
          <w:szCs w:val="18"/>
        </w:rPr>
        <w:t>1</w:t>
      </w:r>
      <w:r>
        <w:rPr>
          <w:color w:val="585858"/>
          <w:sz w:val="18"/>
          <w:szCs w:val="18"/>
        </w:rPr>
        <w:t xml:space="preserve">, </w:t>
      </w:r>
      <w:proofErr w:type="spellStart"/>
      <w:r w:rsidRPr="00680E37">
        <w:rPr>
          <w:color w:val="585858"/>
          <w:sz w:val="18"/>
          <w:szCs w:val="18"/>
        </w:rPr>
        <w:t>Abdulaziz</w:t>
      </w:r>
      <w:proofErr w:type="spellEnd"/>
      <w:r w:rsidRPr="00680E37">
        <w:rPr>
          <w:color w:val="585858"/>
          <w:sz w:val="18"/>
          <w:szCs w:val="18"/>
        </w:rPr>
        <w:t xml:space="preserve"> </w:t>
      </w:r>
      <w:r>
        <w:rPr>
          <w:color w:val="585858"/>
          <w:sz w:val="18"/>
          <w:szCs w:val="18"/>
        </w:rPr>
        <w:t>A. M.</w:t>
      </w:r>
      <w:hyperlink r:id="rId6" w:anchor="a1">
        <w:r w:rsidR="00B5063E" w:rsidRPr="00A26704">
          <w:rPr>
            <w:color w:val="585858"/>
            <w:position w:val="9"/>
            <w:sz w:val="18"/>
            <w:szCs w:val="18"/>
          </w:rPr>
          <w:t>1</w:t>
        </w:r>
        <w:r w:rsidR="00B5063E" w:rsidRPr="00A26704">
          <w:rPr>
            <w:color w:val="585858"/>
            <w:sz w:val="18"/>
            <w:szCs w:val="18"/>
          </w:rPr>
          <w:t>,</w:t>
        </w:r>
      </w:hyperlink>
      <w:r w:rsidR="00B5063E" w:rsidRPr="00A26704">
        <w:rPr>
          <w:color w:val="585858"/>
          <w:sz w:val="18"/>
          <w:szCs w:val="18"/>
        </w:rPr>
        <w:t xml:space="preserve">  </w:t>
      </w:r>
      <w:r w:rsidRPr="00680E37">
        <w:rPr>
          <w:color w:val="585858"/>
          <w:sz w:val="18"/>
          <w:szCs w:val="18"/>
        </w:rPr>
        <w:t xml:space="preserve">Elhadidy </w:t>
      </w:r>
      <w:r w:rsidR="00B5063E" w:rsidRPr="00A26704">
        <w:rPr>
          <w:color w:val="585858"/>
          <w:sz w:val="18"/>
          <w:szCs w:val="18"/>
        </w:rPr>
        <w:t>A</w:t>
      </w:r>
      <w:r>
        <w:rPr>
          <w:color w:val="585858"/>
          <w:sz w:val="18"/>
          <w:szCs w:val="18"/>
        </w:rPr>
        <w:t>. M.</w:t>
      </w:r>
      <w:r w:rsidR="00B5063E" w:rsidRPr="00A26704">
        <w:rPr>
          <w:color w:val="585858"/>
          <w:position w:val="9"/>
          <w:sz w:val="18"/>
          <w:szCs w:val="18"/>
        </w:rPr>
        <w:t xml:space="preserve"> 2</w:t>
      </w:r>
      <w:r w:rsidR="00B5063E" w:rsidRPr="00A26704">
        <w:rPr>
          <w:color w:val="585858"/>
          <w:sz w:val="18"/>
          <w:szCs w:val="18"/>
        </w:rPr>
        <w:t>,</w:t>
      </w:r>
    </w:p>
    <w:p w:rsidR="008C3ACE" w:rsidRPr="00A26704" w:rsidRDefault="00B5063E" w:rsidP="00680E37">
      <w:pPr>
        <w:pStyle w:val="BodyText"/>
        <w:spacing w:before="126" w:line="231" w:lineRule="exact"/>
        <w:ind w:left="594"/>
        <w:rPr>
          <w:sz w:val="16"/>
          <w:szCs w:val="16"/>
        </w:rPr>
      </w:pPr>
      <w:r w:rsidRPr="00A26704">
        <w:rPr>
          <w:color w:val="585858"/>
          <w:position w:val="9"/>
          <w:sz w:val="16"/>
          <w:szCs w:val="16"/>
        </w:rPr>
        <w:t>1</w:t>
      </w:r>
      <w:r w:rsidRPr="00A26704">
        <w:rPr>
          <w:color w:val="585858"/>
          <w:sz w:val="16"/>
          <w:szCs w:val="16"/>
        </w:rPr>
        <w:t xml:space="preserve">Department of </w:t>
      </w:r>
      <w:r w:rsidR="00680E37">
        <w:rPr>
          <w:color w:val="585858"/>
          <w:sz w:val="16"/>
          <w:szCs w:val="16"/>
        </w:rPr>
        <w:t>Petroleum Engineering</w:t>
      </w:r>
      <w:r w:rsidRPr="00A26704">
        <w:rPr>
          <w:color w:val="585858"/>
          <w:sz w:val="16"/>
          <w:szCs w:val="16"/>
        </w:rPr>
        <w:t xml:space="preserve">, </w:t>
      </w:r>
      <w:r w:rsidR="00680E37">
        <w:rPr>
          <w:color w:val="585858"/>
          <w:sz w:val="16"/>
          <w:szCs w:val="16"/>
        </w:rPr>
        <w:t>Faculty of Engineering</w:t>
      </w:r>
      <w:r w:rsidRPr="00A26704">
        <w:rPr>
          <w:color w:val="585858"/>
          <w:sz w:val="16"/>
          <w:szCs w:val="16"/>
        </w:rPr>
        <w:t>,</w:t>
      </w:r>
      <w:r w:rsidR="00680E37">
        <w:rPr>
          <w:color w:val="585858"/>
          <w:sz w:val="16"/>
          <w:szCs w:val="16"/>
        </w:rPr>
        <w:t xml:space="preserve"> Cairo University,</w:t>
      </w:r>
      <w:r w:rsidRPr="00A26704">
        <w:rPr>
          <w:color w:val="585858"/>
          <w:sz w:val="16"/>
          <w:szCs w:val="16"/>
        </w:rPr>
        <w:t xml:space="preserve"> </w:t>
      </w:r>
      <w:r w:rsidR="00680E37">
        <w:rPr>
          <w:color w:val="585858"/>
          <w:sz w:val="16"/>
          <w:szCs w:val="16"/>
        </w:rPr>
        <w:t>Giza</w:t>
      </w:r>
      <w:r w:rsidRPr="00A26704">
        <w:rPr>
          <w:color w:val="585858"/>
          <w:sz w:val="16"/>
          <w:szCs w:val="16"/>
        </w:rPr>
        <w:t xml:space="preserve">, </w:t>
      </w:r>
      <w:r w:rsidR="00680E37">
        <w:rPr>
          <w:color w:val="585858"/>
          <w:sz w:val="16"/>
          <w:szCs w:val="16"/>
        </w:rPr>
        <w:t>Egypt</w:t>
      </w:r>
    </w:p>
    <w:p w:rsidR="008C3ACE" w:rsidRPr="00A26704" w:rsidRDefault="00B5063E" w:rsidP="00680E37">
      <w:pPr>
        <w:pStyle w:val="BodyText"/>
        <w:spacing w:line="231" w:lineRule="exact"/>
        <w:ind w:left="594"/>
        <w:rPr>
          <w:sz w:val="16"/>
          <w:szCs w:val="16"/>
        </w:rPr>
      </w:pPr>
      <w:r w:rsidRPr="00A26704">
        <w:rPr>
          <w:color w:val="585858"/>
          <w:position w:val="9"/>
          <w:sz w:val="16"/>
          <w:szCs w:val="16"/>
        </w:rPr>
        <w:t>2</w:t>
      </w:r>
      <w:r w:rsidR="00680E37">
        <w:rPr>
          <w:color w:val="585858"/>
          <w:sz w:val="16"/>
          <w:szCs w:val="16"/>
        </w:rPr>
        <w:t>Gulf</w:t>
      </w:r>
      <w:r w:rsidRPr="00A26704">
        <w:rPr>
          <w:color w:val="585858"/>
          <w:sz w:val="16"/>
          <w:szCs w:val="16"/>
        </w:rPr>
        <w:t xml:space="preserve"> of </w:t>
      </w:r>
      <w:r w:rsidR="00680E37">
        <w:rPr>
          <w:color w:val="585858"/>
          <w:sz w:val="16"/>
          <w:szCs w:val="16"/>
        </w:rPr>
        <w:t>Suez</w:t>
      </w:r>
      <w:r w:rsidRPr="00A26704">
        <w:rPr>
          <w:color w:val="585858"/>
          <w:sz w:val="16"/>
          <w:szCs w:val="16"/>
        </w:rPr>
        <w:t xml:space="preserve"> </w:t>
      </w:r>
      <w:r w:rsidR="00680E37">
        <w:rPr>
          <w:color w:val="585858"/>
          <w:sz w:val="16"/>
          <w:szCs w:val="16"/>
        </w:rPr>
        <w:t>Petroleum Company,</w:t>
      </w:r>
      <w:r w:rsidRPr="00A26704">
        <w:rPr>
          <w:color w:val="585858"/>
          <w:sz w:val="16"/>
          <w:szCs w:val="16"/>
        </w:rPr>
        <w:t xml:space="preserve"> </w:t>
      </w:r>
      <w:r w:rsidR="00680E37">
        <w:rPr>
          <w:color w:val="585858"/>
          <w:sz w:val="16"/>
          <w:szCs w:val="16"/>
        </w:rPr>
        <w:t>Cairo, Egypt</w:t>
      </w:r>
    </w:p>
    <w:p w:rsidR="008C3ACE" w:rsidRDefault="00CA7CE8">
      <w:pPr>
        <w:pStyle w:val="BodyText"/>
        <w:spacing w:before="9"/>
      </w:pPr>
      <w:r>
        <w:rPr>
          <w:b/>
          <w:noProof/>
          <w:color w:val="585858"/>
          <w:w w:val="99"/>
        </w:rPr>
        <w:drawing>
          <wp:anchor distT="0" distB="0" distL="114300" distR="114300" simplePos="0" relativeHeight="251699200" behindDoc="0" locked="0" layoutInCell="1" allowOverlap="1">
            <wp:simplePos x="0" y="0"/>
            <wp:positionH relativeFrom="column">
              <wp:posOffset>3890010</wp:posOffset>
            </wp:positionH>
            <wp:positionV relativeFrom="paragraph">
              <wp:posOffset>229235</wp:posOffset>
            </wp:positionV>
            <wp:extent cx="3469640" cy="64865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69640" cy="6486525"/>
                    </a:xfrm>
                    <a:prstGeom prst="rect">
                      <a:avLst/>
                    </a:prstGeom>
                    <a:noFill/>
                  </pic:spPr>
                </pic:pic>
              </a:graphicData>
            </a:graphic>
            <wp14:sizeRelV relativeFrom="margin">
              <wp14:pctHeight>0</wp14:pctHeight>
            </wp14:sizeRelV>
          </wp:anchor>
        </w:drawing>
      </w:r>
    </w:p>
    <w:p w:rsidR="008C3ACE" w:rsidRDefault="008C3ACE">
      <w:pPr>
        <w:sectPr w:rsidR="008C3ACE">
          <w:type w:val="continuous"/>
          <w:pgSz w:w="11910" w:h="16840"/>
          <w:pgMar w:top="600" w:right="180" w:bottom="280" w:left="140" w:header="720" w:footer="720" w:gutter="0"/>
          <w:cols w:space="720"/>
        </w:sectPr>
      </w:pPr>
    </w:p>
    <w:p w:rsidR="008C3ACE" w:rsidRPr="00A26704" w:rsidRDefault="00B5063E" w:rsidP="00680E37">
      <w:pPr>
        <w:pStyle w:val="Heading3"/>
        <w:spacing w:before="114"/>
        <w:ind w:left="426" w:right="9" w:firstLine="0"/>
        <w:jc w:val="both"/>
        <w:rPr>
          <w:sz w:val="18"/>
          <w:szCs w:val="18"/>
        </w:rPr>
      </w:pPr>
      <w:r w:rsidRPr="00A26704">
        <w:rPr>
          <w:color w:val="585858"/>
          <w:sz w:val="18"/>
          <w:szCs w:val="18"/>
        </w:rPr>
        <w:t xml:space="preserve">Keywords: </w:t>
      </w:r>
      <w:r w:rsidR="00680E37" w:rsidRPr="00680E37">
        <w:rPr>
          <w:color w:val="585858"/>
          <w:sz w:val="18"/>
          <w:szCs w:val="18"/>
        </w:rPr>
        <w:t>Low Resistivity Pay</w:t>
      </w:r>
      <w:r w:rsidRPr="00A26704">
        <w:rPr>
          <w:color w:val="585858"/>
          <w:sz w:val="18"/>
          <w:szCs w:val="18"/>
        </w:rPr>
        <w:t xml:space="preserve">, </w:t>
      </w:r>
      <w:r w:rsidR="00680E37" w:rsidRPr="00680E37">
        <w:rPr>
          <w:color w:val="585858"/>
          <w:sz w:val="18"/>
          <w:szCs w:val="18"/>
        </w:rPr>
        <w:t>horizontal (Rh) and vertical (</w:t>
      </w:r>
      <w:proofErr w:type="gramStart"/>
      <w:r w:rsidR="00680E37" w:rsidRPr="00680E37">
        <w:rPr>
          <w:color w:val="585858"/>
          <w:sz w:val="18"/>
          <w:szCs w:val="18"/>
        </w:rPr>
        <w:t>Rv</w:t>
      </w:r>
      <w:proofErr w:type="gramEnd"/>
      <w:r w:rsidR="00680E37" w:rsidRPr="00680E37">
        <w:rPr>
          <w:color w:val="585858"/>
          <w:sz w:val="18"/>
          <w:szCs w:val="18"/>
        </w:rPr>
        <w:t>) resistivity</w:t>
      </w:r>
      <w:r w:rsidRPr="00A26704">
        <w:rPr>
          <w:color w:val="585858"/>
          <w:sz w:val="18"/>
          <w:szCs w:val="18"/>
        </w:rPr>
        <w:t xml:space="preserve">, </w:t>
      </w:r>
      <w:r w:rsidR="00680E37" w:rsidRPr="00680E37">
        <w:rPr>
          <w:color w:val="585858"/>
          <w:sz w:val="18"/>
          <w:szCs w:val="18"/>
        </w:rPr>
        <w:t>Resistivity anisotropy</w:t>
      </w:r>
      <w:r w:rsidRPr="00A26704">
        <w:rPr>
          <w:color w:val="585858"/>
          <w:sz w:val="18"/>
          <w:szCs w:val="18"/>
        </w:rPr>
        <w:t xml:space="preserve">, </w:t>
      </w:r>
      <w:r w:rsidR="00680E37" w:rsidRPr="00680E37">
        <w:rPr>
          <w:color w:val="585858"/>
          <w:sz w:val="18"/>
          <w:szCs w:val="18"/>
        </w:rPr>
        <w:t>thin laminated reservoirs</w:t>
      </w:r>
    </w:p>
    <w:p w:rsidR="008C3ACE" w:rsidRDefault="008C3ACE">
      <w:pPr>
        <w:pStyle w:val="BodyText"/>
        <w:rPr>
          <w:b/>
          <w:sz w:val="20"/>
        </w:rPr>
      </w:pPr>
    </w:p>
    <w:p w:rsidR="008C3ACE" w:rsidRDefault="008C3ACE">
      <w:pPr>
        <w:pStyle w:val="BodyText"/>
        <w:spacing w:before="10"/>
        <w:rPr>
          <w:b/>
        </w:rPr>
      </w:pPr>
    </w:p>
    <w:p w:rsidR="008C3ACE" w:rsidRDefault="00B5063E">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8C3ACE" w:rsidRDefault="00680E37" w:rsidP="00656128">
      <w:pPr>
        <w:pStyle w:val="BodyText"/>
        <w:spacing w:before="117"/>
        <w:ind w:left="426"/>
        <w:jc w:val="both"/>
        <w:rPr>
          <w:color w:val="585858"/>
        </w:rPr>
      </w:pPr>
      <w:r w:rsidRPr="00680E37">
        <w:rPr>
          <w:color w:val="585858"/>
        </w:rPr>
        <w:t xml:space="preserve">The problem </w:t>
      </w:r>
      <w:r w:rsidR="00656128">
        <w:rPr>
          <w:color w:val="585858"/>
        </w:rPr>
        <w:t>of</w:t>
      </w:r>
      <w:r w:rsidRPr="00680E37">
        <w:rPr>
          <w:color w:val="585858"/>
        </w:rPr>
        <w:t xml:space="preserve"> LRP zone is</w:t>
      </w:r>
      <w:r w:rsidR="00656128">
        <w:rPr>
          <w:color w:val="585858"/>
        </w:rPr>
        <w:t xml:space="preserve"> that it </w:t>
      </w:r>
      <w:proofErr w:type="gramStart"/>
      <w:r w:rsidR="00656128">
        <w:rPr>
          <w:color w:val="585858"/>
        </w:rPr>
        <w:t>is</w:t>
      </w:r>
      <w:r w:rsidRPr="00680E37">
        <w:rPr>
          <w:color w:val="585858"/>
        </w:rPr>
        <w:t xml:space="preserve"> not recognized</w:t>
      </w:r>
      <w:proofErr w:type="gramEnd"/>
      <w:r w:rsidRPr="00680E37">
        <w:rPr>
          <w:color w:val="585858"/>
        </w:rPr>
        <w:t xml:space="preserve"> by conventional resistivity log. This </w:t>
      </w:r>
      <w:r w:rsidR="00656128">
        <w:rPr>
          <w:color w:val="585858"/>
        </w:rPr>
        <w:t>problem</w:t>
      </w:r>
      <w:r w:rsidRPr="00680E37">
        <w:rPr>
          <w:color w:val="585858"/>
        </w:rPr>
        <w:t xml:space="preserve"> </w:t>
      </w:r>
      <w:r w:rsidR="00656128">
        <w:rPr>
          <w:color w:val="585858"/>
        </w:rPr>
        <w:t>causes a decrease in</w:t>
      </w:r>
      <w:r w:rsidRPr="00680E37">
        <w:rPr>
          <w:color w:val="585858"/>
        </w:rPr>
        <w:t xml:space="preserve"> resistivity log response, </w:t>
      </w:r>
      <w:r w:rsidR="00656128">
        <w:rPr>
          <w:color w:val="585858"/>
        </w:rPr>
        <w:t>so</w:t>
      </w:r>
      <w:r w:rsidRPr="00680E37">
        <w:rPr>
          <w:color w:val="585858"/>
        </w:rPr>
        <w:t xml:space="preserve"> the estimated water saturation will be higher than the observed water cut. Resistivity anisotropy </w:t>
      </w:r>
      <w:proofErr w:type="gramStart"/>
      <w:r w:rsidRPr="00680E37">
        <w:rPr>
          <w:color w:val="585858"/>
        </w:rPr>
        <w:t>is observed</w:t>
      </w:r>
      <w:proofErr w:type="gramEnd"/>
      <w:r w:rsidRPr="00680E37">
        <w:rPr>
          <w:color w:val="585858"/>
        </w:rPr>
        <w:t xml:space="preserve"> in the interbedded parallel layers of laminations of sand-shale sequences. When these laminations thickness are less than the vertical resolution of conventional resistivity measuring device itself, the measured resistivity values is no longer representative to these laminations, however it becomes an average of the </w:t>
      </w:r>
      <w:proofErr w:type="spellStart"/>
      <w:r w:rsidRPr="00680E37">
        <w:rPr>
          <w:color w:val="585858"/>
        </w:rPr>
        <w:t>resistivities</w:t>
      </w:r>
      <w:proofErr w:type="spellEnd"/>
      <w:r w:rsidRPr="00680E37">
        <w:rPr>
          <w:color w:val="585858"/>
        </w:rPr>
        <w:t xml:space="preserve"> of these thin laminations, dominated by the lamin</w:t>
      </w:r>
      <w:r w:rsidR="00656128">
        <w:rPr>
          <w:color w:val="585858"/>
        </w:rPr>
        <w:t xml:space="preserve">ations with lower </w:t>
      </w:r>
      <w:proofErr w:type="spellStart"/>
      <w:r w:rsidR="00656128">
        <w:rPr>
          <w:color w:val="585858"/>
        </w:rPr>
        <w:t>resistivities</w:t>
      </w:r>
      <w:proofErr w:type="spellEnd"/>
      <w:r w:rsidRPr="00680E37">
        <w:rPr>
          <w:color w:val="585858"/>
        </w:rPr>
        <w:t>.</w:t>
      </w:r>
      <w:r w:rsidR="00656128">
        <w:rPr>
          <w:color w:val="585858"/>
        </w:rPr>
        <w:t xml:space="preserve"> </w:t>
      </w:r>
      <w:r w:rsidR="00656128" w:rsidRPr="00656128">
        <w:rPr>
          <w:color w:val="585858"/>
        </w:rPr>
        <w:t xml:space="preserve">In Morgan Belayiem reservoir located in the Gulf of Suez in Egypt, a detailed interpretation analysis </w:t>
      </w:r>
      <w:proofErr w:type="gramStart"/>
      <w:r w:rsidR="00656128" w:rsidRPr="00656128">
        <w:rPr>
          <w:color w:val="585858"/>
        </w:rPr>
        <w:t>have been done</w:t>
      </w:r>
      <w:proofErr w:type="gramEnd"/>
      <w:r w:rsidR="00656128" w:rsidRPr="00656128">
        <w:rPr>
          <w:color w:val="585858"/>
        </w:rPr>
        <w:t xml:space="preserve"> to re-interpret thin sand shale laminations </w:t>
      </w:r>
      <w:r w:rsidR="00656128">
        <w:rPr>
          <w:color w:val="585858"/>
        </w:rPr>
        <w:t>showing LRP phenomenon</w:t>
      </w:r>
      <w:r w:rsidR="00656128" w:rsidRPr="00656128">
        <w:rPr>
          <w:color w:val="585858"/>
        </w:rPr>
        <w:t>. Pay was identified u</w:t>
      </w:r>
      <w:r w:rsidR="00656128">
        <w:rPr>
          <w:color w:val="585858"/>
        </w:rPr>
        <w:t>sing (</w:t>
      </w:r>
      <w:proofErr w:type="gramStart"/>
      <w:r w:rsidR="00656128">
        <w:rPr>
          <w:color w:val="585858"/>
        </w:rPr>
        <w:t>Rv</w:t>
      </w:r>
      <w:proofErr w:type="gramEnd"/>
      <w:r w:rsidR="00656128">
        <w:rPr>
          <w:color w:val="585858"/>
        </w:rPr>
        <w:t>) and (Rh) calculations utilizing</w:t>
      </w:r>
      <w:r w:rsidR="00656128" w:rsidRPr="00656128">
        <w:rPr>
          <w:color w:val="585858"/>
        </w:rPr>
        <w:t xml:space="preserve"> pervious conventional resistivity and lithology logs.</w:t>
      </w:r>
    </w:p>
    <w:p w:rsidR="00680E37" w:rsidRDefault="00680E37" w:rsidP="006E14D0">
      <w:pPr>
        <w:pStyle w:val="BodyText"/>
        <w:spacing w:before="117"/>
        <w:ind w:left="426"/>
        <w:jc w:val="both"/>
        <w:rPr>
          <w:color w:val="585858"/>
        </w:rPr>
      </w:pPr>
      <w:r w:rsidRPr="00680E37">
        <w:rPr>
          <w:color w:val="585858"/>
        </w:rPr>
        <w:t xml:space="preserve">In the present study, an innovative technique </w:t>
      </w:r>
      <w:proofErr w:type="gramStart"/>
      <w:r w:rsidRPr="00680E37">
        <w:rPr>
          <w:color w:val="585858"/>
        </w:rPr>
        <w:t>is developed</w:t>
      </w:r>
      <w:proofErr w:type="gramEnd"/>
      <w:r w:rsidRPr="00680E37">
        <w:rPr>
          <w:color w:val="585858"/>
        </w:rPr>
        <w:t xml:space="preserve"> to calculate the resistivity of sand intervals within thin laminated reservoirs. This is achieved considering two main concepts; separating apparent resistivity in Rh and Rv using Moran and </w:t>
      </w:r>
      <w:proofErr w:type="spellStart"/>
      <w:r w:rsidRPr="00680E37">
        <w:rPr>
          <w:color w:val="585858"/>
        </w:rPr>
        <w:t>Gianzero</w:t>
      </w:r>
      <w:proofErr w:type="spellEnd"/>
      <w:r w:rsidRPr="00680E37">
        <w:rPr>
          <w:color w:val="585858"/>
        </w:rPr>
        <w:t xml:space="preserve"> (1979) formula and calculating sand resistivity using sand - shale resistivity connections (parallel and series connections). Archie Equation </w:t>
      </w:r>
      <w:proofErr w:type="gramStart"/>
      <w:r w:rsidRPr="00680E37">
        <w:rPr>
          <w:color w:val="585858"/>
        </w:rPr>
        <w:t>is applied to calculate water saturation using the obtained sand resistivity values and subsequently plotted versus the conventionally calculated values</w:t>
      </w:r>
      <w:proofErr w:type="gramEnd"/>
      <w:r w:rsidRPr="00680E37">
        <w:rPr>
          <w:color w:val="585858"/>
        </w:rPr>
        <w:t>.</w:t>
      </w:r>
    </w:p>
    <w:p w:rsidR="00680E37" w:rsidRDefault="00680E37" w:rsidP="00CA7CE8">
      <w:pPr>
        <w:pStyle w:val="BodyText"/>
        <w:spacing w:before="117"/>
        <w:ind w:left="426"/>
        <w:jc w:val="both"/>
        <w:rPr>
          <w:color w:val="585858"/>
        </w:rPr>
      </w:pPr>
      <w:proofErr w:type="gramStart"/>
      <w:r w:rsidRPr="00680E37">
        <w:rPr>
          <w:color w:val="585858"/>
        </w:rPr>
        <w:t>As a result</w:t>
      </w:r>
      <w:proofErr w:type="gramEnd"/>
      <w:r w:rsidRPr="00680E37">
        <w:rPr>
          <w:color w:val="585858"/>
        </w:rPr>
        <w:t xml:space="preserve"> of this study, Belayiem reservoir was proven to have a LRP zones, new water saturation estimation was calculated, which matched with the production well head </w:t>
      </w:r>
      <w:r w:rsidR="00CA7CE8" w:rsidRPr="00680E37">
        <w:rPr>
          <w:color w:val="585858"/>
        </w:rPr>
        <w:t>sampl</w:t>
      </w:r>
      <w:r w:rsidR="00CA7CE8">
        <w:rPr>
          <w:color w:val="585858"/>
        </w:rPr>
        <w:t>es.</w:t>
      </w:r>
    </w:p>
    <w:p w:rsidR="008C3ACE" w:rsidRDefault="00B5063E">
      <w:pPr>
        <w:pStyle w:val="Heading3"/>
        <w:numPr>
          <w:ilvl w:val="0"/>
          <w:numId w:val="1"/>
        </w:numPr>
        <w:tabs>
          <w:tab w:val="left" w:pos="1914"/>
          <w:tab w:val="left" w:pos="1915"/>
        </w:tabs>
        <w:ind w:left="1914" w:hanging="494"/>
        <w:jc w:val="left"/>
      </w:pPr>
      <w:r>
        <w:rPr>
          <w:color w:val="585858"/>
        </w:rPr>
        <w:t>Image:</w:t>
      </w:r>
    </w:p>
    <w:p w:rsidR="00CA7CE8" w:rsidRDefault="005B256F" w:rsidP="006564CB">
      <w:pPr>
        <w:pStyle w:val="BodyText"/>
        <w:spacing w:before="117"/>
        <w:ind w:left="426"/>
        <w:jc w:val="both"/>
        <w:rPr>
          <w:color w:val="585858"/>
        </w:rPr>
      </w:pPr>
      <w:r>
        <w:rPr>
          <w:noProof/>
          <w:color w:val="585858"/>
        </w:rPr>
        <mc:AlternateContent>
          <mc:Choice Requires="wps">
            <w:drawing>
              <wp:anchor distT="0" distB="0" distL="114300" distR="114300" simplePos="0" relativeHeight="251710464" behindDoc="0" locked="0" layoutInCell="1" allowOverlap="1">
                <wp:simplePos x="0" y="0"/>
                <wp:positionH relativeFrom="column">
                  <wp:posOffset>5064125</wp:posOffset>
                </wp:positionH>
                <wp:positionV relativeFrom="paragraph">
                  <wp:posOffset>660400</wp:posOffset>
                </wp:positionV>
                <wp:extent cx="552450" cy="581025"/>
                <wp:effectExtent l="0" t="0" r="0" b="0"/>
                <wp:wrapNone/>
                <wp:docPr id="12" name="Rectangle 12"/>
                <wp:cNvGraphicFramePr/>
                <a:graphic xmlns:a="http://schemas.openxmlformats.org/drawingml/2006/main">
                  <a:graphicData uri="http://schemas.microsoft.com/office/word/2010/wordprocessingShape">
                    <wps:wsp>
                      <wps:cNvSpPr/>
                      <wps:spPr>
                        <a:xfrm>
                          <a:off x="0" y="0"/>
                          <a:ext cx="552450" cy="5810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B256F" w:rsidRPr="005B256F" w:rsidRDefault="005B256F" w:rsidP="005B256F">
                            <w:pPr>
                              <w:jc w:val="center"/>
                              <w:rPr>
                                <w:color w:val="000000" w:themeColor="text1"/>
                              </w:rPr>
                            </w:pPr>
                            <w:r w:rsidRPr="005B256F">
                              <w:rPr>
                                <w:color w:val="000000" w:themeColor="text1"/>
                              </w:rPr>
                              <w:t>LRP Zone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2" o:spid="_x0000_s1026" style="position:absolute;left:0;text-align:left;margin-left:398.75pt;margin-top:52pt;width:43.5pt;height:45.75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" filled="f" stroked="f" strokeweight="2pt">
                <v:textbox>
                  <w:txbxContent>
                    <w:p w:rsidR="005B256F" w:rsidRPr="005B256F" w:rsidRDefault="005B256F" w:rsidP="005B256F">
                      <w:pPr>
                        <w:jc w:val="center"/>
                        <w:rPr>
                          <w:color w:val="000000" w:themeColor="text1"/>
                        </w:rPr>
                      </w:pPr>
                      <w:r w:rsidRPr="005B256F">
                        <w:rPr>
                          <w:color w:val="000000" w:themeColor="text1"/>
                        </w:rPr>
                        <w:t>LRP Zone</w:t>
                      </w:r>
                    </w:p>
                  </w:txbxContent>
                </v:textbox>
              </v:rect>
            </w:pict>
          </mc:Fallback>
        </mc:AlternateContent>
      </w:r>
      <w:r>
        <w:rPr>
          <w:noProof/>
          <w:color w:val="585858"/>
        </w:rPr>
        <mc:AlternateContent>
          <mc:Choice Requires="wps">
            <w:drawing>
              <wp:anchor distT="0" distB="0" distL="114300" distR="114300" simplePos="0" relativeHeight="251708416" behindDoc="0" locked="0" layoutInCell="1" allowOverlap="1">
                <wp:simplePos x="0" y="0"/>
                <wp:positionH relativeFrom="column">
                  <wp:posOffset>5397499</wp:posOffset>
                </wp:positionH>
                <wp:positionV relativeFrom="paragraph">
                  <wp:posOffset>231774</wp:posOffset>
                </wp:positionV>
                <wp:extent cx="838200" cy="1438275"/>
                <wp:effectExtent l="0" t="0" r="19050" b="28575"/>
                <wp:wrapNone/>
                <wp:docPr id="11" name="Right Brace 11"/>
                <wp:cNvGraphicFramePr/>
                <a:graphic xmlns:a="http://schemas.openxmlformats.org/drawingml/2006/main">
                  <a:graphicData uri="http://schemas.microsoft.com/office/word/2010/wordprocessingShape">
                    <wps:wsp>
                      <wps:cNvSpPr/>
                      <wps:spPr>
                        <a:xfrm rot="10800000">
                          <a:off x="0" y="0"/>
                          <a:ext cx="838200" cy="1438275"/>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906A7F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1" o:spid="_x0000_s1026" type="#_x0000_t88" style="position:absolute;margin-left:425pt;margin-top:18.25pt;width:66pt;height:113.25pt;rotation:180;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" adj="1049" strokecolor="black [3213]"/>
            </w:pict>
          </mc:Fallback>
        </mc:AlternateContent>
      </w:r>
      <w:r w:rsidR="007315F6">
        <w:rPr>
          <w:noProof/>
        </w:rPr>
        <w:drawing>
          <wp:inline distT="0" distB="0" distL="0" distR="0" wp14:anchorId="6E99F799" wp14:editId="2560CDA8">
            <wp:extent cx="3305175" cy="22098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305175" cy="2209800"/>
                    </a:xfrm>
                    <a:prstGeom prst="rect">
                      <a:avLst/>
                    </a:prstGeom>
                  </pic:spPr>
                </pic:pic>
              </a:graphicData>
            </a:graphic>
          </wp:inline>
        </w:drawing>
      </w:r>
    </w:p>
    <w:p w:rsidR="00CA7CE8" w:rsidRDefault="007315F6" w:rsidP="006564CB">
      <w:pPr>
        <w:pStyle w:val="BodyText"/>
        <w:spacing w:before="117"/>
        <w:ind w:left="426"/>
        <w:jc w:val="both"/>
        <w:rPr>
          <w:color w:val="585858"/>
        </w:rPr>
      </w:pPr>
      <w:r w:rsidRPr="007315F6">
        <w:rPr>
          <w:color w:val="585858"/>
        </w:rPr>
        <w:t>Production profile of well</w:t>
      </w:r>
      <w:r>
        <w:rPr>
          <w:color w:val="585858"/>
        </w:rPr>
        <w:t xml:space="preserve"> M119</w:t>
      </w:r>
    </w:p>
    <w:p w:rsidR="00CA7CE8" w:rsidRDefault="00CA7CE8" w:rsidP="006564CB">
      <w:pPr>
        <w:pStyle w:val="BodyText"/>
        <w:spacing w:before="117"/>
        <w:ind w:left="426"/>
        <w:jc w:val="both"/>
        <w:rPr>
          <w:color w:val="585858"/>
        </w:rPr>
      </w:pPr>
    </w:p>
    <w:p w:rsidR="00CA7CE8" w:rsidRDefault="00CA7CE8" w:rsidP="006564CB">
      <w:pPr>
        <w:pStyle w:val="BodyText"/>
        <w:spacing w:before="117"/>
        <w:ind w:left="426"/>
        <w:jc w:val="both"/>
        <w:rPr>
          <w:color w:val="585858"/>
        </w:rPr>
      </w:pPr>
    </w:p>
    <w:p w:rsidR="00CA7CE8" w:rsidRDefault="00CA7CE8" w:rsidP="006564CB">
      <w:pPr>
        <w:pStyle w:val="BodyText"/>
        <w:spacing w:before="117"/>
        <w:ind w:left="426"/>
        <w:jc w:val="both"/>
        <w:rPr>
          <w:color w:val="585858"/>
        </w:rPr>
      </w:pPr>
    </w:p>
    <w:p w:rsidR="007315F6" w:rsidRDefault="007315F6" w:rsidP="007315F6">
      <w:pPr>
        <w:pStyle w:val="BodyText"/>
        <w:spacing w:before="117"/>
        <w:ind w:left="426"/>
        <w:jc w:val="both"/>
        <w:rPr>
          <w:color w:val="585858"/>
        </w:rPr>
      </w:pPr>
      <w:r w:rsidRPr="006564CB">
        <w:rPr>
          <w:color w:val="585858"/>
        </w:rPr>
        <w:t xml:space="preserve">Computer processed </w:t>
      </w:r>
      <w:r>
        <w:rPr>
          <w:color w:val="585858"/>
        </w:rPr>
        <w:t>Interpretation of the Well M</w:t>
      </w:r>
      <w:r w:rsidRPr="006564CB">
        <w:rPr>
          <w:color w:val="585858"/>
        </w:rPr>
        <w:t>119 showing the difference between conventional and new calculated water saturation in Track 8. And corresponding peroration intervals in track 11</w:t>
      </w:r>
    </w:p>
    <w:p w:rsidR="00CA7CE8" w:rsidRDefault="00CA7CE8" w:rsidP="006564CB">
      <w:pPr>
        <w:pStyle w:val="BodyText"/>
        <w:spacing w:before="117"/>
        <w:ind w:left="426"/>
        <w:jc w:val="both"/>
        <w:rPr>
          <w:color w:val="585858"/>
        </w:rPr>
      </w:pPr>
    </w:p>
    <w:p w:rsidR="00CA7CE8" w:rsidRDefault="00CA7CE8" w:rsidP="006564CB">
      <w:pPr>
        <w:pStyle w:val="BodyText"/>
        <w:spacing w:before="117"/>
        <w:ind w:left="426"/>
        <w:jc w:val="both"/>
        <w:rPr>
          <w:color w:val="585858"/>
        </w:rPr>
      </w:pPr>
    </w:p>
    <w:p w:rsidR="00CA7CE8" w:rsidRDefault="00CA7CE8" w:rsidP="006564CB">
      <w:pPr>
        <w:pStyle w:val="BodyText"/>
        <w:spacing w:before="117"/>
        <w:ind w:left="426"/>
        <w:jc w:val="both"/>
        <w:rPr>
          <w:color w:val="585858"/>
        </w:rPr>
      </w:pPr>
    </w:p>
    <w:p w:rsidR="00CA7CE8" w:rsidRDefault="00CA7CE8" w:rsidP="006564CB">
      <w:pPr>
        <w:pStyle w:val="BodyText"/>
        <w:spacing w:before="117"/>
        <w:ind w:left="426"/>
        <w:jc w:val="both"/>
        <w:rPr>
          <w:color w:val="585858"/>
        </w:rPr>
      </w:pPr>
    </w:p>
    <w:p w:rsidR="008C3ACE" w:rsidRDefault="00B5063E" w:rsidP="007315F6">
      <w:pPr>
        <w:pStyle w:val="Heading3"/>
        <w:numPr>
          <w:ilvl w:val="0"/>
          <w:numId w:val="1"/>
        </w:numPr>
        <w:tabs>
          <w:tab w:val="left" w:pos="1914"/>
          <w:tab w:val="left" w:pos="1915"/>
        </w:tabs>
        <w:ind w:left="1914" w:hanging="494"/>
        <w:jc w:val="left"/>
        <w:rPr>
          <w:b w:val="0"/>
        </w:rPr>
      </w:pPr>
      <w:r>
        <w:rPr>
          <w:color w:val="585858"/>
          <w:w w:val="99"/>
        </w:rPr>
        <w:br w:type="column"/>
      </w:r>
      <w:r>
        <w:rPr>
          <w:color w:val="585858"/>
        </w:rPr>
        <w:lastRenderedPageBreak/>
        <w:t>Reference:</w:t>
      </w:r>
    </w:p>
    <w:p w:rsidR="008C3ACE" w:rsidRDefault="008C3ACE">
      <w:pPr>
        <w:pStyle w:val="BodyText"/>
        <w:spacing w:before="9"/>
        <w:rPr>
          <w:b/>
          <w:sz w:val="18"/>
        </w:rPr>
      </w:pPr>
    </w:p>
    <w:p w:rsidR="008C3ACE" w:rsidRDefault="007315F6" w:rsidP="005B256F">
      <w:pPr>
        <w:pStyle w:val="BodyText"/>
        <w:numPr>
          <w:ilvl w:val="0"/>
          <w:numId w:val="3"/>
        </w:numPr>
        <w:tabs>
          <w:tab w:val="left" w:pos="1037"/>
        </w:tabs>
        <w:ind w:right="696"/>
        <w:rPr>
          <w:color w:val="585858"/>
        </w:rPr>
      </w:pPr>
      <w:r w:rsidRPr="007315F6">
        <w:rPr>
          <w:color w:val="585858"/>
        </w:rPr>
        <w:t>Worthington, P. F., 1997, “Recognition and Development of Low-Resistivity Pay”, SPE Asia Pacific Oil and Gas Conference and Exhibition, Kuala Lumpur, Malaysia</w:t>
      </w:r>
    </w:p>
    <w:p w:rsidR="005B256F" w:rsidRDefault="005B256F" w:rsidP="005B256F">
      <w:pPr>
        <w:pStyle w:val="BodyText"/>
        <w:tabs>
          <w:tab w:val="left" w:pos="1037"/>
        </w:tabs>
        <w:ind w:left="1037" w:right="696"/>
      </w:pPr>
    </w:p>
    <w:p w:rsidR="007315F6" w:rsidRDefault="007315F6" w:rsidP="007315F6">
      <w:pPr>
        <w:pStyle w:val="BodyText"/>
        <w:tabs>
          <w:tab w:val="left" w:pos="1037"/>
        </w:tabs>
        <w:ind w:left="1037" w:right="696" w:hanging="360"/>
        <w:rPr>
          <w:color w:val="585858"/>
        </w:rPr>
      </w:pPr>
      <w:r w:rsidRPr="007315F6">
        <w:rPr>
          <w:color w:val="585858"/>
        </w:rPr>
        <w:t>2.</w:t>
      </w:r>
      <w:r w:rsidRPr="007315F6">
        <w:rPr>
          <w:color w:val="585858"/>
        </w:rPr>
        <w:tab/>
        <w:t>Boyd, A., et al., 1995, “The Lowdown on Low-Resistivity Pay”, Oilfield Review, 7(3), 4-18.</w:t>
      </w:r>
    </w:p>
    <w:p w:rsidR="005B256F" w:rsidRDefault="005B256F" w:rsidP="005B256F">
      <w:pPr>
        <w:pStyle w:val="BodyText"/>
        <w:tabs>
          <w:tab w:val="left" w:pos="1037"/>
        </w:tabs>
        <w:ind w:right="696"/>
        <w:rPr>
          <w:color w:val="585858"/>
        </w:rPr>
      </w:pPr>
    </w:p>
    <w:p w:rsidR="007315F6" w:rsidRDefault="007315F6" w:rsidP="007315F6">
      <w:pPr>
        <w:pStyle w:val="BodyText"/>
        <w:tabs>
          <w:tab w:val="left" w:pos="1037"/>
        </w:tabs>
        <w:ind w:left="1037" w:right="696" w:hanging="360"/>
        <w:rPr>
          <w:color w:val="585858"/>
        </w:rPr>
      </w:pPr>
      <w:r>
        <w:rPr>
          <w:color w:val="585858"/>
        </w:rPr>
        <w:t>3.</w:t>
      </w:r>
      <w:r>
        <w:rPr>
          <w:color w:val="585858"/>
        </w:rPr>
        <w:tab/>
      </w:r>
      <w:proofErr w:type="spellStart"/>
      <w:r w:rsidRPr="007315F6">
        <w:rPr>
          <w:color w:val="585858"/>
        </w:rPr>
        <w:t>Rosthal</w:t>
      </w:r>
      <w:proofErr w:type="spellEnd"/>
      <w:r w:rsidRPr="007315F6">
        <w:rPr>
          <w:color w:val="585858"/>
        </w:rPr>
        <w:t>, R., et al., 2003, "Field Test Results of an Experimental Fully-</w:t>
      </w:r>
      <w:proofErr w:type="spellStart"/>
      <w:r w:rsidRPr="007315F6">
        <w:rPr>
          <w:color w:val="585858"/>
        </w:rPr>
        <w:t>Triaxial</w:t>
      </w:r>
      <w:proofErr w:type="spellEnd"/>
      <w:r w:rsidRPr="007315F6">
        <w:rPr>
          <w:color w:val="585858"/>
        </w:rPr>
        <w:t xml:space="preserve"> Induction Tool", SPWLA 44th Annual Logging Symposium, Galveston, </w:t>
      </w:r>
      <w:proofErr w:type="spellStart"/>
      <w:proofErr w:type="gramStart"/>
      <w:r w:rsidRPr="007315F6">
        <w:rPr>
          <w:color w:val="585858"/>
        </w:rPr>
        <w:t>Tx</w:t>
      </w:r>
      <w:proofErr w:type="spellEnd"/>
      <w:proofErr w:type="gramEnd"/>
      <w:r w:rsidRPr="007315F6">
        <w:rPr>
          <w:color w:val="585858"/>
        </w:rPr>
        <w:t>.</w:t>
      </w:r>
    </w:p>
    <w:p w:rsidR="005B256F" w:rsidRDefault="005B256F" w:rsidP="005B256F">
      <w:pPr>
        <w:pStyle w:val="BodyText"/>
        <w:tabs>
          <w:tab w:val="left" w:pos="1037"/>
        </w:tabs>
        <w:ind w:right="696"/>
        <w:rPr>
          <w:color w:val="585858"/>
        </w:rPr>
      </w:pPr>
    </w:p>
    <w:p w:rsidR="007315F6" w:rsidRDefault="007315F6" w:rsidP="007315F6">
      <w:pPr>
        <w:pStyle w:val="BodyText"/>
        <w:tabs>
          <w:tab w:val="left" w:pos="1037"/>
        </w:tabs>
        <w:ind w:left="1037" w:right="696" w:hanging="360"/>
        <w:rPr>
          <w:color w:val="585858"/>
        </w:rPr>
      </w:pPr>
      <w:r w:rsidRPr="007315F6">
        <w:rPr>
          <w:color w:val="585858"/>
        </w:rPr>
        <w:t>4.</w:t>
      </w:r>
      <w:r w:rsidRPr="007315F6">
        <w:rPr>
          <w:color w:val="585858"/>
        </w:rPr>
        <w:tab/>
        <w:t xml:space="preserve">Moran, J. H., and </w:t>
      </w:r>
      <w:proofErr w:type="spellStart"/>
      <w:r w:rsidRPr="007315F6">
        <w:rPr>
          <w:color w:val="585858"/>
        </w:rPr>
        <w:t>Gianzero</w:t>
      </w:r>
      <w:proofErr w:type="spellEnd"/>
      <w:r w:rsidRPr="007315F6">
        <w:rPr>
          <w:color w:val="585858"/>
        </w:rPr>
        <w:t xml:space="preserve"> S. C., 1979, “Effects of formation anisotropy on resistivity-logging measurements” Geophysics, 44(7) 1266-1286.</w:t>
      </w:r>
    </w:p>
    <w:p w:rsidR="005B256F" w:rsidRDefault="005B256F" w:rsidP="005B256F">
      <w:pPr>
        <w:pStyle w:val="BodyText"/>
        <w:tabs>
          <w:tab w:val="left" w:pos="1037"/>
        </w:tabs>
        <w:ind w:right="696"/>
        <w:rPr>
          <w:color w:val="585858"/>
        </w:rPr>
      </w:pPr>
    </w:p>
    <w:p w:rsidR="007315F6" w:rsidRDefault="007315F6" w:rsidP="007315F6">
      <w:pPr>
        <w:pStyle w:val="BodyText"/>
        <w:tabs>
          <w:tab w:val="left" w:pos="1037"/>
        </w:tabs>
        <w:ind w:left="1037" w:right="696" w:hanging="360"/>
        <w:rPr>
          <w:color w:val="585858"/>
        </w:rPr>
      </w:pPr>
      <w:r w:rsidRPr="007315F6">
        <w:rPr>
          <w:color w:val="585858"/>
        </w:rPr>
        <w:t>5.</w:t>
      </w:r>
      <w:r w:rsidRPr="007315F6">
        <w:rPr>
          <w:color w:val="585858"/>
        </w:rPr>
        <w:tab/>
      </w:r>
      <w:proofErr w:type="spellStart"/>
      <w:r w:rsidRPr="007315F6">
        <w:rPr>
          <w:color w:val="585858"/>
        </w:rPr>
        <w:t>Aldred</w:t>
      </w:r>
      <w:proofErr w:type="spellEnd"/>
      <w:r w:rsidRPr="007315F6">
        <w:rPr>
          <w:color w:val="585858"/>
        </w:rPr>
        <w:t xml:space="preserve">, R., et al., 2017, “Improved Interpretation of Laminated Formations in Mature Fields Using Calculated Rh and </w:t>
      </w:r>
      <w:proofErr w:type="gramStart"/>
      <w:r w:rsidRPr="007315F6">
        <w:rPr>
          <w:color w:val="585858"/>
        </w:rPr>
        <w:t>Rv</w:t>
      </w:r>
      <w:proofErr w:type="gramEnd"/>
      <w:r w:rsidRPr="007315F6">
        <w:rPr>
          <w:color w:val="585858"/>
        </w:rPr>
        <w:t xml:space="preserve"> Logs From Conventional Resistivity Measurements in Multiple Wells”, 23rd Formation Evaluation Symposium of Japan, Chiba, Japan.</w:t>
      </w:r>
    </w:p>
    <w:p w:rsidR="00C97C95" w:rsidRDefault="00C97C95" w:rsidP="007315F6">
      <w:pPr>
        <w:pStyle w:val="BodyText"/>
        <w:tabs>
          <w:tab w:val="left" w:pos="1037"/>
        </w:tabs>
        <w:ind w:left="1037" w:right="696" w:hanging="360"/>
        <w:rPr>
          <w:color w:val="585858"/>
        </w:rPr>
      </w:pPr>
    </w:p>
    <w:p w:rsidR="005B256F" w:rsidRDefault="005B256F" w:rsidP="007315F6">
      <w:pPr>
        <w:pStyle w:val="BodyText"/>
        <w:tabs>
          <w:tab w:val="left" w:pos="1037"/>
        </w:tabs>
        <w:ind w:left="1037" w:right="696" w:hanging="360"/>
        <w:rPr>
          <w:color w:val="585858"/>
        </w:rPr>
      </w:pPr>
      <w:r w:rsidRPr="005B256F">
        <w:rPr>
          <w:color w:val="585858"/>
        </w:rPr>
        <w:t>6.</w:t>
      </w:r>
      <w:r w:rsidRPr="005B256F">
        <w:rPr>
          <w:color w:val="585858"/>
        </w:rPr>
        <w:tab/>
        <w:t xml:space="preserve">Martin G. L., et al., 2005, “Dielectric Effects on Resistivity Anisotropy in Laminates or When is Rv </w:t>
      </w:r>
      <w:r w:rsidRPr="005B256F">
        <w:rPr>
          <w:color w:val="585858"/>
        </w:rPr>
        <w:t>&lt; Rh?</w:t>
      </w:r>
      <w:proofErr w:type="gramStart"/>
      <w:r w:rsidRPr="005B256F">
        <w:rPr>
          <w:color w:val="585858"/>
        </w:rPr>
        <w:t>”,</w:t>
      </w:r>
      <w:proofErr w:type="gramEnd"/>
      <w:r w:rsidRPr="005B256F">
        <w:rPr>
          <w:color w:val="585858"/>
        </w:rPr>
        <w:t xml:space="preserve"> SPWLA 46th Annual Logging Symposium, New Orleans, Louisiana.</w:t>
      </w:r>
    </w:p>
    <w:p w:rsidR="005B256F" w:rsidRDefault="005B256F" w:rsidP="007315F6">
      <w:pPr>
        <w:pStyle w:val="BodyText"/>
        <w:tabs>
          <w:tab w:val="left" w:pos="1037"/>
        </w:tabs>
        <w:ind w:left="1037" w:right="696" w:hanging="360"/>
        <w:rPr>
          <w:color w:val="585858"/>
        </w:rPr>
      </w:pPr>
    </w:p>
    <w:p w:rsidR="008C3ACE" w:rsidRDefault="00B5063E">
      <w:pPr>
        <w:pStyle w:val="Heading3"/>
        <w:numPr>
          <w:ilvl w:val="0"/>
          <w:numId w:val="1"/>
        </w:numPr>
        <w:tabs>
          <w:tab w:val="left" w:pos="1758"/>
        </w:tabs>
        <w:ind w:left="1757"/>
        <w:jc w:val="left"/>
      </w:pPr>
      <w:r>
        <w:rPr>
          <w:color w:val="585858"/>
        </w:rPr>
        <w:t>Biography:</w:t>
      </w:r>
    </w:p>
    <w:p w:rsidR="005B256F" w:rsidRDefault="005B256F">
      <w:pPr>
        <w:pStyle w:val="BodyText"/>
        <w:spacing w:before="119"/>
        <w:ind w:left="316" w:right="381"/>
        <w:jc w:val="both"/>
        <w:rPr>
          <w:color w:val="585858"/>
        </w:rPr>
      </w:pPr>
      <w:proofErr w:type="spellStart"/>
      <w:r w:rsidRPr="005B256F">
        <w:rPr>
          <w:color w:val="585858"/>
        </w:rPr>
        <w:t>Abdulaziz</w:t>
      </w:r>
      <w:proofErr w:type="spellEnd"/>
      <w:r w:rsidRPr="005B256F">
        <w:rPr>
          <w:color w:val="585858"/>
        </w:rPr>
        <w:t xml:space="preserve"> M. </w:t>
      </w:r>
      <w:proofErr w:type="spellStart"/>
      <w:r w:rsidRPr="005B256F">
        <w:rPr>
          <w:color w:val="585858"/>
        </w:rPr>
        <w:t>Abdulaziz</w:t>
      </w:r>
      <w:proofErr w:type="spellEnd"/>
      <w:r w:rsidRPr="005B256F">
        <w:rPr>
          <w:color w:val="585858"/>
        </w:rPr>
        <w:t xml:space="preserve"> is an assistant professor at the Petroleum Engineering Department, Cairo University. He holds a B.Sc. and M.Sc. in geosciences from </w:t>
      </w:r>
      <w:proofErr w:type="spellStart"/>
      <w:r w:rsidRPr="005B256F">
        <w:rPr>
          <w:color w:val="585858"/>
        </w:rPr>
        <w:t>Banha</w:t>
      </w:r>
      <w:proofErr w:type="spellEnd"/>
      <w:r w:rsidRPr="005B256F">
        <w:rPr>
          <w:color w:val="585858"/>
        </w:rPr>
        <w:t xml:space="preserve"> University and a Ph.D. from The University of Texas at El Paso, USA. </w:t>
      </w:r>
    </w:p>
    <w:p w:rsidR="008C3ACE" w:rsidRDefault="00082276" w:rsidP="00082276">
      <w:pPr>
        <w:pStyle w:val="BodyText"/>
        <w:spacing w:before="119"/>
        <w:ind w:left="316" w:right="381"/>
        <w:jc w:val="both"/>
        <w:rPr>
          <w:color w:val="585858"/>
        </w:rPr>
      </w:pPr>
      <w:proofErr w:type="spellStart"/>
      <w:r>
        <w:rPr>
          <w:color w:val="585858"/>
        </w:rPr>
        <w:t>Abdelsattar</w:t>
      </w:r>
      <w:proofErr w:type="spellEnd"/>
      <w:r>
        <w:rPr>
          <w:color w:val="585858"/>
        </w:rPr>
        <w:t xml:space="preserve"> M. Dahab</w:t>
      </w:r>
      <w:r w:rsidR="00B5063E">
        <w:rPr>
          <w:color w:val="585858"/>
        </w:rPr>
        <w:t xml:space="preserve"> </w:t>
      </w:r>
      <w:r w:rsidRPr="00082276">
        <w:rPr>
          <w:color w:val="585858"/>
        </w:rPr>
        <w:t>is an assistant professor at the Petroleum Engineering Department, Cairo University.</w:t>
      </w:r>
    </w:p>
    <w:p w:rsidR="00082276" w:rsidRDefault="00082276" w:rsidP="00082276">
      <w:pPr>
        <w:pStyle w:val="BodyText"/>
        <w:spacing w:before="119"/>
        <w:ind w:left="316" w:right="381"/>
        <w:jc w:val="both"/>
      </w:pPr>
      <w:r>
        <w:rPr>
          <w:color w:val="585858"/>
        </w:rPr>
        <w:t>Abdelrahman M. Elhadidy</w:t>
      </w:r>
      <w:r>
        <w:rPr>
          <w:color w:val="585858"/>
        </w:rPr>
        <w:t xml:space="preserve"> </w:t>
      </w:r>
      <w:r w:rsidRPr="00082276">
        <w:rPr>
          <w:color w:val="585858"/>
        </w:rPr>
        <w:t xml:space="preserve">is </w:t>
      </w:r>
      <w:r>
        <w:rPr>
          <w:color w:val="585858"/>
        </w:rPr>
        <w:t>a 6 years reservoir engineer in Gulf of Suez Petroleum Company.</w:t>
      </w:r>
    </w:p>
    <w:p w:rsidR="008C3ACE" w:rsidRDefault="008C3ACE">
      <w:pPr>
        <w:pStyle w:val="BodyText"/>
        <w:spacing w:before="1"/>
      </w:pP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082276" w:rsidRDefault="00082276" w:rsidP="00C97C95">
      <w:pPr>
        <w:pStyle w:val="BodyText"/>
        <w:spacing w:before="172"/>
        <w:ind w:left="316" w:right="2400"/>
        <w:rPr>
          <w:color w:val="585858"/>
        </w:rPr>
      </w:pPr>
      <w:r>
        <w:rPr>
          <w:noProof/>
          <w:color w:val="585858"/>
        </w:rPr>
        <w:drawing>
          <wp:inline distT="0" distB="0" distL="0" distR="0" wp14:anchorId="0C9A7C55">
            <wp:extent cx="939165" cy="9525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9165" cy="952500"/>
                    </a:xfrm>
                    <a:prstGeom prst="rect">
                      <a:avLst/>
                    </a:prstGeom>
                    <a:noFill/>
                  </pic:spPr>
                </pic:pic>
              </a:graphicData>
            </a:graphic>
          </wp:inline>
        </w:drawing>
      </w:r>
      <w:bookmarkStart w:id="0" w:name="_GoBack"/>
      <w:bookmarkEnd w:id="0"/>
    </w:p>
    <w:p w:rsidR="008C3ACE" w:rsidRDefault="00B5063E" w:rsidP="00C97C95">
      <w:pPr>
        <w:pStyle w:val="BodyText"/>
        <w:spacing w:before="172"/>
        <w:ind w:left="316" w:right="2400"/>
      </w:pPr>
      <w:r>
        <w:rPr>
          <w:color w:val="585858"/>
        </w:rPr>
        <w:t>Full Name:</w:t>
      </w:r>
      <w:r w:rsidR="00C97C95">
        <w:rPr>
          <w:color w:val="585858"/>
        </w:rPr>
        <w:t xml:space="preserve"> Abdelrahman M. Elhadidy</w:t>
      </w:r>
      <w:r>
        <w:rPr>
          <w:color w:val="585858"/>
        </w:rPr>
        <w:t xml:space="preserve"> Contact number: </w:t>
      </w:r>
      <w:r w:rsidR="00C97C95">
        <w:rPr>
          <w:color w:val="585858"/>
        </w:rPr>
        <w:t xml:space="preserve"> 00201098891200 </w:t>
      </w:r>
    </w:p>
    <w:p w:rsidR="00C97C95" w:rsidRDefault="00C97C95" w:rsidP="00C97C95">
      <w:pPr>
        <w:pStyle w:val="BodyText"/>
        <w:ind w:left="316" w:right="1786"/>
        <w:rPr>
          <w:color w:val="585858"/>
        </w:rPr>
      </w:pPr>
      <w:r>
        <w:rPr>
          <w:color w:val="585858"/>
        </w:rPr>
        <w:t xml:space="preserve">Category: </w:t>
      </w:r>
      <w:r w:rsidR="00B5063E">
        <w:rPr>
          <w:color w:val="585858"/>
        </w:rPr>
        <w:t>Oral presentation</w:t>
      </w:r>
    </w:p>
    <w:p w:rsidR="00C97C95" w:rsidRPr="00C97C95" w:rsidRDefault="00B5063E" w:rsidP="00C97C95">
      <w:pPr>
        <w:pStyle w:val="BodyText"/>
        <w:ind w:left="316" w:right="1786"/>
        <w:rPr>
          <w:color w:val="585858"/>
        </w:rPr>
        <w:sectPr w:rsidR="00C97C95" w:rsidRPr="00C97C95">
          <w:type w:val="continuous"/>
          <w:pgSz w:w="11910" w:h="16840"/>
          <w:pgMar w:top="600" w:right="180" w:bottom="280" w:left="140" w:header="720" w:footer="720" w:gutter="0"/>
          <w:cols w:num="2" w:space="720" w:equalWidth="0">
            <w:col w:w="5639" w:space="40"/>
            <w:col w:w="5911"/>
          </w:cols>
        </w:sectPr>
      </w:pPr>
      <w:r>
        <w:rPr>
          <w:color w:val="585858"/>
        </w:rPr>
        <w:t>Passport Number</w:t>
      </w:r>
      <w:r w:rsidRPr="00C97C95">
        <w:rPr>
          <w:color w:val="585858"/>
        </w:rPr>
        <w:t>:</w:t>
      </w:r>
      <w:r w:rsidR="00C97C95" w:rsidRPr="00C97C95">
        <w:rPr>
          <w:color w:val="585858"/>
        </w:rPr>
        <w:t xml:space="preserve"> </w:t>
      </w:r>
      <w:r w:rsidR="00C97C95" w:rsidRPr="00C97C95">
        <w:rPr>
          <w:color w:val="585858"/>
        </w:rPr>
        <w:t>A10321972</w:t>
      </w:r>
    </w:p>
    <w:p w:rsidR="008C3ACE" w:rsidRDefault="008C3ACE" w:rsidP="00C97C95">
      <w:pPr>
        <w:pStyle w:val="BodyText"/>
        <w:ind w:left="316" w:right="1786"/>
        <w:rPr>
          <w:sz w:val="18"/>
        </w:rPr>
      </w:pPr>
    </w:p>
    <w:p w:rsidR="008C3ACE" w:rsidRDefault="0003091D">
      <w:pPr>
        <w:pStyle w:val="BodyText"/>
        <w:spacing w:line="55" w:lineRule="exact"/>
        <w:ind w:left="107"/>
        <w:rPr>
          <w:sz w:val="5"/>
        </w:rPr>
      </w:pPr>
      <w:r>
        <w:rPr>
          <w:noProof/>
          <w:sz w:val="5"/>
        </w:rPr>
        <mc:AlternateContent>
          <mc:Choice Requires="wpg">
            <w:drawing>
              <wp:anchor distT="0" distB="0" distL="114300" distR="114300" simplePos="0" relativeHeight="251658752" behindDoc="1" locked="0" layoutInCell="1" allowOverlap="1" wp14:anchorId="586BCAEB" wp14:editId="3A547648">
                <wp:simplePos x="0" y="0"/>
                <wp:positionH relativeFrom="column">
                  <wp:posOffset>50165</wp:posOffset>
                </wp:positionH>
                <wp:positionV relativeFrom="paragraph">
                  <wp:posOffset>21590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060C911" id="Group 2" o:spid="_x0000_s1026" style="position:absolute;margin-left:3.95pt;margin-top:1.7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wrap type="tight"/>
              </v:group>
            </w:pict>
          </mc:Fallback>
        </mc:AlternateContent>
      </w:r>
    </w:p>
    <w:p w:rsidR="00A26704" w:rsidRPr="00A26704" w:rsidRDefault="0003091D" w:rsidP="00B5063E">
      <w:pPr>
        <w:rPr>
          <w:color w:val="333333"/>
          <w:sz w:val="18"/>
          <w:szCs w:val="18"/>
        </w:rPr>
      </w:pPr>
      <w:r>
        <w:rPr>
          <w:noProof/>
          <w:color w:val="333333"/>
          <w:sz w:val="18"/>
          <w:szCs w:val="18"/>
        </w:rPr>
        <w:drawing>
          <wp:inline distT="0" distB="0" distL="0" distR="0">
            <wp:extent cx="7347006" cy="1009669"/>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World Summit 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59650" cy="1011407"/>
                    </a:xfrm>
                    <a:prstGeom prst="rect">
                      <a:avLst/>
                    </a:prstGeom>
                  </pic:spPr>
                </pic:pic>
              </a:graphicData>
            </a:graphic>
          </wp:inline>
        </w:drawing>
      </w:r>
    </w:p>
    <w:p w:rsidR="00935715" w:rsidRPr="00F90B75" w:rsidRDefault="00935715" w:rsidP="00B5063E">
      <w:pPr>
        <w:rPr>
          <w:color w:val="333333"/>
          <w:sz w:val="24"/>
          <w:szCs w:val="24"/>
        </w:rPr>
      </w:pPr>
    </w:p>
    <w:p w:rsidR="008C3ACE" w:rsidRDefault="008C3ACE">
      <w:pPr>
        <w:spacing w:line="276" w:lineRule="exact"/>
        <w:ind w:left="1048" w:right="1488"/>
        <w:jc w:val="center"/>
        <w:rPr>
          <w:sz w:val="20"/>
        </w:rPr>
      </w:pPr>
    </w:p>
    <w:sectPr w:rsidR="008C3AC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062F16"/>
    <w:multiLevelType w:val="hybridMultilevel"/>
    <w:tmpl w:val="01489D2C"/>
    <w:lvl w:ilvl="0" w:tplc="32C2BCCA">
      <w:start w:val="1"/>
      <w:numFmt w:val="decimal"/>
      <w:lvlText w:val="%1"/>
      <w:lvlJc w:val="left"/>
      <w:pPr>
        <w:ind w:left="1037" w:hanging="360"/>
      </w:pPr>
      <w:rPr>
        <w:rFonts w:hint="default"/>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1"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3091D"/>
    <w:rsid w:val="00082276"/>
    <w:rsid w:val="0022441A"/>
    <w:rsid w:val="0058095B"/>
    <w:rsid w:val="005B256F"/>
    <w:rsid w:val="00656128"/>
    <w:rsid w:val="006564CB"/>
    <w:rsid w:val="00680E37"/>
    <w:rsid w:val="006E14D0"/>
    <w:rsid w:val="007315F6"/>
    <w:rsid w:val="008C3ACE"/>
    <w:rsid w:val="00935715"/>
    <w:rsid w:val="009D7910"/>
    <w:rsid w:val="009F3FAE"/>
    <w:rsid w:val="00A26704"/>
    <w:rsid w:val="00B5063E"/>
    <w:rsid w:val="00C97C95"/>
    <w:rsid w:val="00CA7CE8"/>
    <w:rsid w:val="00D8276E"/>
    <w:rsid w:val="00E3650A"/>
    <w:rsid w:val="00EC48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74F20E-39FB-4F1F-A7FB-F02F19E46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2</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El-Hadidy, Abdelrahman M</cp:lastModifiedBy>
  <cp:revision>18</cp:revision>
  <dcterms:created xsi:type="dcterms:W3CDTF">2018-02-05T12:50:00Z</dcterms:created>
  <dcterms:modified xsi:type="dcterms:W3CDTF">2019-01-09T11:54:00Z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