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8FB" w:rsidRDefault="00CA48FB" w:rsidP="00CA48FB">
      <w:pPr>
        <w:spacing w:after="0" w:line="240" w:lineRule="auto"/>
        <w:rPr>
          <w:rFonts w:asciiTheme="minorBidi" w:hAnsiTheme="minorBidi"/>
          <w:b/>
          <w:bCs/>
          <w:sz w:val="24"/>
          <w:szCs w:val="24"/>
        </w:rPr>
      </w:pPr>
      <w:r w:rsidRPr="00CA48FB">
        <w:rPr>
          <w:rFonts w:asciiTheme="minorBidi" w:hAnsiTheme="minorBidi"/>
          <w:b/>
          <w:bCs/>
          <w:sz w:val="24"/>
          <w:szCs w:val="24"/>
        </w:rPr>
        <w:t>AN INTEGRATED APPROACH TO DETERMINE LOW-RESISTIVITY PAY ZONES IN THIN LAMINATED CLASTIC RESERVOIRS: A CASE STUDY FROM THE GULF OF SUEZ</w:t>
      </w:r>
    </w:p>
    <w:p w:rsidR="00CA48FB" w:rsidRDefault="00CA48FB" w:rsidP="00E145D4">
      <w:pPr>
        <w:spacing w:before="120" w:after="0" w:line="240" w:lineRule="auto"/>
        <w:rPr>
          <w:rFonts w:asciiTheme="minorBidi" w:hAnsiTheme="minorBidi"/>
        </w:rPr>
      </w:pPr>
      <w:proofErr w:type="spellStart"/>
      <w:r>
        <w:rPr>
          <w:rFonts w:asciiTheme="minorBidi" w:hAnsiTheme="minorBidi"/>
        </w:rPr>
        <w:t>Abdulsattar</w:t>
      </w:r>
      <w:proofErr w:type="spellEnd"/>
      <w:r>
        <w:rPr>
          <w:rFonts w:asciiTheme="minorBidi" w:hAnsiTheme="minorBidi"/>
        </w:rPr>
        <w:t xml:space="preserve"> Dahab, Cairo University</w:t>
      </w:r>
    </w:p>
    <w:p w:rsidR="00CA48FB" w:rsidRDefault="00CA48FB" w:rsidP="00E145D4">
      <w:pPr>
        <w:spacing w:before="120" w:after="0" w:line="240" w:lineRule="auto"/>
        <w:rPr>
          <w:rFonts w:asciiTheme="minorBidi" w:hAnsiTheme="minorBidi"/>
        </w:rPr>
      </w:pPr>
      <w:proofErr w:type="spellStart"/>
      <w:r>
        <w:rPr>
          <w:rFonts w:asciiTheme="minorBidi" w:hAnsiTheme="minorBidi"/>
        </w:rPr>
        <w:t>Abdulaziz</w:t>
      </w:r>
      <w:proofErr w:type="spellEnd"/>
      <w:r>
        <w:rPr>
          <w:rFonts w:asciiTheme="minorBidi" w:hAnsiTheme="minorBidi"/>
        </w:rPr>
        <w:t xml:space="preserve"> Mohamed </w:t>
      </w:r>
      <w:proofErr w:type="spellStart"/>
      <w:r>
        <w:rPr>
          <w:rFonts w:asciiTheme="minorBidi" w:hAnsiTheme="minorBidi"/>
        </w:rPr>
        <w:t>Abdulaziz</w:t>
      </w:r>
      <w:proofErr w:type="spellEnd"/>
      <w:r>
        <w:rPr>
          <w:rFonts w:asciiTheme="minorBidi" w:hAnsiTheme="minorBidi"/>
        </w:rPr>
        <w:t>, Cairo University</w:t>
      </w:r>
    </w:p>
    <w:p w:rsidR="00CA48FB" w:rsidRDefault="00CA48FB" w:rsidP="00E145D4">
      <w:pPr>
        <w:spacing w:before="120" w:after="0" w:line="240" w:lineRule="auto"/>
        <w:rPr>
          <w:rFonts w:asciiTheme="minorBidi" w:hAnsiTheme="minorBidi"/>
        </w:rPr>
      </w:pPr>
      <w:r>
        <w:rPr>
          <w:rFonts w:asciiTheme="minorBidi" w:hAnsiTheme="minorBidi"/>
        </w:rPr>
        <w:t>Abdelrahman Elhadidy, Gulf of Suez Petroleum Company (GUPCO)</w:t>
      </w:r>
    </w:p>
    <w:p w:rsidR="00CA48FB" w:rsidRDefault="00CA48FB" w:rsidP="00CA48FB">
      <w:pPr>
        <w:jc w:val="center"/>
        <w:rPr>
          <w:color w:val="000000" w:themeColor="text1"/>
        </w:rPr>
      </w:pPr>
      <w:r>
        <w:rPr>
          <w:rFonts w:asciiTheme="minorBidi" w:hAnsiTheme="minorBidi"/>
          <w:b/>
          <w:bCs/>
          <w:sz w:val="24"/>
          <w:szCs w:val="24"/>
        </w:rPr>
        <w:t>Abstract</w:t>
      </w:r>
    </w:p>
    <w:p w:rsidR="00BC2FF7" w:rsidRPr="00CA48FB" w:rsidRDefault="00CA48FB" w:rsidP="00CA48FB">
      <w:pPr>
        <w:rPr>
          <w:rFonts w:asciiTheme="minorBidi" w:hAnsiTheme="minorBidi"/>
          <w:color w:val="000000" w:themeColor="text1"/>
        </w:rPr>
      </w:pPr>
      <w:r w:rsidRPr="00CA48FB">
        <w:rPr>
          <w:rFonts w:asciiTheme="minorBidi" w:hAnsiTheme="minorBidi"/>
          <w:color w:val="000000" w:themeColor="text1"/>
        </w:rPr>
        <w:t xml:space="preserve">The occurrence of Low Resistivity Pay (LRP) in both, clastic and calcareous formations have been widely reported. </w:t>
      </w:r>
      <w:r>
        <w:rPr>
          <w:rFonts w:asciiTheme="minorBidi" w:hAnsiTheme="minorBidi"/>
          <w:color w:val="000000" w:themeColor="text1"/>
        </w:rPr>
        <w:t xml:space="preserve">The problem is </w:t>
      </w:r>
      <w:r w:rsidRPr="00CA48FB">
        <w:rPr>
          <w:rFonts w:asciiTheme="minorBidi" w:hAnsiTheme="minorBidi"/>
          <w:color w:val="000000" w:themeColor="text1"/>
        </w:rPr>
        <w:t xml:space="preserve">LRP </w:t>
      </w:r>
      <w:r>
        <w:rPr>
          <w:rFonts w:asciiTheme="minorBidi" w:hAnsiTheme="minorBidi"/>
          <w:color w:val="000000" w:themeColor="text1"/>
        </w:rPr>
        <w:t xml:space="preserve">zone </w:t>
      </w:r>
      <w:proofErr w:type="gramStart"/>
      <w:r w:rsidRPr="00CA48FB">
        <w:rPr>
          <w:rFonts w:asciiTheme="minorBidi" w:hAnsiTheme="minorBidi"/>
          <w:color w:val="000000" w:themeColor="text1"/>
        </w:rPr>
        <w:t>is not recognized</w:t>
      </w:r>
      <w:proofErr w:type="gramEnd"/>
      <w:r w:rsidRPr="00CA48FB">
        <w:rPr>
          <w:rFonts w:asciiTheme="minorBidi" w:hAnsiTheme="minorBidi"/>
          <w:color w:val="000000" w:themeColor="text1"/>
        </w:rPr>
        <w:t xml:space="preserve"> by the conventional induction resistivity log. This phenomenon affects the conventional resistivity log to read lower response, and as a result, the estimated water saturation will be higher than the observed water cut from production data. </w:t>
      </w:r>
      <w:proofErr w:type="gramStart"/>
      <w:r w:rsidRPr="00CA48FB">
        <w:rPr>
          <w:rFonts w:asciiTheme="minorBidi" w:hAnsiTheme="minorBidi"/>
          <w:color w:val="000000" w:themeColor="text1"/>
        </w:rPr>
        <w:t>There are many factors that</w:t>
      </w:r>
      <w:proofErr w:type="gramEnd"/>
      <w:r w:rsidRPr="00CA48FB">
        <w:rPr>
          <w:rFonts w:asciiTheme="minorBidi" w:hAnsiTheme="minorBidi"/>
          <w:color w:val="000000" w:themeColor="text1"/>
        </w:rPr>
        <w:t xml:space="preserve"> could create a LRP effect such as thin sand shale lamination, conductive minerals, or fresh formation water.</w:t>
      </w:r>
      <w:r w:rsidRPr="00CA48FB">
        <w:rPr>
          <w:rFonts w:asciiTheme="minorBidi" w:hAnsiTheme="minorBidi"/>
          <w:color w:val="000000" w:themeColor="text1"/>
        </w:rPr>
        <w:t xml:space="preserve"> </w:t>
      </w:r>
      <w:r w:rsidRPr="00CA48FB">
        <w:rPr>
          <w:rFonts w:asciiTheme="minorBidi" w:hAnsiTheme="minorBidi"/>
          <w:color w:val="000000" w:themeColor="text1"/>
        </w:rPr>
        <w:t xml:space="preserve">Resistivity anisotropy </w:t>
      </w:r>
      <w:proofErr w:type="gramStart"/>
      <w:r w:rsidRPr="00CA48FB">
        <w:rPr>
          <w:rFonts w:asciiTheme="minorBidi" w:hAnsiTheme="minorBidi"/>
          <w:color w:val="000000" w:themeColor="text1"/>
        </w:rPr>
        <w:t>is observed</w:t>
      </w:r>
      <w:proofErr w:type="gramEnd"/>
      <w:r w:rsidRPr="00CA48FB">
        <w:rPr>
          <w:rFonts w:asciiTheme="minorBidi" w:hAnsiTheme="minorBidi"/>
          <w:color w:val="000000" w:themeColor="text1"/>
        </w:rPr>
        <w:t xml:space="preserve"> in the interbedded parallel layers of laminations of sand-shale sequences. When these laminations thickness are less than the vertical resolution of conventional resistivity measuring device itself, the measured resistivity values is no longer representative to these laminations, however it becomes an average of the </w:t>
      </w:r>
      <w:proofErr w:type="spellStart"/>
      <w:r w:rsidRPr="00CA48FB">
        <w:rPr>
          <w:rFonts w:asciiTheme="minorBidi" w:hAnsiTheme="minorBidi"/>
          <w:color w:val="000000" w:themeColor="text1"/>
        </w:rPr>
        <w:t>resistivities</w:t>
      </w:r>
      <w:proofErr w:type="spellEnd"/>
      <w:r w:rsidRPr="00CA48FB">
        <w:rPr>
          <w:rFonts w:asciiTheme="minorBidi" w:hAnsiTheme="minorBidi"/>
          <w:color w:val="000000" w:themeColor="text1"/>
        </w:rPr>
        <w:t xml:space="preserve"> of these thin laminations, dominated by the laminations with lower </w:t>
      </w:r>
      <w:proofErr w:type="spellStart"/>
      <w:r w:rsidRPr="00CA48FB">
        <w:rPr>
          <w:rFonts w:asciiTheme="minorBidi" w:hAnsiTheme="minorBidi"/>
          <w:color w:val="000000" w:themeColor="text1"/>
        </w:rPr>
        <w:t>resistivities</w:t>
      </w:r>
      <w:proofErr w:type="spellEnd"/>
      <w:r w:rsidRPr="00CA48FB">
        <w:rPr>
          <w:rFonts w:asciiTheme="minorBidi" w:hAnsiTheme="minorBidi"/>
          <w:color w:val="000000" w:themeColor="text1"/>
        </w:rPr>
        <w:t xml:space="preserve">. </w:t>
      </w:r>
      <w:proofErr w:type="gramStart"/>
      <w:r w:rsidRPr="00CA48FB">
        <w:rPr>
          <w:rFonts w:asciiTheme="minorBidi" w:hAnsiTheme="minorBidi"/>
          <w:color w:val="000000" w:themeColor="text1"/>
        </w:rPr>
        <w:t>This apparent average values</w:t>
      </w:r>
      <w:proofErr w:type="gramEnd"/>
      <w:r w:rsidRPr="00CA48FB">
        <w:rPr>
          <w:rFonts w:asciiTheme="minorBidi" w:hAnsiTheme="minorBidi"/>
          <w:color w:val="000000" w:themeColor="text1"/>
        </w:rPr>
        <w:t xml:space="preserve"> of resistivity curves may mask the recognition of hydrocarbon presence.</w:t>
      </w:r>
    </w:p>
    <w:p w:rsidR="00CA48FB" w:rsidRPr="00CA48FB" w:rsidRDefault="00CA48FB">
      <w:pPr>
        <w:rPr>
          <w:rFonts w:asciiTheme="minorBidi" w:hAnsiTheme="minorBidi"/>
          <w:color w:val="000000" w:themeColor="text1"/>
        </w:rPr>
      </w:pPr>
      <w:r w:rsidRPr="00CA48FB">
        <w:rPr>
          <w:rFonts w:asciiTheme="minorBidi" w:hAnsiTheme="minorBidi"/>
          <w:color w:val="000000" w:themeColor="text1"/>
        </w:rPr>
        <w:t>This formation evaluation challenge is usually addressed using simultaneous measurements of horizontal (Rh) and vertical (</w:t>
      </w:r>
      <w:proofErr w:type="gramStart"/>
      <w:r w:rsidRPr="00CA48FB">
        <w:rPr>
          <w:rFonts w:asciiTheme="minorBidi" w:hAnsiTheme="minorBidi"/>
          <w:color w:val="000000" w:themeColor="text1"/>
        </w:rPr>
        <w:t>Rv</w:t>
      </w:r>
      <w:proofErr w:type="gramEnd"/>
      <w:r w:rsidRPr="00CA48FB">
        <w:rPr>
          <w:rFonts w:asciiTheme="minorBidi" w:hAnsiTheme="minorBidi"/>
          <w:color w:val="000000" w:themeColor="text1"/>
        </w:rPr>
        <w:t xml:space="preserve">) resistivity measurements. Such measurements </w:t>
      </w:r>
      <w:proofErr w:type="gramStart"/>
      <w:r w:rsidRPr="00CA48FB">
        <w:rPr>
          <w:rFonts w:asciiTheme="minorBidi" w:hAnsiTheme="minorBidi"/>
          <w:color w:val="000000" w:themeColor="text1"/>
        </w:rPr>
        <w:t>are not conventionally taken</w:t>
      </w:r>
      <w:proofErr w:type="gramEnd"/>
      <w:r w:rsidRPr="00CA48FB">
        <w:rPr>
          <w:rFonts w:asciiTheme="minorBidi" w:hAnsiTheme="minorBidi"/>
          <w:color w:val="000000" w:themeColor="text1"/>
        </w:rPr>
        <w:t xml:space="preserve"> and therefore unconventional interpretation would be impossible or at least difficult. In the present study, an innovative technique </w:t>
      </w:r>
      <w:proofErr w:type="gramStart"/>
      <w:r w:rsidRPr="00CA48FB">
        <w:rPr>
          <w:rFonts w:asciiTheme="minorBidi" w:hAnsiTheme="minorBidi"/>
          <w:color w:val="000000" w:themeColor="text1"/>
        </w:rPr>
        <w:t>is developed</w:t>
      </w:r>
      <w:proofErr w:type="gramEnd"/>
      <w:r w:rsidRPr="00CA48FB">
        <w:rPr>
          <w:rFonts w:asciiTheme="minorBidi" w:hAnsiTheme="minorBidi"/>
          <w:color w:val="000000" w:themeColor="text1"/>
        </w:rPr>
        <w:t xml:space="preserve"> to calculate the resistivity of sand intervals within thin laminated reservoirs from conventional apparent resistivity measurements and lithology logs. This is achieved considering two main concepts; separating apparent resistivity in Rh and Rv using Moran and </w:t>
      </w:r>
      <w:proofErr w:type="spellStart"/>
      <w:r w:rsidRPr="00CA48FB">
        <w:rPr>
          <w:rFonts w:asciiTheme="minorBidi" w:hAnsiTheme="minorBidi"/>
          <w:color w:val="000000" w:themeColor="text1"/>
        </w:rPr>
        <w:t>Gianzero</w:t>
      </w:r>
      <w:proofErr w:type="spellEnd"/>
      <w:r w:rsidRPr="00CA48FB">
        <w:rPr>
          <w:rFonts w:asciiTheme="minorBidi" w:hAnsiTheme="minorBidi"/>
          <w:color w:val="000000" w:themeColor="text1"/>
        </w:rPr>
        <w:t xml:space="preserve"> (1979) formula and calculating sand resistivity using sand - shale resistivity connections (parallel and series connections).</w:t>
      </w:r>
      <w:r w:rsidRPr="00CA48FB">
        <w:rPr>
          <w:rFonts w:asciiTheme="minorBidi" w:hAnsiTheme="minorBidi"/>
          <w:color w:val="000000" w:themeColor="text1"/>
        </w:rPr>
        <w:t xml:space="preserve"> </w:t>
      </w:r>
      <w:r w:rsidRPr="00CA48FB">
        <w:rPr>
          <w:rFonts w:asciiTheme="minorBidi" w:hAnsiTheme="minorBidi"/>
          <w:color w:val="000000" w:themeColor="text1"/>
        </w:rPr>
        <w:t xml:space="preserve">For Rh and </w:t>
      </w:r>
      <w:proofErr w:type="gramStart"/>
      <w:r w:rsidRPr="00CA48FB">
        <w:rPr>
          <w:rFonts w:asciiTheme="minorBidi" w:hAnsiTheme="minorBidi"/>
          <w:color w:val="000000" w:themeColor="text1"/>
        </w:rPr>
        <w:t>Rv</w:t>
      </w:r>
      <w:proofErr w:type="gramEnd"/>
      <w:r w:rsidRPr="00CA48FB">
        <w:rPr>
          <w:rFonts w:asciiTheme="minorBidi" w:hAnsiTheme="minorBidi"/>
          <w:color w:val="000000" w:themeColor="text1"/>
        </w:rPr>
        <w:t xml:space="preserve"> calculations Moran and </w:t>
      </w:r>
      <w:proofErr w:type="spellStart"/>
      <w:r w:rsidRPr="00CA48FB">
        <w:rPr>
          <w:rFonts w:asciiTheme="minorBidi" w:hAnsiTheme="minorBidi"/>
          <w:color w:val="000000" w:themeColor="text1"/>
        </w:rPr>
        <w:t>Gianzero</w:t>
      </w:r>
      <w:proofErr w:type="spellEnd"/>
      <w:r w:rsidRPr="00CA48FB">
        <w:rPr>
          <w:rFonts w:asciiTheme="minorBidi" w:hAnsiTheme="minorBidi"/>
          <w:color w:val="000000" w:themeColor="text1"/>
        </w:rPr>
        <w:t xml:space="preserve"> (1979) equation is solved using nonlinear regression for a dataset of 29 well tapping low resistivity pay zones within Belayiem Formation with iteration methods.</w:t>
      </w:r>
      <w:r w:rsidRPr="00CA48FB">
        <w:rPr>
          <w:rFonts w:asciiTheme="minorBidi" w:hAnsiTheme="minorBidi"/>
          <w:color w:val="000000" w:themeColor="text1"/>
        </w:rPr>
        <w:t xml:space="preserve"> </w:t>
      </w:r>
      <w:r w:rsidRPr="00CA48FB">
        <w:rPr>
          <w:rFonts w:asciiTheme="minorBidi" w:hAnsiTheme="minorBidi"/>
          <w:color w:val="000000" w:themeColor="text1"/>
        </w:rPr>
        <w:t xml:space="preserve">Archie Equation </w:t>
      </w:r>
      <w:proofErr w:type="gramStart"/>
      <w:r w:rsidRPr="00CA48FB">
        <w:rPr>
          <w:rFonts w:asciiTheme="minorBidi" w:hAnsiTheme="minorBidi"/>
          <w:color w:val="000000" w:themeColor="text1"/>
        </w:rPr>
        <w:t>is applied to calculate water saturation using the obtained sand resistivity values and subsequently plotted versus the conventionally calculated values</w:t>
      </w:r>
      <w:proofErr w:type="gramEnd"/>
      <w:r w:rsidRPr="00CA48FB">
        <w:rPr>
          <w:rFonts w:asciiTheme="minorBidi" w:hAnsiTheme="minorBidi"/>
          <w:color w:val="000000" w:themeColor="text1"/>
        </w:rPr>
        <w:t>.</w:t>
      </w:r>
    </w:p>
    <w:p w:rsidR="00CA48FB" w:rsidRPr="00CA48FB" w:rsidRDefault="00CA48FB" w:rsidP="002A5438">
      <w:pPr>
        <w:pStyle w:val="FECUThesisBodyText"/>
        <w:spacing w:after="120"/>
        <w:rPr>
          <w:rFonts w:asciiTheme="minorBidi" w:eastAsiaTheme="minorHAnsi" w:hAnsiTheme="minorBidi" w:cstheme="minorBidi"/>
          <w:color w:val="000000" w:themeColor="text1"/>
          <w:kern w:val="0"/>
          <w:sz w:val="22"/>
          <w:szCs w:val="22"/>
        </w:rPr>
      </w:pPr>
      <w:r w:rsidRPr="00CA48FB">
        <w:rPr>
          <w:rFonts w:asciiTheme="minorBidi" w:eastAsiaTheme="minorHAnsi" w:hAnsiTheme="minorBidi" w:cstheme="minorBidi"/>
          <w:color w:val="000000" w:themeColor="text1"/>
          <w:kern w:val="0"/>
          <w:sz w:val="22"/>
          <w:szCs w:val="22"/>
        </w:rPr>
        <w:t xml:space="preserve">In </w:t>
      </w:r>
      <w:r>
        <w:rPr>
          <w:rFonts w:asciiTheme="minorBidi" w:eastAsiaTheme="minorHAnsi" w:hAnsiTheme="minorBidi" w:cstheme="minorBidi"/>
          <w:color w:val="000000" w:themeColor="text1"/>
          <w:kern w:val="0"/>
          <w:sz w:val="22"/>
          <w:szCs w:val="22"/>
        </w:rPr>
        <w:t>Morgan Belayiem</w:t>
      </w:r>
      <w:r w:rsidRPr="00CA48FB">
        <w:rPr>
          <w:rFonts w:asciiTheme="minorBidi" w:eastAsiaTheme="minorHAnsi" w:hAnsiTheme="minorBidi" w:cstheme="minorBidi"/>
          <w:color w:val="000000" w:themeColor="text1"/>
          <w:kern w:val="0"/>
          <w:sz w:val="22"/>
          <w:szCs w:val="22"/>
        </w:rPr>
        <w:t xml:space="preserve"> </w:t>
      </w:r>
      <w:r>
        <w:rPr>
          <w:rFonts w:asciiTheme="minorBidi" w:eastAsiaTheme="minorHAnsi" w:hAnsiTheme="minorBidi" w:cstheme="minorBidi"/>
          <w:color w:val="000000" w:themeColor="text1"/>
          <w:kern w:val="0"/>
          <w:sz w:val="22"/>
          <w:szCs w:val="22"/>
        </w:rPr>
        <w:t>r</w:t>
      </w:r>
      <w:r w:rsidRPr="00CA48FB">
        <w:rPr>
          <w:rFonts w:asciiTheme="minorBidi" w:eastAsiaTheme="minorHAnsi" w:hAnsiTheme="minorBidi" w:cstheme="minorBidi"/>
          <w:color w:val="000000" w:themeColor="text1"/>
          <w:kern w:val="0"/>
          <w:sz w:val="22"/>
          <w:szCs w:val="22"/>
        </w:rPr>
        <w:t xml:space="preserve">eservoir located in the Gulf of Suez in Egypt, which was discovered since 1965, a new detailed interpretation analysis have been done to re-interpret thin sand shale laminations having low conventional resistivity curves. Pay was identified using </w:t>
      </w:r>
      <w:r w:rsidR="002A5438">
        <w:rPr>
          <w:rFonts w:asciiTheme="minorBidi" w:eastAsiaTheme="minorHAnsi" w:hAnsiTheme="minorBidi" w:cstheme="minorBidi"/>
          <w:color w:val="000000" w:themeColor="text1"/>
          <w:kern w:val="0"/>
          <w:sz w:val="22"/>
          <w:szCs w:val="22"/>
        </w:rPr>
        <w:t>(</w:t>
      </w:r>
      <w:proofErr w:type="gramStart"/>
      <w:r w:rsidRPr="00CA48FB">
        <w:rPr>
          <w:rFonts w:asciiTheme="minorBidi" w:eastAsiaTheme="minorHAnsi" w:hAnsiTheme="minorBidi" w:cstheme="minorBidi"/>
          <w:color w:val="000000" w:themeColor="text1"/>
          <w:kern w:val="0"/>
          <w:sz w:val="22"/>
          <w:szCs w:val="22"/>
        </w:rPr>
        <w:t>Rv</w:t>
      </w:r>
      <w:proofErr w:type="gramEnd"/>
      <w:r w:rsidR="002A5438">
        <w:rPr>
          <w:rFonts w:asciiTheme="minorBidi" w:eastAsiaTheme="minorHAnsi" w:hAnsiTheme="minorBidi" w:cstheme="minorBidi"/>
          <w:color w:val="000000" w:themeColor="text1"/>
          <w:kern w:val="0"/>
          <w:sz w:val="22"/>
          <w:szCs w:val="22"/>
        </w:rPr>
        <w:t>)</w:t>
      </w:r>
      <w:r w:rsidRPr="00CA48FB">
        <w:rPr>
          <w:rFonts w:asciiTheme="minorBidi" w:eastAsiaTheme="minorHAnsi" w:hAnsiTheme="minorBidi" w:cstheme="minorBidi"/>
          <w:color w:val="000000" w:themeColor="text1"/>
          <w:kern w:val="0"/>
          <w:sz w:val="22"/>
          <w:szCs w:val="22"/>
        </w:rPr>
        <w:t xml:space="preserve"> and </w:t>
      </w:r>
      <w:r w:rsidR="002A5438">
        <w:rPr>
          <w:rFonts w:asciiTheme="minorBidi" w:eastAsiaTheme="minorHAnsi" w:hAnsiTheme="minorBidi" w:cstheme="minorBidi"/>
          <w:color w:val="000000" w:themeColor="text1"/>
          <w:kern w:val="0"/>
          <w:sz w:val="22"/>
          <w:szCs w:val="22"/>
        </w:rPr>
        <w:t>(</w:t>
      </w:r>
      <w:r w:rsidRPr="00CA48FB">
        <w:rPr>
          <w:rFonts w:asciiTheme="minorBidi" w:eastAsiaTheme="minorHAnsi" w:hAnsiTheme="minorBidi" w:cstheme="minorBidi"/>
          <w:color w:val="000000" w:themeColor="text1"/>
          <w:kern w:val="0"/>
          <w:sz w:val="22"/>
          <w:szCs w:val="22"/>
        </w:rPr>
        <w:t>Rh</w:t>
      </w:r>
      <w:r w:rsidR="002A5438">
        <w:rPr>
          <w:rFonts w:asciiTheme="minorBidi" w:eastAsiaTheme="minorHAnsi" w:hAnsiTheme="minorBidi" w:cstheme="minorBidi"/>
          <w:color w:val="000000" w:themeColor="text1"/>
          <w:kern w:val="0"/>
          <w:sz w:val="22"/>
          <w:szCs w:val="22"/>
        </w:rPr>
        <w:t>)</w:t>
      </w:r>
      <w:r w:rsidRPr="00CA48FB">
        <w:rPr>
          <w:rFonts w:asciiTheme="minorBidi" w:eastAsiaTheme="minorHAnsi" w:hAnsiTheme="minorBidi" w:cstheme="minorBidi"/>
          <w:color w:val="000000" w:themeColor="text1"/>
          <w:kern w:val="0"/>
          <w:sz w:val="22"/>
          <w:szCs w:val="22"/>
        </w:rPr>
        <w:t xml:space="preserve"> calculations in petro-physical interpretation instead of using pervious conventional resistivity and lithology logs. After validating the petro-physical analysis and making an integration with available production data, the potential of the LRP zones in </w:t>
      </w:r>
      <w:r w:rsidR="002A5438">
        <w:rPr>
          <w:rFonts w:asciiTheme="minorBidi" w:eastAsiaTheme="minorHAnsi" w:hAnsiTheme="minorBidi" w:cstheme="minorBidi"/>
          <w:color w:val="000000" w:themeColor="text1"/>
          <w:kern w:val="0"/>
          <w:sz w:val="22"/>
          <w:szCs w:val="22"/>
        </w:rPr>
        <w:t>this</w:t>
      </w:r>
      <w:r w:rsidRPr="00CA48FB">
        <w:rPr>
          <w:rFonts w:asciiTheme="minorBidi" w:eastAsiaTheme="minorHAnsi" w:hAnsiTheme="minorBidi" w:cstheme="minorBidi"/>
          <w:color w:val="000000" w:themeColor="text1"/>
          <w:kern w:val="0"/>
          <w:sz w:val="22"/>
          <w:szCs w:val="22"/>
        </w:rPr>
        <w:t xml:space="preserve"> reservoir </w:t>
      </w:r>
      <w:proofErr w:type="gramStart"/>
      <w:r w:rsidRPr="00CA48FB">
        <w:rPr>
          <w:rFonts w:asciiTheme="minorBidi" w:eastAsiaTheme="minorHAnsi" w:hAnsiTheme="minorBidi" w:cstheme="minorBidi"/>
          <w:color w:val="000000" w:themeColor="text1"/>
          <w:kern w:val="0"/>
          <w:sz w:val="22"/>
          <w:szCs w:val="22"/>
        </w:rPr>
        <w:t>was confirmed</w:t>
      </w:r>
      <w:proofErr w:type="gramEnd"/>
      <w:r w:rsidRPr="00CA48FB">
        <w:rPr>
          <w:rFonts w:asciiTheme="minorBidi" w:eastAsiaTheme="minorHAnsi" w:hAnsiTheme="minorBidi" w:cstheme="minorBidi"/>
          <w:color w:val="000000" w:themeColor="text1"/>
          <w:kern w:val="0"/>
          <w:sz w:val="22"/>
          <w:szCs w:val="22"/>
        </w:rPr>
        <w:t xml:space="preserve"> and quantified using petro-physical attribute.</w:t>
      </w:r>
    </w:p>
    <w:p w:rsidR="00CA48FB" w:rsidRPr="00CA48FB" w:rsidRDefault="00CA48FB" w:rsidP="002A5438">
      <w:pPr>
        <w:pStyle w:val="FECUThesisBodyText"/>
        <w:spacing w:after="120"/>
        <w:rPr>
          <w:rFonts w:asciiTheme="minorBidi" w:eastAsiaTheme="minorHAnsi" w:hAnsiTheme="minorBidi" w:cstheme="minorBidi"/>
          <w:color w:val="000000" w:themeColor="text1"/>
          <w:kern w:val="0"/>
          <w:sz w:val="22"/>
          <w:szCs w:val="22"/>
        </w:rPr>
      </w:pPr>
      <w:proofErr w:type="gramStart"/>
      <w:r w:rsidRPr="00CA48FB">
        <w:rPr>
          <w:rFonts w:asciiTheme="minorBidi" w:eastAsiaTheme="minorHAnsi" w:hAnsiTheme="minorBidi" w:cstheme="minorBidi"/>
          <w:color w:val="000000" w:themeColor="text1"/>
          <w:kern w:val="0"/>
          <w:sz w:val="22"/>
          <w:szCs w:val="22"/>
        </w:rPr>
        <w:t>As a result</w:t>
      </w:r>
      <w:proofErr w:type="gramEnd"/>
      <w:r w:rsidRPr="00CA48FB">
        <w:rPr>
          <w:rFonts w:asciiTheme="minorBidi" w:eastAsiaTheme="minorHAnsi" w:hAnsiTheme="minorBidi" w:cstheme="minorBidi"/>
          <w:color w:val="000000" w:themeColor="text1"/>
          <w:kern w:val="0"/>
          <w:sz w:val="22"/>
          <w:szCs w:val="22"/>
        </w:rPr>
        <w:t xml:space="preserve"> of this introduced study, the Belayiem reservoir was proven to have a LRP zones with a laminated inter-bedded sand shale laminations, new water saturation estimation</w:t>
      </w:r>
      <w:r w:rsidR="002A5438">
        <w:rPr>
          <w:rFonts w:asciiTheme="minorBidi" w:eastAsiaTheme="minorHAnsi" w:hAnsiTheme="minorBidi" w:cstheme="minorBidi"/>
          <w:color w:val="000000" w:themeColor="text1"/>
          <w:kern w:val="0"/>
          <w:sz w:val="22"/>
          <w:szCs w:val="22"/>
        </w:rPr>
        <w:t xml:space="preserve"> was calculated</w:t>
      </w:r>
      <w:r w:rsidRPr="00CA48FB">
        <w:rPr>
          <w:rFonts w:asciiTheme="minorBidi" w:eastAsiaTheme="minorHAnsi" w:hAnsiTheme="minorBidi" w:cstheme="minorBidi"/>
          <w:color w:val="000000" w:themeColor="text1"/>
          <w:kern w:val="0"/>
          <w:sz w:val="22"/>
          <w:szCs w:val="22"/>
        </w:rPr>
        <w:t>, which matched with the production well head sampling analysis results. The introduced approach has a proved the ability to identify LRP zones and can further provide interpretation t</w:t>
      </w:r>
      <w:bookmarkStart w:id="0" w:name="_GoBack"/>
      <w:bookmarkEnd w:id="0"/>
      <w:r w:rsidRPr="00CA48FB">
        <w:rPr>
          <w:rFonts w:asciiTheme="minorBidi" w:eastAsiaTheme="minorHAnsi" w:hAnsiTheme="minorBidi" w:cstheme="minorBidi"/>
          <w:color w:val="000000" w:themeColor="text1"/>
          <w:kern w:val="0"/>
          <w:sz w:val="22"/>
          <w:szCs w:val="22"/>
        </w:rPr>
        <w:t>echnique.</w:t>
      </w:r>
    </w:p>
    <w:sectPr w:rsidR="00CA48FB" w:rsidRPr="00CA48FB" w:rsidSect="00E145D4">
      <w:pgSz w:w="12240" w:h="15840"/>
      <w:pgMar w:top="99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6E6"/>
    <w:rsid w:val="002A5438"/>
    <w:rsid w:val="00BC2FF7"/>
    <w:rsid w:val="00CA48FB"/>
    <w:rsid w:val="00E145D4"/>
    <w:rsid w:val="00EE56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0974D-4339-461B-A6B3-E02EBDC9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CUThesisBodyText">
    <w:name w:val="FECU Thesis Body Text"/>
    <w:basedOn w:val="Normal"/>
    <w:link w:val="FECUThesisBodyTextChar"/>
    <w:qFormat/>
    <w:rsid w:val="00CA48FB"/>
    <w:pPr>
      <w:autoSpaceDE w:val="0"/>
      <w:autoSpaceDN w:val="0"/>
      <w:adjustRightInd w:val="0"/>
      <w:spacing w:after="0" w:line="240" w:lineRule="auto"/>
      <w:ind w:firstLine="426"/>
      <w:jc w:val="lowKashida"/>
    </w:pPr>
    <w:rPr>
      <w:rFonts w:asciiTheme="majorBidi" w:eastAsia="Times New Roman" w:hAnsiTheme="majorBidi" w:cstheme="majorBidi"/>
      <w:kern w:val="32"/>
      <w:sz w:val="24"/>
      <w:szCs w:val="24"/>
    </w:rPr>
  </w:style>
  <w:style w:type="character" w:customStyle="1" w:styleId="FECUThesisBodyTextChar">
    <w:name w:val="FECU Thesis Body Text Char"/>
    <w:basedOn w:val="DefaultParagraphFont"/>
    <w:link w:val="FECUThesisBodyText"/>
    <w:rsid w:val="00CA48FB"/>
    <w:rPr>
      <w:rFonts w:asciiTheme="majorBidi" w:eastAsia="Times New Roman" w:hAnsiTheme="majorBidi" w:cstheme="majorBidi"/>
      <w:kern w:val="3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GUPCO</Company>
  <LinksUpToDate>false</LinksUpToDate>
  <CharactersWithSpaces>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El-Hadidy, Abdelrahman M</dc:creator>
  <cp:keywords/>
  <dc:description/>
  <cp:lastModifiedBy>El-Hadidy, Abdelrahman M</cp:lastModifiedBy>
  <cp:revision>5</cp:revision>
  <dcterms:created xsi:type="dcterms:W3CDTF">2019-01-09T09:30:00Z</dcterms:created>
  <dcterms:modified xsi:type="dcterms:W3CDTF">2019-01-09T09:44:00Z</dcterms:modified>
</cp:coreProperties>
</file>