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1BB3" w:rsidRPr="00D969CA" w:rsidRDefault="00D969CA">
      <w:pPr>
        <w:spacing w:after="0" w:line="240" w:lineRule="auto"/>
        <w:ind w:left="-851"/>
        <w:jc w:val="both"/>
        <w:rPr>
          <w:rFonts w:ascii="Arial" w:eastAsia="Arial" w:hAnsi="Arial" w:cs="Arial"/>
          <w:lang w:val="en-US"/>
        </w:rPr>
      </w:pPr>
      <w:r w:rsidRPr="00D969CA">
        <w:rPr>
          <w:rFonts w:ascii="Times New Roman" w:eastAsia="Times New Roman" w:hAnsi="Times New Roman" w:cs="Times New Roman"/>
          <w:b/>
          <w:color w:val="000000"/>
          <w:sz w:val="40"/>
          <w:lang w:val="en-US"/>
        </w:rPr>
        <w:t>Interest of lymphoblastic transformation tests in the diagnosis of immune deficiencies</w:t>
      </w:r>
    </w:p>
    <w:p w:rsidR="006F1BB3" w:rsidRPr="00D969CA" w:rsidRDefault="006F1BB3">
      <w:pPr>
        <w:spacing w:after="0" w:line="240" w:lineRule="auto"/>
        <w:ind w:left="-851"/>
        <w:jc w:val="both"/>
        <w:rPr>
          <w:rFonts w:ascii="Arial" w:eastAsia="Arial" w:hAnsi="Arial" w:cs="Arial"/>
          <w:lang w:val="en-US"/>
        </w:rPr>
      </w:pPr>
    </w:p>
    <w:p w:rsidR="006F1BB3" w:rsidRPr="00D969CA" w:rsidRDefault="007238D0" w:rsidP="007238D0">
      <w:pPr>
        <w:spacing w:after="0" w:line="240" w:lineRule="auto"/>
        <w:ind w:left="-851"/>
        <w:jc w:val="both"/>
        <w:rPr>
          <w:rFonts w:ascii="Arial" w:eastAsia="Arial" w:hAnsi="Arial" w:cs="Arial"/>
          <w:lang w:val="en-US"/>
        </w:rPr>
      </w:pPr>
      <w:r>
        <w:rPr>
          <w:rFonts w:ascii="Arial" w:eastAsia="Arial" w:hAnsi="Arial" w:cs="Arial"/>
          <w:b/>
        </w:rPr>
        <w:t xml:space="preserve">Auteur : </w:t>
      </w:r>
      <w:proofErr w:type="spellStart"/>
      <w:r w:rsidR="00747D22" w:rsidRPr="00D969CA">
        <w:rPr>
          <w:rFonts w:ascii="Arial" w:eastAsia="Arial" w:hAnsi="Arial" w:cs="Arial"/>
          <w:b/>
          <w:lang w:val="en-US"/>
        </w:rPr>
        <w:t>Soukaina</w:t>
      </w:r>
      <w:proofErr w:type="spellEnd"/>
      <w:r w:rsidR="00747D22" w:rsidRPr="00D969CA">
        <w:rPr>
          <w:rFonts w:ascii="Arial" w:eastAsia="Arial" w:hAnsi="Arial" w:cs="Arial"/>
          <w:b/>
          <w:lang w:val="en-US"/>
        </w:rPr>
        <w:t xml:space="preserve"> Lagzoum</w:t>
      </w:r>
      <w:r w:rsidR="00747D22" w:rsidRPr="00D969CA">
        <w:rPr>
          <w:rFonts w:ascii="Arial" w:eastAsia="Arial" w:hAnsi="Arial" w:cs="Arial"/>
          <w:b/>
          <w:vertAlign w:val="superscript"/>
          <w:lang w:val="en-US"/>
        </w:rPr>
        <w:t>1</w:t>
      </w:r>
      <w:r w:rsidR="00747D22" w:rsidRPr="00D969CA">
        <w:rPr>
          <w:rFonts w:ascii="Arial" w:eastAsia="Arial" w:hAnsi="Arial" w:cs="Arial"/>
          <w:vertAlign w:val="superscript"/>
          <w:lang w:val="en-US"/>
        </w:rPr>
        <w:t xml:space="preserve">  </w:t>
      </w:r>
      <w:r w:rsidR="00747D22" w:rsidRPr="00D969CA">
        <w:rPr>
          <w:rFonts w:ascii="Arial" w:eastAsia="Arial" w:hAnsi="Arial" w:cs="Arial"/>
          <w:lang w:val="en-US"/>
        </w:rPr>
        <w:t xml:space="preserve"> ,   </w:t>
      </w:r>
    </w:p>
    <w:p w:rsidR="006F1BB3" w:rsidRPr="00D969CA" w:rsidRDefault="006F1BB3">
      <w:pPr>
        <w:spacing w:after="0" w:line="240" w:lineRule="auto"/>
        <w:ind w:left="-1134" w:right="-567"/>
        <w:jc w:val="both"/>
        <w:rPr>
          <w:rFonts w:ascii="Arial" w:eastAsia="Arial" w:hAnsi="Arial" w:cs="Arial"/>
          <w:lang w:val="en-US"/>
        </w:rPr>
      </w:pPr>
    </w:p>
    <w:p w:rsidR="006F1BB3" w:rsidRDefault="00747D22" w:rsidP="007238D0">
      <w:pPr>
        <w:spacing w:after="0" w:line="240" w:lineRule="auto"/>
        <w:ind w:left="-1134" w:right="-567"/>
        <w:jc w:val="both"/>
        <w:rPr>
          <w:rFonts w:ascii="Arial" w:eastAsia="Arial" w:hAnsi="Arial" w:cs="Arial"/>
          <w:i/>
        </w:rPr>
      </w:pPr>
      <w:r>
        <w:rPr>
          <w:rFonts w:ascii="Arial" w:eastAsia="Arial" w:hAnsi="Arial" w:cs="Arial"/>
          <w:i/>
        </w:rPr>
        <w:t xml:space="preserve">1- </w:t>
      </w:r>
      <w:proofErr w:type="spellStart"/>
      <w:r w:rsidR="007238D0" w:rsidRPr="007238D0">
        <w:rPr>
          <w:rFonts w:ascii="Arial" w:eastAsia="Arial" w:hAnsi="Arial" w:cs="Arial"/>
          <w:i/>
        </w:rPr>
        <w:t>graduated</w:t>
      </w:r>
      <w:proofErr w:type="spellEnd"/>
      <w:r w:rsidR="007238D0" w:rsidRPr="007238D0">
        <w:rPr>
          <w:rFonts w:ascii="Arial" w:eastAsia="Arial" w:hAnsi="Arial" w:cs="Arial"/>
          <w:i/>
        </w:rPr>
        <w:t xml:space="preserve"> in </w:t>
      </w:r>
      <w:proofErr w:type="spellStart"/>
      <w:r w:rsidR="007238D0" w:rsidRPr="007238D0">
        <w:rPr>
          <w:rFonts w:ascii="Arial" w:eastAsia="Arial" w:hAnsi="Arial" w:cs="Arial"/>
          <w:i/>
        </w:rPr>
        <w:t>Research</w:t>
      </w:r>
      <w:proofErr w:type="spellEnd"/>
      <w:r w:rsidR="007238D0" w:rsidRPr="007238D0">
        <w:rPr>
          <w:rFonts w:ascii="Arial" w:eastAsia="Arial" w:hAnsi="Arial" w:cs="Arial"/>
          <w:i/>
        </w:rPr>
        <w:t xml:space="preserve"> </w:t>
      </w:r>
      <w:proofErr w:type="gramStart"/>
      <w:r w:rsidR="007238D0" w:rsidRPr="007238D0">
        <w:rPr>
          <w:rFonts w:ascii="Arial" w:eastAsia="Arial" w:hAnsi="Arial" w:cs="Arial"/>
          <w:i/>
        </w:rPr>
        <w:t xml:space="preserve">Master </w:t>
      </w:r>
      <w:r w:rsidR="007238D0">
        <w:rPr>
          <w:rFonts w:ascii="Arial" w:eastAsia="Arial" w:hAnsi="Arial" w:cs="Arial"/>
          <w:i/>
        </w:rPr>
        <w:t>,</w:t>
      </w:r>
      <w:proofErr w:type="spellStart"/>
      <w:proofErr w:type="gramEnd"/>
      <w:r w:rsidR="007238D0">
        <w:rPr>
          <w:rFonts w:ascii="Arial" w:eastAsia="Arial" w:hAnsi="Arial" w:cs="Arial"/>
          <w:i/>
        </w:rPr>
        <w:t>Spéciality</w:t>
      </w:r>
      <w:proofErr w:type="spellEnd"/>
      <w:r>
        <w:rPr>
          <w:rFonts w:ascii="Arial" w:eastAsia="Arial" w:hAnsi="Arial" w:cs="Arial"/>
          <w:i/>
        </w:rPr>
        <w:t xml:space="preserve"> : immunité, infection   , inflammation </w:t>
      </w:r>
    </w:p>
    <w:p w:rsidR="006F1BB3" w:rsidRDefault="00747D22">
      <w:pPr>
        <w:spacing w:after="0" w:line="240" w:lineRule="auto"/>
        <w:ind w:left="-1134" w:right="-56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De </w:t>
      </w:r>
      <w:proofErr w:type="gramStart"/>
      <w:r>
        <w:rPr>
          <w:rFonts w:ascii="Arial" w:eastAsia="Arial" w:hAnsi="Arial" w:cs="Arial"/>
        </w:rPr>
        <w:t>l’ Université</w:t>
      </w:r>
      <w:proofErr w:type="gramEnd"/>
      <w:r>
        <w:rPr>
          <w:rFonts w:ascii="Arial" w:eastAsia="Arial" w:hAnsi="Arial" w:cs="Arial"/>
        </w:rPr>
        <w:t xml:space="preserve"> Mohammed VI des Sciences de la Santé   , Laboratoire National de Référence, Casablanca </w:t>
      </w:r>
    </w:p>
    <w:p w:rsidR="006F1BB3" w:rsidRDefault="006F1BB3">
      <w:pPr>
        <w:spacing w:after="0" w:line="240" w:lineRule="auto"/>
        <w:ind w:left="-1134" w:right="-567"/>
        <w:jc w:val="both"/>
        <w:rPr>
          <w:rFonts w:ascii="Arial" w:eastAsia="Arial" w:hAnsi="Arial" w:cs="Arial"/>
        </w:rPr>
      </w:pPr>
    </w:p>
    <w:p w:rsidR="006F1BB3" w:rsidRPr="00D969CA" w:rsidRDefault="007238D0">
      <w:pPr>
        <w:spacing w:after="0" w:line="240" w:lineRule="auto"/>
        <w:ind w:left="-993"/>
        <w:jc w:val="both"/>
        <w:rPr>
          <w:rFonts w:ascii="Calibri" w:eastAsia="Calibri" w:hAnsi="Calibri" w:cs="Calibri"/>
          <w:b/>
          <w:sz w:val="32"/>
          <w:u w:val="single"/>
          <w:lang w:val="en-US"/>
        </w:rPr>
      </w:pPr>
      <w:r>
        <w:rPr>
          <w:rFonts w:ascii="Calibri" w:eastAsia="Calibri" w:hAnsi="Calibri" w:cs="Calibri"/>
          <w:b/>
          <w:sz w:val="32"/>
          <w:u w:val="single"/>
          <w:lang w:val="en-US"/>
        </w:rPr>
        <w:t>Abstract:</w:t>
      </w:r>
    </w:p>
    <w:p w:rsidR="006F1BB3" w:rsidRPr="00D969CA" w:rsidRDefault="006F1BB3">
      <w:pPr>
        <w:spacing w:after="0" w:line="240" w:lineRule="auto"/>
        <w:jc w:val="both"/>
        <w:rPr>
          <w:rFonts w:ascii="Arial" w:eastAsia="Arial" w:hAnsi="Arial" w:cs="Arial"/>
          <w:sz w:val="24"/>
          <w:lang w:val="en-US"/>
        </w:rPr>
      </w:pPr>
    </w:p>
    <w:p w:rsidR="00D969CA" w:rsidRPr="00D969CA" w:rsidRDefault="00D969CA" w:rsidP="00D969CA">
      <w:pPr>
        <w:spacing w:after="0" w:line="240" w:lineRule="auto"/>
        <w:ind w:left="-993" w:hanging="1"/>
        <w:jc w:val="both"/>
        <w:rPr>
          <w:rFonts w:ascii="Calibri" w:eastAsia="Calibri" w:hAnsi="Calibri" w:cs="Calibri"/>
          <w:sz w:val="24"/>
          <w:lang w:val="en-US"/>
        </w:rPr>
      </w:pPr>
      <w:r w:rsidRPr="00D969CA">
        <w:rPr>
          <w:rFonts w:ascii="Calibri" w:eastAsia="Calibri" w:hAnsi="Calibri" w:cs="Calibri"/>
          <w:sz w:val="24"/>
          <w:lang w:val="en-US"/>
        </w:rPr>
        <w:t xml:space="preserve">Lymphocyte proliferation assays allow in vitro evaluation of T cell responsiveness in response to nonspecific stimulation (without prior immunization) by cell division-inducing </w:t>
      </w:r>
      <w:proofErr w:type="spellStart"/>
      <w:r w:rsidRPr="00D969CA">
        <w:rPr>
          <w:rFonts w:ascii="Calibri" w:eastAsia="Calibri" w:hAnsi="Calibri" w:cs="Calibri"/>
          <w:sz w:val="24"/>
          <w:lang w:val="en-US"/>
        </w:rPr>
        <w:t>mitogens</w:t>
      </w:r>
      <w:proofErr w:type="spellEnd"/>
      <w:r w:rsidRPr="00D969CA">
        <w:rPr>
          <w:rFonts w:ascii="Calibri" w:eastAsia="Calibri" w:hAnsi="Calibri" w:cs="Calibri"/>
          <w:sz w:val="24"/>
          <w:lang w:val="en-US"/>
        </w:rPr>
        <w:t xml:space="preserve"> (PHA, OKT3, PMA, </w:t>
      </w:r>
      <w:proofErr w:type="spellStart"/>
      <w:r w:rsidRPr="00D969CA">
        <w:rPr>
          <w:rFonts w:ascii="Calibri" w:eastAsia="Calibri" w:hAnsi="Calibri" w:cs="Calibri"/>
          <w:sz w:val="24"/>
          <w:lang w:val="en-US"/>
        </w:rPr>
        <w:t>Ionomycin</w:t>
      </w:r>
      <w:proofErr w:type="spellEnd"/>
      <w:r w:rsidRPr="00D969CA">
        <w:rPr>
          <w:rFonts w:ascii="Calibri" w:eastAsia="Calibri" w:hAnsi="Calibri" w:cs="Calibri"/>
          <w:sz w:val="24"/>
          <w:lang w:val="en-US"/>
        </w:rPr>
        <w:t>), as well as their ability to develop a specific T-cell response against a bacterial, fungal, viral or parasitic antigen against which the patient was previously exposed by vaccination (within 2 years preceding the test) or infection.</w:t>
      </w:r>
    </w:p>
    <w:p w:rsidR="00D969CA" w:rsidRPr="00D969CA" w:rsidRDefault="00D969CA" w:rsidP="00D969CA">
      <w:pPr>
        <w:spacing w:after="0" w:line="240" w:lineRule="auto"/>
        <w:ind w:left="-993" w:hanging="1"/>
        <w:jc w:val="both"/>
        <w:rPr>
          <w:rFonts w:ascii="Calibri" w:eastAsia="Calibri" w:hAnsi="Calibri" w:cs="Calibri"/>
          <w:sz w:val="24"/>
          <w:lang w:val="en-US"/>
        </w:rPr>
      </w:pPr>
      <w:r w:rsidRPr="00D969CA">
        <w:rPr>
          <w:rFonts w:ascii="Calibri" w:eastAsia="Calibri" w:hAnsi="Calibri" w:cs="Calibri"/>
          <w:sz w:val="24"/>
          <w:lang w:val="en-US"/>
        </w:rPr>
        <w:t> </w:t>
      </w:r>
    </w:p>
    <w:p w:rsidR="00D969CA" w:rsidRDefault="00D969CA" w:rsidP="00D969CA">
      <w:pPr>
        <w:spacing w:after="0" w:line="240" w:lineRule="auto"/>
        <w:ind w:left="-993" w:hanging="1"/>
        <w:jc w:val="both"/>
        <w:rPr>
          <w:rFonts w:ascii="Calibri" w:eastAsia="Calibri" w:hAnsi="Calibri" w:cs="Calibri"/>
          <w:sz w:val="24"/>
          <w:lang w:val="en-US"/>
        </w:rPr>
      </w:pPr>
      <w:r w:rsidRPr="00D969CA">
        <w:rPr>
          <w:rFonts w:ascii="Calibri" w:eastAsia="Calibri" w:hAnsi="Calibri" w:cs="Calibri"/>
          <w:sz w:val="24"/>
          <w:lang w:val="en-US"/>
        </w:rPr>
        <w:t xml:space="preserve">These tests are indicated when we discover a T </w:t>
      </w:r>
      <w:proofErr w:type="spellStart"/>
      <w:r w:rsidRPr="00D969CA">
        <w:rPr>
          <w:rFonts w:ascii="Calibri" w:eastAsia="Calibri" w:hAnsi="Calibri" w:cs="Calibri"/>
          <w:sz w:val="24"/>
          <w:lang w:val="en-US"/>
        </w:rPr>
        <w:t>lymphopenia</w:t>
      </w:r>
      <w:proofErr w:type="spellEnd"/>
      <w:r w:rsidRPr="00D969CA">
        <w:rPr>
          <w:rFonts w:ascii="Calibri" w:eastAsia="Calibri" w:hAnsi="Calibri" w:cs="Calibri"/>
          <w:sz w:val="24"/>
          <w:lang w:val="en-US"/>
        </w:rPr>
        <w:t xml:space="preserve"> and / or in a patient with severe infection (s) suggestive of a T-immune deficiency for which the study of the lymphocyte phenotype excludes the diagnosis of Known pathology (SCID, deficiency in HLA II ...).</w:t>
      </w:r>
    </w:p>
    <w:p w:rsidR="00D969CA" w:rsidRPr="00D969CA" w:rsidRDefault="00D969CA" w:rsidP="00D969CA">
      <w:pPr>
        <w:spacing w:after="0" w:line="240" w:lineRule="auto"/>
        <w:ind w:left="-993" w:hanging="1"/>
        <w:jc w:val="both"/>
        <w:rPr>
          <w:rFonts w:ascii="Calibri" w:eastAsia="Calibri" w:hAnsi="Calibri" w:cs="Calibri"/>
          <w:sz w:val="24"/>
          <w:lang w:val="en-US"/>
        </w:rPr>
      </w:pPr>
    </w:p>
    <w:p w:rsidR="006F1BB3" w:rsidRPr="00D969CA" w:rsidRDefault="00D969CA" w:rsidP="00D969CA">
      <w:pPr>
        <w:spacing w:after="0" w:line="240" w:lineRule="auto"/>
        <w:ind w:left="-993" w:hanging="1"/>
        <w:jc w:val="both"/>
        <w:rPr>
          <w:rFonts w:ascii="Calibri" w:eastAsia="Calibri" w:hAnsi="Calibri" w:cs="Calibri"/>
          <w:sz w:val="24"/>
          <w:lang w:val="en-US"/>
        </w:rPr>
      </w:pPr>
      <w:proofErr w:type="gramStart"/>
      <w:r w:rsidRPr="00D969CA">
        <w:rPr>
          <w:rFonts w:ascii="Calibri" w:eastAsia="Calibri" w:hAnsi="Calibri" w:cs="Calibri"/>
          <w:sz w:val="24"/>
          <w:lang w:val="en-US"/>
        </w:rPr>
        <w:t>we</w:t>
      </w:r>
      <w:proofErr w:type="gramEnd"/>
      <w:r w:rsidRPr="00D969CA">
        <w:rPr>
          <w:rFonts w:ascii="Calibri" w:eastAsia="Calibri" w:hAnsi="Calibri" w:cs="Calibri"/>
          <w:sz w:val="24"/>
          <w:lang w:val="en-US"/>
        </w:rPr>
        <w:t xml:space="preserve"> report in this work the contribution of the functional tests which are considered at the moment as a primordial tool in the diagnosis of the primitive immune deficits and more precisely in the case of combined </w:t>
      </w:r>
      <w:proofErr w:type="spellStart"/>
      <w:r w:rsidRPr="00D969CA">
        <w:rPr>
          <w:rFonts w:ascii="Calibri" w:eastAsia="Calibri" w:hAnsi="Calibri" w:cs="Calibri"/>
          <w:sz w:val="24"/>
          <w:lang w:val="en-US"/>
        </w:rPr>
        <w:t>immunodeficiencies</w:t>
      </w:r>
      <w:proofErr w:type="spellEnd"/>
      <w:r w:rsidRPr="00D969CA">
        <w:rPr>
          <w:rFonts w:ascii="Calibri" w:eastAsia="Calibri" w:hAnsi="Calibri" w:cs="Calibri"/>
          <w:sz w:val="24"/>
          <w:lang w:val="en-US"/>
        </w:rPr>
        <w:t xml:space="preserve"> to confirm the </w:t>
      </w:r>
      <w:proofErr w:type="spellStart"/>
      <w:r w:rsidRPr="00D969CA">
        <w:rPr>
          <w:rFonts w:ascii="Calibri" w:eastAsia="Calibri" w:hAnsi="Calibri" w:cs="Calibri"/>
          <w:sz w:val="24"/>
          <w:lang w:val="en-US"/>
        </w:rPr>
        <w:t>nonfunctionality</w:t>
      </w:r>
      <w:proofErr w:type="spellEnd"/>
      <w:r w:rsidRPr="00D969CA">
        <w:rPr>
          <w:rFonts w:ascii="Calibri" w:eastAsia="Calibri" w:hAnsi="Calibri" w:cs="Calibri"/>
          <w:sz w:val="24"/>
          <w:lang w:val="en-US"/>
        </w:rPr>
        <w:t xml:space="preserve"> of these lymphocytes.</w:t>
      </w:r>
    </w:p>
    <w:sectPr w:rsidR="006F1BB3" w:rsidRPr="00D969CA" w:rsidSect="006B4C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>
    <w:useFELayout/>
  </w:compat>
  <w:rsids>
    <w:rsidRoot w:val="006F1BB3"/>
    <w:rsid w:val="00377048"/>
    <w:rsid w:val="006B4CED"/>
    <w:rsid w:val="006F1BB3"/>
    <w:rsid w:val="007238D0"/>
    <w:rsid w:val="00747D22"/>
    <w:rsid w:val="00885564"/>
    <w:rsid w:val="00D969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4CED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204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abdelilah bakri</dc:creator>
  <cp:lastModifiedBy>pc</cp:lastModifiedBy>
  <cp:revision>5</cp:revision>
  <dcterms:created xsi:type="dcterms:W3CDTF">2017-03-15T17:31:00Z</dcterms:created>
  <dcterms:modified xsi:type="dcterms:W3CDTF">2017-09-27T20:30:00Z</dcterms:modified>
</cp:coreProperties>
</file>