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jc w:val="center"/>
        <w:rPr>
          <w:rFonts w:ascii="Times New Roman" w:cs="Times New Roman" w:hAnsi="Times New Roman"/>
          <w:b/>
          <w:sz w:val="28"/>
          <w:szCs w:val="28"/>
        </w:rPr>
      </w:pPr>
      <w:r>
        <w:rPr>
          <w:rFonts w:ascii="Times New Roman" w:cs="Times New Roman" w:hAnsi="Times New Roman"/>
          <w:b/>
          <w:sz w:val="28"/>
          <w:szCs w:val="28"/>
        </w:rPr>
        <w:t xml:space="preserve">Abstract </w:t>
      </w:r>
      <w:r>
        <w:rPr>
          <w:rFonts w:ascii="Times New Roman" w:cs="Times New Roman" w:hAnsi="Times New Roman"/>
          <w:b/>
          <w:sz w:val="28"/>
          <w:szCs w:val="28"/>
        </w:rPr>
        <w:t>Title</w:t>
      </w:r>
      <w:r>
        <w:rPr>
          <w:rFonts w:ascii="Times New Roman" w:cs="Times New Roman" w:hAnsi="Times New Roman"/>
          <w:b/>
          <w:sz w:val="28"/>
          <w:szCs w:val="28"/>
        </w:rPr>
        <w:t xml:space="preserve">: </w:t>
      </w:r>
      <w:r>
        <w:rPr>
          <w:rFonts w:ascii="Times New Roman" w:cs="Times New Roman" w:hAnsi="Times New Roman"/>
          <w:b/>
          <w:sz w:val="28"/>
          <w:szCs w:val="28"/>
          <w:lang w:val="en-US"/>
        </w:rPr>
        <w:t>Clinical Features, Prognosis, and Treatment Outcomes of Diphtheria in Children: A Retrospective Cohort Study at Children’s Hospital, Sukkur</w:t>
      </w:r>
    </w:p>
    <w:p>
      <w:pPr>
        <w:pStyle w:val="style0"/>
        <w:rPr>
          <w:rFonts w:ascii="Times New Roman" w:cs="Times New Roman" w:hAnsi="Times New Roman"/>
          <w:sz w:val="24"/>
        </w:rPr>
      </w:pPr>
      <w:r>
        <w:rPr>
          <w:rFonts w:ascii="Times New Roman" w:cs="Times New Roman" w:hAnsi="Times New Roman"/>
          <w:sz w:val="24"/>
        </w:rPr>
        <w:t>Presenter* and Co-author names</w:t>
      </w:r>
      <w:r>
        <w:rPr>
          <w:rFonts w:ascii="Times New Roman" w:cs="Times New Roman" w:hAnsi="Times New Roman"/>
          <w:sz w:val="24"/>
          <w:lang w:val="en-US"/>
        </w:rPr>
        <w:t>: Waqar Ahmed¹*, Fareeda Bhanbhro</w:t>
      </w:r>
      <w:r>
        <w:rPr>
          <w:rFonts w:ascii="Times New Roman" w:cs="Times New Roman" w:hAnsi="Times New Roman"/>
          <w:sz w:val="24"/>
          <w:lang w:val="en-GB"/>
        </w:rPr>
        <w:t>²</w:t>
      </w:r>
      <w:r>
        <w:rPr>
          <w:rFonts w:ascii="Times New Roman" w:cs="Times New Roman" w:hAnsi="Times New Roman"/>
          <w:sz w:val="24"/>
          <w:lang w:val="en-US"/>
        </w:rPr>
        <w:t>, Fatima Memon</w:t>
      </w:r>
      <w:r>
        <w:rPr>
          <w:rFonts w:ascii="Times New Roman" w:cs="Times New Roman" w:hAnsi="Times New Roman"/>
          <w:sz w:val="24"/>
          <w:lang w:val="en-GB"/>
        </w:rPr>
        <w:t>³</w:t>
      </w:r>
      <w:r>
        <w:rPr>
          <w:rFonts w:ascii="Times New Roman" w:cs="Times New Roman" w:hAnsi="Times New Roman"/>
          <w:sz w:val="24"/>
          <w:lang w:val="en-US"/>
        </w:rPr>
        <w:t>, Sheeraz Ahmed</w:t>
      </w:r>
      <w:r>
        <w:rPr>
          <w:rFonts w:ascii="Times New Roman" w:cs="Times New Roman" w:hAnsi="Times New Roman"/>
          <w:sz w:val="24"/>
          <w:lang w:val="en-GB"/>
        </w:rPr>
        <w:t>²</w:t>
      </w:r>
      <w:r>
        <w:rPr>
          <w:rFonts w:ascii="Times New Roman" w:cs="Times New Roman" w:hAnsi="Times New Roman"/>
          <w:sz w:val="24"/>
          <w:lang w:val="en-US"/>
        </w:rPr>
        <w:t>, Sajid Ali</w:t>
      </w:r>
      <w:r>
        <w:rPr>
          <w:rFonts w:ascii="Times New Roman" w:cs="Times New Roman" w:hAnsi="Times New Roman"/>
          <w:sz w:val="24"/>
          <w:lang w:val="en-GB"/>
        </w:rPr>
        <w:t>⁵</w:t>
      </w:r>
      <w:r>
        <w:rPr>
          <w:rFonts w:ascii="Times New Roman" w:cs="Times New Roman" w:hAnsi="Times New Roman"/>
          <w:sz w:val="24"/>
          <w:lang w:val="en-US"/>
        </w:rPr>
        <w:t>, Israr Ahmed</w:t>
      </w:r>
      <w:r>
        <w:rPr>
          <w:rFonts w:ascii="Times New Roman" w:cs="Times New Roman" w:hAnsi="Times New Roman"/>
          <w:sz w:val="24"/>
          <w:lang w:val="en-GB"/>
        </w:rPr>
        <w:t>⁶</w:t>
      </w:r>
      <w:r>
        <w:rPr>
          <w:rFonts w:ascii="Times New Roman" w:cs="Times New Roman" w:hAnsi="Times New Roman"/>
          <w:sz w:val="24"/>
          <w:lang w:val="en-US"/>
        </w:rPr>
        <w:t>, Muhammad Zubair</w:t>
      </w:r>
      <w:r>
        <w:rPr>
          <w:rFonts w:ascii="Times New Roman" w:cs="Times New Roman" w:hAnsi="Times New Roman"/>
          <w:sz w:val="24"/>
          <w:lang w:val="en-GB"/>
        </w:rPr>
        <w:t>⁵</w:t>
      </w:r>
      <w:r>
        <w:rPr>
          <w:rFonts w:ascii="Times New Roman" w:cs="Times New Roman" w:hAnsi="Times New Roman"/>
          <w:sz w:val="24"/>
          <w:lang w:val="en-US"/>
        </w:rPr>
        <w:t>, Sanam Dayo</w:t>
      </w:r>
      <w:r>
        <w:rPr>
          <w:rFonts w:ascii="Times New Roman" w:cs="Times New Roman" w:hAnsi="Times New Roman"/>
          <w:sz w:val="24"/>
          <w:lang w:val="en-GB"/>
        </w:rPr>
        <w:t>²</w:t>
      </w:r>
      <w:r>
        <w:rPr>
          <w:rFonts w:ascii="Times New Roman" w:cs="Times New Roman" w:hAnsi="Times New Roman"/>
          <w:sz w:val="24"/>
          <w:lang w:val="en-US"/>
        </w:rPr>
        <w:t>, Arbab Ali</w:t>
      </w:r>
      <w:r>
        <w:rPr>
          <w:rFonts w:ascii="Times New Roman" w:cs="Times New Roman" w:hAnsi="Times New Roman"/>
          <w:sz w:val="24"/>
          <w:lang w:val="en-GB"/>
        </w:rPr>
        <w:t>³</w:t>
      </w:r>
    </w:p>
    <w:p>
      <w:pPr>
        <w:pStyle w:val="style0"/>
        <w:jc w:val="center"/>
        <w:rPr>
          <w:rFonts w:ascii="Times New Roman" w:cs="Times New Roman" w:hAnsi="Times New Roman"/>
          <w:sz w:val="24"/>
        </w:rPr>
      </w:pPr>
      <w:r>
        <w:rPr>
          <w:rFonts w:ascii="Times New Roman" w:cs="Times New Roman" w:hAnsi="Times New Roman"/>
          <w:sz w:val="24"/>
        </w:rPr>
        <w:t>Affiliation</w:t>
      </w:r>
      <w:r>
        <w:rPr>
          <w:rFonts w:ascii="Times New Roman" w:cs="Times New Roman" w:hAnsi="Times New Roman"/>
          <w:sz w:val="24"/>
          <w:lang w:val="en-US"/>
        </w:rPr>
        <w:t>:</w:t>
      </w:r>
      <w:r>
        <w:rPr>
          <w:rFonts w:ascii="Times New Roman" w:cs="Times New Roman" w:hAnsi="Times New Roman"/>
          <w:sz w:val="24"/>
        </w:rPr>
        <w:t xml:space="preserve"> </w:t>
      </w:r>
      <w:r>
        <w:rPr>
          <w:rFonts w:ascii="Times New Roman" w:cs="Times New Roman" w:hAnsi="Times New Roman"/>
          <w:sz w:val="24"/>
          <w:lang w:val="en-US"/>
        </w:rPr>
        <w:t>Sindh Institute of Child Health and Neonatology (SICHN), Children’s Hospital Sukkur, Pakistan</w:t>
      </w:r>
    </w:p>
    <w:p>
      <w:pPr>
        <w:pStyle w:val="style0"/>
        <w:rPr>
          <w:rFonts w:ascii="Times New Roman" w:cs="Times New Roman" w:hAnsi="Times New Roman"/>
          <w:sz w:val="24"/>
        </w:rPr>
      </w:pPr>
      <w:r>
        <w:rPr>
          <w:rFonts w:ascii="Times New Roman" w:cs="Times New Roman" w:hAnsi="Times New Roman"/>
          <w:b/>
          <w:sz w:val="24"/>
        </w:rPr>
        <w:t>Abstract</w:t>
      </w:r>
    </w:p>
    <w:p>
      <w:pPr>
        <w:pStyle w:val="style0"/>
        <w:rPr>
          <w:rFonts w:ascii="Times New Roman" w:cs="Times New Roman" w:hAnsi="Times New Roman"/>
        </w:rPr>
      </w:pPr>
      <w:r>
        <w:rPr>
          <w:rFonts w:ascii="Times New Roman" w:cs="Times New Roman" w:hAnsi="Times New Roman"/>
          <w:lang w:val="en-US"/>
        </w:rPr>
        <w:t>Background:</w:t>
      </w:r>
    </w:p>
    <w:p>
      <w:pPr>
        <w:pStyle w:val="style0"/>
        <w:rPr>
          <w:rFonts w:ascii="Times New Roman" w:cs="Times New Roman" w:hAnsi="Times New Roman"/>
        </w:rPr>
      </w:pPr>
      <w:r>
        <w:rPr>
          <w:rFonts w:ascii="Times New Roman" w:cs="Times New Roman" w:hAnsi="Times New Roman"/>
          <w:lang w:val="en-US"/>
        </w:rPr>
        <w:t>Diphtheria remains an important pediatric health problem in low-resource settings with suboptimal immunization. Despite being vaccine-preventable, outbreaks continue to occur in Pakistan due to delayed recognition, limited availability of diphtheria antitoxin (DAT), and weak public-health systems. Recurrent outbreaks in Sindh, including Sukkur and nearby districts, highlight the need for local data to improve management and prevention.</w:t>
      </w:r>
    </w:p>
    <w:p>
      <w:pPr>
        <w:pStyle w:val="style0"/>
        <w:rPr>
          <w:rFonts w:ascii="Times New Roman" w:cs="Times New Roman" w:hAnsi="Times New Roman"/>
        </w:rPr>
      </w:pPr>
      <w:r>
        <w:rPr>
          <w:rFonts w:ascii="Times New Roman" w:cs="Times New Roman" w:hAnsi="Times New Roman"/>
          <w:lang w:val="en-US"/>
        </w:rPr>
        <w:t>Objective:</w:t>
      </w:r>
    </w:p>
    <w:p>
      <w:pPr>
        <w:pStyle w:val="style0"/>
        <w:rPr>
          <w:rFonts w:ascii="Times New Roman" w:cs="Times New Roman" w:hAnsi="Times New Roman"/>
        </w:rPr>
      </w:pPr>
      <w:r>
        <w:rPr>
          <w:rFonts w:ascii="Times New Roman" w:cs="Times New Roman" w:hAnsi="Times New Roman"/>
          <w:lang w:val="en-US"/>
        </w:rPr>
        <w:t>To describe the clinical profile, complications, and outcomes of pediatric diphtheria and identify predictors of mortality.</w:t>
      </w:r>
    </w:p>
    <w:p>
      <w:pPr>
        <w:pStyle w:val="style0"/>
        <w:rPr>
          <w:rFonts w:ascii="Times New Roman" w:cs="Times New Roman" w:hAnsi="Times New Roman"/>
        </w:rPr>
      </w:pPr>
      <w:r>
        <w:rPr>
          <w:rFonts w:ascii="Times New Roman" w:cs="Times New Roman" w:hAnsi="Times New Roman"/>
          <w:lang w:val="en-US"/>
        </w:rPr>
        <w:t>Methods:</w:t>
      </w:r>
    </w:p>
    <w:p>
      <w:pPr>
        <w:pStyle w:val="style0"/>
        <w:rPr>
          <w:rFonts w:ascii="Times New Roman" w:cs="Times New Roman" w:hAnsi="Times New Roman"/>
        </w:rPr>
      </w:pPr>
      <w:r>
        <w:rPr>
          <w:rFonts w:ascii="Times New Roman" w:cs="Times New Roman" w:hAnsi="Times New Roman"/>
          <w:lang w:val="en-US"/>
        </w:rPr>
        <w:t>We conducted a retrospective cohort study at Children’s Hospital, Sukkur, from 1 September to 30 November 2024. Children aged 0–15 years fulfilling the WHO probable case definition were included. Demographic, clinical, laboratory, vaccination, treatment, and outcome data were analyzed using Chi-square, independent t-test, and binary logistic regression.</w:t>
      </w:r>
    </w:p>
    <w:p>
      <w:pPr>
        <w:pStyle w:val="style0"/>
        <w:rPr>
          <w:rFonts w:ascii="Times New Roman" w:cs="Times New Roman" w:hAnsi="Times New Roman"/>
        </w:rPr>
      </w:pPr>
      <w:r>
        <w:rPr>
          <w:rFonts w:ascii="Times New Roman" w:cs="Times New Roman" w:hAnsi="Times New Roman"/>
          <w:lang w:val="en-US"/>
        </w:rPr>
        <w:t>Results:</w:t>
      </w:r>
    </w:p>
    <w:p>
      <w:pPr>
        <w:pStyle w:val="style0"/>
        <w:rPr>
          <w:rFonts w:ascii="Times New Roman" w:cs="Times New Roman" w:hAnsi="Times New Roman"/>
        </w:rPr>
      </w:pPr>
      <w:r>
        <w:rPr>
          <w:rFonts w:ascii="Times New Roman" w:cs="Times New Roman" w:hAnsi="Times New Roman"/>
          <w:lang w:val="en-US"/>
        </w:rPr>
        <w:t>Forty-five children were included; 53.3% were male and 77.8% were under 10 years. Overall mortality was 42.2% (19/45). Common features included bull neck (82.2%), fever (75.6%), sore throat (75.6%), shortness of breath (66.7%), and pseudomembrane formation (62.2%). Major complications were respiratory failure (48.1%), myocarditis (20.4%), acute kidney injury (27.8%), neuropathy (16.7%), and bleeding (14.8%). Shortness of breath (p=0.047) and pseudomembrane (p=0.030) were associated with mortality. Mean creatinine was higher among nonsurvivors (3.96 vs 0.52 mg/dL; p=0.01). Logistic regression identified elevated creatinine (OR 4.5; p=0.006) and urea (OR 2.8; p=0.03) as independent mortality predictors. Children receiving DAT after five days had higher mortality (75%) and complications (77.8%) than those treated within three days. Only 22.2% were fully vaccinated.</w:t>
      </w:r>
    </w:p>
    <w:p>
      <w:pPr>
        <w:pStyle w:val="style0"/>
        <w:rPr>
          <w:rFonts w:ascii="Times New Roman" w:cs="Times New Roman" w:hAnsi="Times New Roman"/>
        </w:rPr>
      </w:pPr>
      <w:r>
        <w:rPr>
          <w:rFonts w:ascii="Times New Roman" w:cs="Times New Roman" w:hAnsi="Times New Roman"/>
          <w:lang w:val="en-US"/>
        </w:rPr>
        <w:t>Conclusion:</w:t>
      </w:r>
    </w:p>
    <w:p>
      <w:pPr>
        <w:pStyle w:val="style0"/>
        <w:rPr>
          <w:rFonts w:ascii="Times New Roman" w:cs="Times New Roman" w:hAnsi="Times New Roman"/>
        </w:rPr>
      </w:pPr>
      <w:r>
        <w:rPr>
          <w:rFonts w:ascii="Times New Roman" w:cs="Times New Roman" w:hAnsi="Times New Roman"/>
          <w:lang w:val="en-US"/>
        </w:rPr>
        <w:t>Shortness of breath, pseudomembrane, respiratory failure, and renal dysfunction predicted poor outcomes. Early DAT administration and complete immunization are critical to survival. Strengthening surveillance, ensuring rapid DAT access, and improving vaccination coverage are essential for reducing diphtheria morbidity and mortality..</w:t>
      </w:r>
    </w:p>
    <w:p>
      <w:pPr>
        <w:pStyle w:val="style0"/>
        <w:jc w:val="center"/>
        <w:rPr>
          <w:rFonts w:ascii="Times New Roman" w:cs="Times New Roman" w:hAnsi="Times New Roman"/>
        </w:rPr>
      </w:pPr>
    </w:p>
    <w:bookmarkStart w:id="0" w:name="_GoBack"/>
    <w:p>
      <w:pPr>
        <w:pStyle w:val="style0"/>
        <w:rPr>
          <w:rFonts w:ascii="Times New Roman" w:cs="Times New Roman" w:hAnsi="Times New Roman"/>
          <w:b/>
        </w:rPr>
      </w:pPr>
      <w:r>
        <w:rPr/>
        <w:drawing>
          <wp:inline distL="114300" distT="0" distB="0" distR="114300">
            <wp:extent cx="1470831" cy="1824484"/>
            <wp:effectExtent l="0" t="0" r="0" b="0"/>
            <wp:docPr id="1027"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a:blip r:embed="rId2" cstate="print"/>
                    <a:srcRect l="0" t="0" r="0" b="0"/>
                    <a:stretch/>
                  </pic:blipFill>
                  <pic:spPr>
                    <a:xfrm rot="0">
                      <a:off x="0" y="0"/>
                      <a:ext cx="1470831" cy="1824484"/>
                    </a:xfrm>
                    <a:prstGeom prst="rect"/>
                  </pic:spPr>
                </pic:pic>
              </a:graphicData>
            </a:graphic>
          </wp:inline>
        </w:drawing>
      </w:r>
      <w:bookmarkEnd w:id="0"/>
    </w:p>
    <w:p>
      <w:pPr>
        <w:pStyle w:val="style0"/>
        <w:rPr>
          <w:rFonts w:ascii="Times New Roman" w:cs="Times New Roman" w:hAnsi="Times New Roman"/>
          <w:sz w:val="24"/>
        </w:rPr>
      </w:pPr>
      <w:r>
        <w:rPr>
          <w:rFonts w:ascii="Times New Roman" w:cs="Times New Roman" w:hAnsi="Times New Roman"/>
          <w:b w:val="false"/>
          <w:bCs w:val="false"/>
        </w:rPr>
        <w:t xml:space="preserve">Dr. Waqar Ahmed is a pediatrician and infectious diseases consultant at Children’s Hospital, Sukkur. He leads quality-improvement and research initiatives focused on vaccine-preventable diseases, antimicrobial stewardship, and the care of critically ill children. He has coordinated diphtheria outbreak responses, trained pediatric teams on rational antibiotic use, and contributed to audits and multicenter studies. Dr. Ahmed is passionate about strengthening surveillance systems and improving access to lifesaving therapies in resource-limited settings. He has presented his work at local forums and mentors junior doctors in clinical research and evidence-based practice. Outside the hospital, he advocates for childhood immunization and community </w:t>
      </w:r>
      <w:r>
        <w:rPr>
          <w:rFonts w:ascii="Times New Roman" w:cs="Times New Roman" w:hAnsi="Times New Roman"/>
          <w:b w:val="false"/>
          <w:bCs w:val="false"/>
          <w:lang w:val="en-US"/>
        </w:rPr>
        <w:t>education.</w:t>
      </w:r>
    </w:p>
    <w:p>
      <w:pPr>
        <w:pStyle w:val="style0"/>
        <w:autoSpaceDE w:val="false"/>
        <w:autoSpaceDN w:val="false"/>
        <w:adjustRightInd w:val="false"/>
        <w:rPr>
          <w:rFonts w:ascii="Times New Roman" w:cs="Times New Roman" w:hAnsi="Times New Roman"/>
          <w:b/>
          <w:lang w:val="en-NZ"/>
        </w:rPr>
      </w:pPr>
      <w:r>
        <w:rPr>
          <w:rFonts w:ascii="Times New Roman" w:cs="Times New Roman" w:hAnsi="Times New Roman"/>
          <w:b/>
          <w:lang w:val="en-NZ"/>
        </w:rPr>
        <w:t xml:space="preserve"> </w:t>
      </w:r>
    </w:p>
    <w:p>
      <w:pPr>
        <w:pStyle w:val="style0"/>
        <w:autoSpaceDE w:val="false"/>
        <w:autoSpaceDN w:val="false"/>
        <w:adjustRightInd w:val="false"/>
        <w:rPr>
          <w:rFonts w:ascii="Times New Roman" w:cs="Times New Roman" w:hAnsi="Times New Roman"/>
          <w:sz w:val="24"/>
          <w:szCs w:val="24"/>
        </w:rPr>
      </w:pPr>
      <w:r>
        <w:rPr>
          <w:rFonts w:ascii="Times New Roman" w:cs="Times New Roman" w:hAnsi="Times New Roman"/>
          <w:b/>
          <w:sz w:val="24"/>
          <w:szCs w:val="24"/>
          <w:lang w:val="en-NZ"/>
        </w:rPr>
        <w:t xml:space="preserve">Presenting author details </w:t>
      </w:r>
      <w:r>
        <w:rPr>
          <w:rFonts w:ascii="Times New Roman" w:cs="Times New Roman" w:hAnsi="Times New Roman"/>
          <w:b/>
          <w:sz w:val="24"/>
          <w:szCs w:val="24"/>
          <w:lang w:val="en-NZ"/>
        </w:rPr>
        <w:br/>
      </w:r>
      <w:r>
        <w:rPr>
          <w:rFonts w:ascii="Times New Roman" w:cs="Times New Roman" w:hAnsi="Times New Roman"/>
          <w:sz w:val="24"/>
          <w:szCs w:val="24"/>
          <w:lang w:val="en-NZ"/>
        </w:rPr>
        <w:t xml:space="preserve">Full name: </w:t>
      </w:r>
      <w:r>
        <w:rPr>
          <w:rFonts w:ascii="Times New Roman" w:cs="Times New Roman" w:hAnsi="Times New Roman"/>
          <w:sz w:val="24"/>
          <w:szCs w:val="24"/>
          <w:lang w:val="en-US"/>
        </w:rPr>
        <w:t xml:space="preserve">Waqar Ahmed </w:t>
      </w:r>
      <w:r>
        <w:rPr>
          <w:rFonts w:ascii="Times New Roman" w:cs="Times New Roman" w:hAnsi="Times New Roman"/>
          <w:sz w:val="24"/>
          <w:szCs w:val="24"/>
          <w:lang w:val="en-NZ"/>
        </w:rPr>
        <w:br/>
      </w:r>
      <w:r>
        <w:rPr>
          <w:rFonts w:ascii="Times New Roman" w:cs="Times New Roman" w:hAnsi="Times New Roman"/>
          <w:sz w:val="24"/>
          <w:szCs w:val="24"/>
          <w:lang w:val="en-NZ"/>
        </w:rPr>
        <w:t>Conta</w:t>
      </w:r>
      <w:r>
        <w:rPr>
          <w:rFonts w:ascii="Times New Roman" w:cs="Times New Roman" w:hAnsi="Times New Roman"/>
          <w:sz w:val="24"/>
          <w:szCs w:val="24"/>
          <w:lang w:val="en-NZ"/>
        </w:rPr>
        <w:t>ct nu</w:t>
      </w:r>
      <w:r>
        <w:rPr>
          <w:rFonts w:ascii="Times New Roman" w:cs="Times New Roman" w:hAnsi="Times New Roman"/>
          <w:sz w:val="24"/>
          <w:szCs w:val="24"/>
          <w:lang w:val="en-NZ"/>
        </w:rPr>
        <w:t>mber</w:t>
      </w:r>
      <w:r>
        <w:rPr>
          <w:rFonts w:ascii="Times New Roman" w:cs="Times New Roman" w:hAnsi="Times New Roman"/>
          <w:sz w:val="24"/>
          <w:szCs w:val="24"/>
          <w:lang w:val="en-NZ"/>
        </w:rPr>
        <w:t>:</w:t>
      </w:r>
      <w:r>
        <w:rPr>
          <w:rFonts w:ascii="Times New Roman" w:cs="Times New Roman" w:hAnsi="Times New Roman"/>
          <w:sz w:val="24"/>
          <w:szCs w:val="24"/>
          <w:lang w:val="en-US"/>
        </w:rPr>
        <w:t xml:space="preserve"> 92-334-2923980 </w:t>
      </w:r>
      <w:r>
        <w:rPr>
          <w:rFonts w:ascii="Times New Roman" w:cs="Times New Roman" w:hAnsi="Times New Roman"/>
          <w:sz w:val="24"/>
          <w:szCs w:val="24"/>
          <w:lang w:val="en-NZ"/>
        </w:rPr>
        <w:br/>
      </w:r>
      <w:r>
        <w:rPr>
          <w:rFonts w:ascii="Times New Roman" w:cs="Times New Roman" w:hAnsi="Times New Roman"/>
          <w:sz w:val="24"/>
          <w:szCs w:val="24"/>
          <w:lang w:val="en-NZ"/>
        </w:rPr>
        <w:t>Email ID:</w:t>
      </w:r>
      <w:r>
        <w:rPr>
          <w:rFonts w:ascii="Times New Roman" w:cs="Times New Roman" w:hAnsi="Times New Roman"/>
          <w:sz w:val="24"/>
          <w:szCs w:val="24"/>
          <w:lang w:val="en-US"/>
        </w:rPr>
        <w:t xml:space="preserve"> waqarsahito01@gmail.com </w:t>
      </w:r>
      <w:r>
        <w:rPr>
          <w:rFonts w:ascii="Times New Roman" w:cs="Times New Roman" w:hAnsi="Times New Roman"/>
          <w:sz w:val="24"/>
          <w:szCs w:val="24"/>
          <w:lang w:val="en-NZ"/>
        </w:rPr>
        <w:br/>
      </w:r>
      <w:r>
        <w:rPr>
          <w:rFonts w:ascii="Times New Roman" w:cs="Times New Roman" w:hAnsi="Times New Roman"/>
          <w:sz w:val="24"/>
          <w:szCs w:val="24"/>
          <w:lang w:val="en-NZ"/>
        </w:rPr>
        <w:t>Session Name</w:t>
      </w:r>
      <w:r>
        <w:rPr>
          <w:rFonts w:ascii="Times New Roman" w:cs="Times New Roman" w:hAnsi="Times New Roman"/>
          <w:sz w:val="24"/>
          <w:szCs w:val="24"/>
          <w:lang w:val="en-NZ"/>
        </w:rPr>
        <w:t>:</w:t>
      </w:r>
      <w:r>
        <w:rPr>
          <w:rFonts w:ascii="Times New Roman" w:cs="Times New Roman" w:hAnsi="Times New Roman"/>
          <w:sz w:val="24"/>
          <w:szCs w:val="24"/>
          <w:lang w:val="en-NZ"/>
        </w:rPr>
        <w:br/>
      </w:r>
      <w:r>
        <w:rPr>
          <w:rFonts w:ascii="Times New Roman" w:cs="Times New Roman" w:hAnsi="Times New Roman"/>
          <w:sz w:val="24"/>
          <w:szCs w:val="24"/>
        </w:rPr>
        <w:t xml:space="preserve">Presentation type </w:t>
      </w:r>
      <w:r>
        <w:rPr>
          <w:rFonts w:ascii="Times New Roman" w:cs="Times New Roman" w:hAnsi="Times New Roman"/>
          <w:sz w:val="24"/>
          <w:szCs w:val="24"/>
          <w:lang w:val="en-US"/>
        </w:rPr>
        <w:t xml:space="preserve">Poster Pediatric Infectious Diseases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ambria">
    <w:altName w:val="Cambria"/>
    <w:panose1 w:val="02040503050004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2"/>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Balloon Text Char"/>
    <w:basedOn w:val="style65"/>
    <w:next w:val="style4097"/>
    <w:link w:val="style153"/>
    <w:uiPriority w:val="99"/>
    <w:rPr>
      <w:rFonts w:ascii="Tahoma" w:cs="Tahoma" w:hAnsi="Tahoma"/>
      <w:sz w:val="16"/>
      <w:szCs w:val="16"/>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Words>458</Words>
  <Pages>2</Pages>
  <Characters>3110</Characters>
  <Application>WPS Office</Application>
  <DocSecurity>0</DocSecurity>
  <Paragraphs>19</Paragraphs>
  <ScaleCrop>false</ScaleCrop>
  <Company>Grizli777</Company>
  <LinksUpToDate>false</LinksUpToDate>
  <CharactersWithSpaces>3557</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2014-10-27T12:32:00Z</dcterms:created>
  <dc:creator>Venkatesh</dc:creator>
  <lastModifiedBy>SM-A325F</lastModifiedBy>
  <dcterms:modified xsi:type="dcterms:W3CDTF">2025-12-31T12:10:31Z</dcterms:modified>
  <revision>46</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e1300806d1174ec0a0caf31ecbba528b</vt:lpwstr>
  </property>
</Properties>
</file>