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C151F" w14:textId="77777777" w:rsidR="00B66DC9" w:rsidRDefault="00B66DC9">
      <w:pPr>
        <w:rPr>
          <w:rFonts w:asciiTheme="majorHAnsi" w:hAnsiTheme="majorHAnsi"/>
          <w:lang w:val="en-US"/>
        </w:rPr>
      </w:pPr>
    </w:p>
    <w:p w14:paraId="7C17DC32" w14:textId="54A180F2" w:rsidR="00B66DC9" w:rsidRPr="00B66DC9" w:rsidRDefault="00B66DC9" w:rsidP="00B66DC9">
      <w:pPr>
        <w:spacing w:before="100" w:beforeAutospacing="1" w:after="100" w:afterAutospacing="1" w:line="240" w:lineRule="auto"/>
        <w:outlineLvl w:val="2"/>
        <w:rPr>
          <w:rFonts w:asciiTheme="majorHAnsi" w:eastAsia="Times New Roman" w:hAnsiTheme="majorHAnsi" w:cs="Times New Roman"/>
          <w:b/>
          <w:bCs/>
          <w:kern w:val="0"/>
          <w:lang w:val="en-US"/>
          <w14:ligatures w14:val="none"/>
        </w:rPr>
      </w:pPr>
      <w:r w:rsidRPr="00B66DC9">
        <w:rPr>
          <w:rFonts w:asciiTheme="majorHAnsi" w:eastAsia="Times New Roman" w:hAnsiTheme="majorHAnsi" w:cs="Times New Roman"/>
          <w:b/>
          <w:bCs/>
          <w:kern w:val="0"/>
          <w:lang w:val="en-US"/>
          <w14:ligatures w14:val="none"/>
        </w:rPr>
        <w:t xml:space="preserve">Abstract for </w:t>
      </w:r>
      <w:r w:rsidRPr="00B66DC9">
        <w:rPr>
          <w:rFonts w:asciiTheme="majorHAnsi" w:eastAsia="Times New Roman" w:hAnsiTheme="majorHAnsi" w:cs="Times New Roman"/>
          <w:b/>
          <w:bCs/>
          <w:kern w:val="0"/>
          <w:lang w:val="en-US"/>
          <w14:ligatures w14:val="none"/>
        </w:rPr>
        <w:t xml:space="preserve">Conference </w:t>
      </w:r>
      <w:r w:rsidRPr="00B66DC9">
        <w:rPr>
          <w:rFonts w:asciiTheme="majorHAnsi" w:eastAsia="Times New Roman" w:hAnsiTheme="majorHAnsi" w:cs="Times New Roman"/>
          <w:b/>
          <w:bCs/>
          <w:kern w:val="0"/>
          <w:lang w:val="en-US"/>
          <w14:ligatures w14:val="none"/>
        </w:rPr>
        <w:t>Presentation</w:t>
      </w:r>
    </w:p>
    <w:p w14:paraId="3A677575" w14:textId="77777777" w:rsidR="00B66DC9" w:rsidRPr="00B66DC9" w:rsidRDefault="00B66DC9" w:rsidP="00B66DC9">
      <w:pPr>
        <w:spacing w:before="100" w:beforeAutospacing="1" w:after="100" w:afterAutospacing="1" w:line="240" w:lineRule="auto"/>
        <w:rPr>
          <w:rFonts w:asciiTheme="majorHAnsi" w:eastAsia="Times New Roman" w:hAnsiTheme="majorHAnsi" w:cs="Times New Roman"/>
          <w:b/>
          <w:bCs/>
          <w:kern w:val="0"/>
          <w:lang w:val="en-US"/>
          <w14:ligatures w14:val="none"/>
        </w:rPr>
      </w:pPr>
      <w:r w:rsidRPr="00B66DC9">
        <w:rPr>
          <w:rFonts w:asciiTheme="majorHAnsi" w:eastAsia="Times New Roman" w:hAnsiTheme="majorHAnsi" w:cs="Times New Roman"/>
          <w:b/>
          <w:bCs/>
          <w:kern w:val="0"/>
          <w:lang w:val="en-US"/>
          <w14:ligatures w14:val="none"/>
        </w:rPr>
        <w:t>Title: A Practical Guide to Apply AI in Childhood Cancer: From Data Preparation to Regulatory Frameworks</w:t>
      </w:r>
    </w:p>
    <w:p w14:paraId="2E11D6C2" w14:textId="77777777" w:rsidR="00B66DC9" w:rsidRPr="00B66DC9" w:rsidRDefault="00B66DC9" w:rsidP="00B66DC9">
      <w:pPr>
        <w:spacing w:before="100" w:beforeAutospacing="1" w:after="100" w:afterAutospacing="1" w:line="240" w:lineRule="auto"/>
        <w:rPr>
          <w:rFonts w:asciiTheme="majorHAnsi" w:eastAsia="Times New Roman" w:hAnsiTheme="majorHAnsi" w:cs="Times New Roman"/>
          <w:kern w:val="0"/>
          <w:lang w:val="en-US"/>
          <w14:ligatures w14:val="none"/>
        </w:rPr>
      </w:pPr>
      <w:r w:rsidRPr="00B66DC9">
        <w:rPr>
          <w:rFonts w:asciiTheme="majorHAnsi" w:eastAsia="Times New Roman" w:hAnsiTheme="majorHAnsi" w:cs="Times New Roman"/>
          <w:kern w:val="0"/>
          <w:lang w:val="en-US"/>
          <w14:ligatures w14:val="none"/>
        </w:rPr>
        <w:t>This presentation offers a comprehensive overview of the application of artificial intelligence (AI) in childhood cancer care. It begins with an exploration of data preparation, covering key aspects such as the types of data relevant to childhood cancer, strategies for data collection and processing, and the importance of data sharing. The role of biobanks, especially digital biobanks, in supporting AI-driven research will be emphasized.</w:t>
      </w:r>
    </w:p>
    <w:p w14:paraId="7D688E5D" w14:textId="44340576" w:rsidR="00B66DC9" w:rsidRPr="00B66DC9" w:rsidRDefault="00B66DC9" w:rsidP="00B66DC9">
      <w:pPr>
        <w:spacing w:before="100" w:beforeAutospacing="1" w:after="100" w:afterAutospacing="1" w:line="240" w:lineRule="auto"/>
        <w:rPr>
          <w:rFonts w:asciiTheme="majorHAnsi" w:eastAsia="Times New Roman" w:hAnsiTheme="majorHAnsi" w:cs="Times New Roman"/>
          <w:kern w:val="0"/>
          <w:lang w:val="en-US"/>
          <w14:ligatures w14:val="none"/>
        </w:rPr>
      </w:pPr>
      <w:r w:rsidRPr="00B66DC9">
        <w:rPr>
          <w:rFonts w:asciiTheme="majorHAnsi" w:eastAsia="Times New Roman" w:hAnsiTheme="majorHAnsi" w:cs="Times New Roman"/>
          <w:kern w:val="0"/>
          <w:lang w:val="en-US"/>
          <w14:ligatures w14:val="none"/>
        </w:rPr>
        <w:t>The second part of the talk delves into AI applications in childhood cancer, presenting AI-based solutions in diagnostics, treatment optimization, and clinical trials. Additionally, best practices for implementing AI in childhood cancer care will be discussed, ensuring ethical</w:t>
      </w:r>
      <w:r w:rsidRPr="00B66DC9">
        <w:rPr>
          <w:rFonts w:asciiTheme="majorHAnsi" w:eastAsia="Times New Roman" w:hAnsiTheme="majorHAnsi" w:cs="Times New Roman"/>
          <w:kern w:val="0"/>
          <w:lang w:val="en-US"/>
          <w14:ligatures w14:val="none"/>
        </w:rPr>
        <w:t xml:space="preserve"> and </w:t>
      </w:r>
      <w:r w:rsidRPr="00B66DC9">
        <w:rPr>
          <w:rFonts w:asciiTheme="majorHAnsi" w:eastAsia="Times New Roman" w:hAnsiTheme="majorHAnsi" w:cs="Times New Roman"/>
          <w:kern w:val="0"/>
          <w:lang w:val="en-US"/>
          <w14:ligatures w14:val="none"/>
        </w:rPr>
        <w:t>reliable</w:t>
      </w:r>
      <w:r w:rsidRPr="00B66DC9">
        <w:rPr>
          <w:rFonts w:asciiTheme="majorHAnsi" w:eastAsia="Times New Roman" w:hAnsiTheme="majorHAnsi" w:cs="Times New Roman"/>
          <w:kern w:val="0"/>
          <w:lang w:val="en-US"/>
          <w14:ligatures w14:val="none"/>
        </w:rPr>
        <w:t xml:space="preserve"> </w:t>
      </w:r>
      <w:r w:rsidRPr="00B66DC9">
        <w:rPr>
          <w:rFonts w:asciiTheme="majorHAnsi" w:eastAsia="Times New Roman" w:hAnsiTheme="majorHAnsi" w:cs="Times New Roman"/>
          <w:kern w:val="0"/>
          <w:lang w:val="en-US"/>
          <w14:ligatures w14:val="none"/>
        </w:rPr>
        <w:t>outcomes.</w:t>
      </w:r>
    </w:p>
    <w:p w14:paraId="2F2A8756" w14:textId="1AC25D15" w:rsidR="00B66DC9" w:rsidRPr="00B66DC9" w:rsidRDefault="00B66DC9" w:rsidP="00B66DC9">
      <w:pPr>
        <w:spacing w:before="100" w:beforeAutospacing="1" w:after="100" w:afterAutospacing="1" w:line="240" w:lineRule="auto"/>
        <w:rPr>
          <w:rFonts w:asciiTheme="majorHAnsi" w:eastAsia="Times New Roman" w:hAnsiTheme="majorHAnsi" w:cs="Times New Roman"/>
          <w:kern w:val="0"/>
          <w:lang w:val="en-US"/>
          <w14:ligatures w14:val="none"/>
        </w:rPr>
      </w:pPr>
      <w:r w:rsidRPr="00B66DC9">
        <w:rPr>
          <w:rFonts w:asciiTheme="majorHAnsi" w:eastAsia="Times New Roman" w:hAnsiTheme="majorHAnsi" w:cs="Times New Roman"/>
          <w:kern w:val="0"/>
          <w:lang w:val="en-US"/>
          <w14:ligatures w14:val="none"/>
        </w:rPr>
        <w:t>The final section addresses the regulatory landscape, focusing on current frameworks governing data and AI in healthcare, with a special emphasis on the implications of the EU AI Act.</w:t>
      </w:r>
    </w:p>
    <w:p w14:paraId="0D96CA55" w14:textId="2B5FA1E0" w:rsidR="00B66DC9" w:rsidRPr="00B66DC9" w:rsidRDefault="00B66DC9" w:rsidP="00B66DC9">
      <w:pPr>
        <w:spacing w:before="100" w:beforeAutospacing="1" w:after="100" w:afterAutospacing="1" w:line="240" w:lineRule="auto"/>
        <w:rPr>
          <w:rFonts w:asciiTheme="majorHAnsi" w:eastAsia="Times New Roman" w:hAnsiTheme="majorHAnsi" w:cs="Times New Roman"/>
          <w:kern w:val="0"/>
          <w:lang w:val="en-US"/>
          <w14:ligatures w14:val="none"/>
        </w:rPr>
      </w:pPr>
      <w:r w:rsidRPr="00B66DC9">
        <w:rPr>
          <w:rFonts w:asciiTheme="majorHAnsi" w:eastAsia="Times New Roman" w:hAnsiTheme="majorHAnsi" w:cs="Times New Roman"/>
          <w:b/>
          <w:bCs/>
          <w:kern w:val="0"/>
          <w:lang w:val="en-US"/>
          <w14:ligatures w14:val="none"/>
        </w:rPr>
        <w:t>Note</w:t>
      </w:r>
      <w:r w:rsidRPr="00B66DC9">
        <w:rPr>
          <w:rFonts w:asciiTheme="majorHAnsi" w:eastAsia="Times New Roman" w:hAnsiTheme="majorHAnsi" w:cs="Times New Roman"/>
          <w:kern w:val="0"/>
          <w:lang w:val="en-US"/>
          <w14:ligatures w14:val="none"/>
        </w:rPr>
        <w:t xml:space="preserve">: </w:t>
      </w:r>
      <w:r w:rsidRPr="00B66DC9">
        <w:rPr>
          <w:rFonts w:asciiTheme="majorHAnsi" w:eastAsia="Times New Roman" w:hAnsiTheme="majorHAnsi" w:cs="Times New Roman"/>
          <w:kern w:val="0"/>
          <w:lang w:val="en-US"/>
          <w14:ligatures w14:val="none"/>
        </w:rPr>
        <w:t>Given the breadth of the topic, the presentation can be tailored to focus on specific aspects, such as data preparation and biobanking or AI applications in clinical trials, depending on the audience and session format.</w:t>
      </w:r>
    </w:p>
    <w:p w14:paraId="6D0B658B" w14:textId="77777777" w:rsidR="00B66DC9" w:rsidRPr="00F10794" w:rsidRDefault="00B66DC9">
      <w:pPr>
        <w:rPr>
          <w:rFonts w:asciiTheme="majorHAnsi" w:hAnsiTheme="majorHAnsi"/>
          <w:lang w:val="en-US"/>
        </w:rPr>
      </w:pPr>
    </w:p>
    <w:sectPr w:rsidR="00B66DC9" w:rsidRPr="00F107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794"/>
    <w:rsid w:val="00243F3D"/>
    <w:rsid w:val="00897BC5"/>
    <w:rsid w:val="00B66DC9"/>
    <w:rsid w:val="00B74596"/>
    <w:rsid w:val="00C624EB"/>
    <w:rsid w:val="00F1079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EF35"/>
  <w15:chartTrackingRefBased/>
  <w15:docId w15:val="{CE80BE0C-333D-4502-997F-25926E291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794"/>
    <w:rPr>
      <w:rFonts w:eastAsiaTheme="majorEastAsia" w:cstheme="majorBidi"/>
      <w:color w:val="272727" w:themeColor="text1" w:themeTint="D8"/>
    </w:rPr>
  </w:style>
  <w:style w:type="paragraph" w:styleId="Title">
    <w:name w:val="Title"/>
    <w:basedOn w:val="Normal"/>
    <w:next w:val="Normal"/>
    <w:link w:val="TitleChar"/>
    <w:uiPriority w:val="10"/>
    <w:qFormat/>
    <w:rsid w:val="00F10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794"/>
    <w:pPr>
      <w:spacing w:before="160"/>
      <w:jc w:val="center"/>
    </w:pPr>
    <w:rPr>
      <w:i/>
      <w:iCs/>
      <w:color w:val="404040" w:themeColor="text1" w:themeTint="BF"/>
    </w:rPr>
  </w:style>
  <w:style w:type="character" w:customStyle="1" w:styleId="QuoteChar">
    <w:name w:val="Quote Char"/>
    <w:basedOn w:val="DefaultParagraphFont"/>
    <w:link w:val="Quote"/>
    <w:uiPriority w:val="29"/>
    <w:rsid w:val="00F10794"/>
    <w:rPr>
      <w:i/>
      <w:iCs/>
      <w:color w:val="404040" w:themeColor="text1" w:themeTint="BF"/>
    </w:rPr>
  </w:style>
  <w:style w:type="paragraph" w:styleId="ListParagraph">
    <w:name w:val="List Paragraph"/>
    <w:basedOn w:val="Normal"/>
    <w:uiPriority w:val="34"/>
    <w:qFormat/>
    <w:rsid w:val="00F10794"/>
    <w:pPr>
      <w:ind w:left="720"/>
      <w:contextualSpacing/>
    </w:pPr>
  </w:style>
  <w:style w:type="character" w:styleId="IntenseEmphasis">
    <w:name w:val="Intense Emphasis"/>
    <w:basedOn w:val="DefaultParagraphFont"/>
    <w:uiPriority w:val="21"/>
    <w:qFormat/>
    <w:rsid w:val="00F10794"/>
    <w:rPr>
      <w:i/>
      <w:iCs/>
      <w:color w:val="0F4761" w:themeColor="accent1" w:themeShade="BF"/>
    </w:rPr>
  </w:style>
  <w:style w:type="paragraph" w:styleId="IntenseQuote">
    <w:name w:val="Intense Quote"/>
    <w:basedOn w:val="Normal"/>
    <w:next w:val="Normal"/>
    <w:link w:val="IntenseQuoteChar"/>
    <w:uiPriority w:val="30"/>
    <w:qFormat/>
    <w:rsid w:val="00F10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794"/>
    <w:rPr>
      <w:i/>
      <w:iCs/>
      <w:color w:val="0F4761" w:themeColor="accent1" w:themeShade="BF"/>
    </w:rPr>
  </w:style>
  <w:style w:type="character" w:styleId="IntenseReference">
    <w:name w:val="Intense Reference"/>
    <w:basedOn w:val="DefaultParagraphFont"/>
    <w:uiPriority w:val="32"/>
    <w:qFormat/>
    <w:rsid w:val="00F107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508772">
      <w:bodyDiv w:val="1"/>
      <w:marLeft w:val="0"/>
      <w:marRight w:val="0"/>
      <w:marTop w:val="0"/>
      <w:marBottom w:val="0"/>
      <w:divBdr>
        <w:top w:val="none" w:sz="0" w:space="0" w:color="auto"/>
        <w:left w:val="none" w:sz="0" w:space="0" w:color="auto"/>
        <w:bottom w:val="none" w:sz="0" w:space="0" w:color="auto"/>
        <w:right w:val="none" w:sz="0" w:space="0" w:color="auto"/>
      </w:divBdr>
    </w:div>
    <w:div w:id="1566723220">
      <w:bodyDiv w:val="1"/>
      <w:marLeft w:val="0"/>
      <w:marRight w:val="0"/>
      <w:marTop w:val="0"/>
      <w:marBottom w:val="0"/>
      <w:divBdr>
        <w:top w:val="none" w:sz="0" w:space="0" w:color="auto"/>
        <w:left w:val="none" w:sz="0" w:space="0" w:color="auto"/>
        <w:bottom w:val="none" w:sz="0" w:space="0" w:color="auto"/>
        <w:right w:val="none" w:sz="0" w:space="0" w:color="auto"/>
      </w:divBdr>
    </w:div>
    <w:div w:id="211651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Shuping Wen</dc:creator>
  <cp:keywords/>
  <dc:description/>
  <cp:lastModifiedBy>Shuping Wen</cp:lastModifiedBy>
  <cp:revision>1</cp:revision>
  <dcterms:created xsi:type="dcterms:W3CDTF">2024-12-16T09:57:00Z</dcterms:created>
  <dcterms:modified xsi:type="dcterms:W3CDTF">2024-12-16T10:13:00Z</dcterms:modified>
</cp:coreProperties>
</file>