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1328F6" w14:textId="0CE2273B" w:rsidR="005342A3" w:rsidRPr="003F6760" w:rsidRDefault="005342A3" w:rsidP="003F6760">
      <w:pPr>
        <w:autoSpaceDE w:val="0"/>
        <w:autoSpaceDN w:val="0"/>
        <w:adjustRightInd w:val="0"/>
        <w:spacing w:line="240" w:lineRule="auto"/>
        <w:jc w:val="center"/>
        <w:rPr>
          <w:rFonts w:ascii="Times New Roman" w:eastAsia="Times New Roman" w:hAnsi="Times New Roman" w:cs="Times New Roman"/>
          <w:b/>
          <w:bCs/>
          <w:i/>
          <w:iCs/>
          <w:noProof/>
          <w:color w:val="000000" w:themeColor="text1"/>
          <w:sz w:val="24"/>
          <w:szCs w:val="24"/>
          <w:u w:val="single"/>
        </w:rPr>
      </w:pPr>
      <w:r>
        <w:rPr>
          <w:rFonts w:ascii="Times New Roman" w:eastAsia="Times New Roman" w:hAnsi="Times New Roman" w:cs="Times New Roman"/>
          <w:b/>
          <w:bCs/>
          <w:i/>
          <w:iCs/>
          <w:noProof/>
          <w:color w:val="000000" w:themeColor="text1"/>
          <w:sz w:val="24"/>
          <w:szCs w:val="24"/>
          <w:u w:val="single"/>
        </w:rPr>
        <w:t>Feeding intolerance and gastric dysmotility in critically ill child how much we know</w:t>
      </w:r>
    </w:p>
    <w:p w14:paraId="5517329E" w14:textId="77777777" w:rsidR="005342A3" w:rsidRDefault="005342A3" w:rsidP="005342A3">
      <w:pPr>
        <w:pStyle w:val="Default"/>
      </w:pPr>
    </w:p>
    <w:p w14:paraId="75FDBBA6" w14:textId="55017749" w:rsidR="005342A3" w:rsidRPr="009B49A8" w:rsidRDefault="005342A3" w:rsidP="005342A3">
      <w:pPr>
        <w:pStyle w:val="Default"/>
        <w:jc w:val="lowKashida"/>
        <w:rPr>
          <w:rFonts w:asciiTheme="majorBidi" w:hAnsiTheme="majorBidi" w:cstheme="majorBidi"/>
          <w:sz w:val="28"/>
          <w:szCs w:val="28"/>
        </w:rPr>
      </w:pPr>
      <w:r w:rsidRPr="009B49A8">
        <w:rPr>
          <w:rFonts w:asciiTheme="majorBidi" w:hAnsiTheme="majorBidi" w:cstheme="majorBidi"/>
          <w:sz w:val="28"/>
          <w:szCs w:val="28"/>
        </w:rPr>
        <w:t xml:space="preserve">    Gastric dysmotility is common in critically ill children. It is defined as the functional impairment of the stomach's capacity to move content forward by abnormally slow and/or uncoordinated activity of the gastric and antroduodenal musculature. The most common manifestation of gastric dysmotility in this cohort is delayed gastric emptying (GE), which is defined as prolongation in the time required to empty the stomach's contents. Gastric dysmotility may be a consequence of critical illness and the therapies provided in this setting. In critically ill children the prevalence of delayed GE has been estimated to be 50%. However, current methods of identifying delayed GE in this population are inaccurate, therefore the true rate of delayed GE in the pediatric intensive care unit (PICU) is unknown. Enteral nutrition (EN) intolerance is a common manifestation of delayed GE and is diagnosed by a variety of nonstandard clinical assessments that are not evidence-based. EN intolerance is the most common barrier to delivering optimal EN, and it is reported to be present in 43% to 57% of critically ill children. In addition, delayed GE has other clinical implications in the PICU, including increased risk for gastroesophageal reflux, potential for aspiration of gastric contents, and reduced efficacy of enteral medications.</w:t>
      </w:r>
    </w:p>
    <w:p w14:paraId="2B9F150C" w14:textId="1D5C9B35" w:rsidR="00A81E5E" w:rsidRPr="009B49A8" w:rsidRDefault="005342A3" w:rsidP="005342A3">
      <w:pPr>
        <w:autoSpaceDE w:val="0"/>
        <w:autoSpaceDN w:val="0"/>
        <w:adjustRightInd w:val="0"/>
        <w:spacing w:line="240" w:lineRule="auto"/>
        <w:jc w:val="lowKashida"/>
        <w:rPr>
          <w:rFonts w:asciiTheme="majorBidi" w:eastAsia="Times New Roman" w:hAnsiTheme="majorBidi" w:cstheme="majorBidi"/>
          <w:noProof/>
          <w:sz w:val="28"/>
          <w:szCs w:val="28"/>
        </w:rPr>
      </w:pPr>
      <w:r w:rsidRPr="009B49A8">
        <w:rPr>
          <w:rFonts w:asciiTheme="majorBidi" w:hAnsiTheme="majorBidi" w:cstheme="majorBidi"/>
          <w:sz w:val="28"/>
          <w:szCs w:val="28"/>
        </w:rPr>
        <w:t xml:space="preserve">A basic understanding of the physiology of gastric motility and its alteration during critical illness is essential for optimal bedside care in the PICU. Will present the pathophysiology, diagnosis , management and feeding protocol of gastric dysmotility with a focus on GE in critically ill children. </w:t>
      </w:r>
    </w:p>
    <w:p w14:paraId="7DEF2EF1" w14:textId="6E16E7DB" w:rsidR="00A81E5E" w:rsidRDefault="00A81E5E" w:rsidP="00A81E5E">
      <w:pPr>
        <w:spacing w:before="100" w:beforeAutospacing="1" w:after="100" w:afterAutospacing="1" w:line="240" w:lineRule="auto"/>
        <w:ind w:left="720"/>
        <w:textAlignment w:val="baseline"/>
        <w:rPr>
          <w:rFonts w:ascii="Helvetica" w:eastAsia="Times New Roman" w:hAnsi="Helvetica" w:cs="Times New Roman"/>
          <w:color w:val="1B1F27"/>
          <w:lang w:val="en-US"/>
        </w:rPr>
      </w:pPr>
    </w:p>
    <w:p w14:paraId="7FC9A29B" w14:textId="76B8FB80" w:rsidR="005342A3" w:rsidRPr="005342A3" w:rsidRDefault="005342A3" w:rsidP="009B49A8">
      <w:pPr>
        <w:spacing w:before="100" w:beforeAutospacing="1" w:after="100" w:afterAutospacing="1" w:line="240" w:lineRule="auto"/>
        <w:textAlignment w:val="baseline"/>
        <w:rPr>
          <w:rFonts w:asciiTheme="majorBidi" w:eastAsia="Times New Roman" w:hAnsiTheme="majorBidi" w:cstheme="majorBidi"/>
          <w:b/>
          <w:bCs/>
          <w:i/>
          <w:iCs/>
          <w:color w:val="1B1F27"/>
          <w:sz w:val="32"/>
          <w:szCs w:val="32"/>
          <w:u w:val="single"/>
          <w:lang w:val="en-US"/>
        </w:rPr>
      </w:pPr>
      <w:r w:rsidRPr="005342A3">
        <w:rPr>
          <w:rFonts w:asciiTheme="majorBidi" w:eastAsia="Times New Roman" w:hAnsiTheme="majorBidi" w:cstheme="majorBidi"/>
          <w:b/>
          <w:bCs/>
          <w:i/>
          <w:iCs/>
          <w:color w:val="1B1F27"/>
          <w:sz w:val="32"/>
          <w:szCs w:val="32"/>
          <w:u w:val="single"/>
          <w:lang w:val="en-US"/>
        </w:rPr>
        <w:t>References:</w:t>
      </w:r>
    </w:p>
    <w:p w14:paraId="49900995" w14:textId="44FAB4AE" w:rsidR="00BD62B3" w:rsidRPr="009B49A8" w:rsidRDefault="009B49A8" w:rsidP="009B49A8">
      <w:pPr>
        <w:autoSpaceDE w:val="0"/>
        <w:autoSpaceDN w:val="0"/>
        <w:adjustRightInd w:val="0"/>
        <w:spacing w:line="240" w:lineRule="auto"/>
        <w:jc w:val="mediumKashida"/>
        <w:rPr>
          <w:rFonts w:asciiTheme="majorBidi" w:eastAsia="Times New Roman" w:hAnsiTheme="majorBidi" w:cstheme="majorBidi"/>
          <w:color w:val="000000" w:themeColor="text1"/>
          <w:sz w:val="28"/>
          <w:szCs w:val="28"/>
          <w:lang w:val="en-US"/>
        </w:rPr>
      </w:pPr>
      <w:r w:rsidRPr="009B49A8">
        <w:rPr>
          <w:rFonts w:asciiTheme="majorBidi" w:eastAsia="Times New Roman" w:hAnsiTheme="majorBidi" w:cstheme="majorBidi"/>
          <w:color w:val="000000" w:themeColor="text1"/>
          <w:sz w:val="28"/>
          <w:szCs w:val="28"/>
          <w:lang w:val="en-US"/>
        </w:rPr>
        <w:t>1-</w:t>
      </w:r>
      <w:r w:rsidR="00BD62B3" w:rsidRPr="009B49A8">
        <w:rPr>
          <w:rFonts w:asciiTheme="majorBidi" w:eastAsia="Times New Roman" w:hAnsiTheme="majorBidi" w:cstheme="majorBidi"/>
          <w:color w:val="000000" w:themeColor="text1"/>
          <w:sz w:val="28"/>
          <w:szCs w:val="28"/>
          <w:lang w:val="en-US"/>
        </w:rPr>
        <w:t>Lyvonne N. Tume , Frederic V. Valla3 , Koen Joosten, Corinne Jotterand Chaparro, Lynne Latten,Luise V. Marino, Isobel Macleod, Clémence Moullet, Nazima Pathan, Shancy Rooze,Joost van Rosmalen and Sascha C. A. T. Verbruggen.</w:t>
      </w:r>
      <w:r w:rsidR="00BD62B3" w:rsidRPr="009B49A8">
        <w:rPr>
          <w:rFonts w:asciiTheme="majorBidi" w:hAnsiTheme="majorBidi" w:cstheme="majorBidi"/>
          <w:sz w:val="28"/>
          <w:szCs w:val="28"/>
        </w:rPr>
        <w:t xml:space="preserve"> </w:t>
      </w:r>
      <w:r w:rsidR="00BD62B3" w:rsidRPr="009B49A8">
        <w:rPr>
          <w:rFonts w:asciiTheme="majorBidi" w:eastAsia="Times New Roman" w:hAnsiTheme="majorBidi" w:cstheme="majorBidi"/>
          <w:color w:val="000000" w:themeColor="text1"/>
          <w:sz w:val="28"/>
          <w:szCs w:val="28"/>
          <w:lang w:val="en-US"/>
        </w:rPr>
        <w:t>Nutritional support for children</w:t>
      </w:r>
      <w:r w:rsidRPr="009B49A8">
        <w:rPr>
          <w:rFonts w:asciiTheme="majorBidi" w:eastAsia="Times New Roman" w:hAnsiTheme="majorBidi" w:cstheme="majorBidi"/>
          <w:color w:val="000000" w:themeColor="text1"/>
          <w:sz w:val="28"/>
          <w:szCs w:val="28"/>
          <w:lang w:val="en-US"/>
        </w:rPr>
        <w:t xml:space="preserve"> </w:t>
      </w:r>
      <w:r w:rsidR="00BD62B3" w:rsidRPr="009B49A8">
        <w:rPr>
          <w:rFonts w:asciiTheme="majorBidi" w:eastAsia="Times New Roman" w:hAnsiTheme="majorBidi" w:cstheme="majorBidi"/>
          <w:color w:val="000000" w:themeColor="text1"/>
          <w:sz w:val="28"/>
          <w:szCs w:val="28"/>
          <w:lang w:val="en-US"/>
        </w:rPr>
        <w:t>during critical illness: European Society of Pediatric and Neonatal Intensive Care (ESPNIC) metabolism, endocrine and nutrition section position statement and clinical</w:t>
      </w:r>
      <w:r w:rsidRPr="009B49A8">
        <w:rPr>
          <w:rFonts w:asciiTheme="majorBidi" w:eastAsia="Times New Roman" w:hAnsiTheme="majorBidi" w:cstheme="majorBidi"/>
          <w:color w:val="000000" w:themeColor="text1"/>
          <w:sz w:val="28"/>
          <w:szCs w:val="28"/>
          <w:lang w:val="en-US"/>
        </w:rPr>
        <w:t xml:space="preserve"> </w:t>
      </w:r>
      <w:r w:rsidR="00BD62B3" w:rsidRPr="009B49A8">
        <w:rPr>
          <w:rFonts w:asciiTheme="majorBidi" w:eastAsia="Times New Roman" w:hAnsiTheme="majorBidi" w:cstheme="majorBidi"/>
          <w:color w:val="000000" w:themeColor="text1"/>
          <w:sz w:val="28"/>
          <w:szCs w:val="28"/>
          <w:lang w:val="en-US"/>
        </w:rPr>
        <w:t>recommendations</w:t>
      </w:r>
      <w:r w:rsidRPr="009B49A8">
        <w:rPr>
          <w:rFonts w:asciiTheme="majorBidi" w:eastAsia="Times New Roman" w:hAnsiTheme="majorBidi" w:cstheme="majorBidi"/>
          <w:color w:val="000000" w:themeColor="text1"/>
          <w:sz w:val="28"/>
          <w:szCs w:val="28"/>
          <w:lang w:val="en-US"/>
        </w:rPr>
        <w:t>.</w:t>
      </w:r>
      <w:r w:rsidRPr="009B49A8">
        <w:rPr>
          <w:rFonts w:asciiTheme="majorBidi" w:hAnsiTheme="majorBidi" w:cstheme="majorBidi"/>
          <w:sz w:val="28"/>
          <w:szCs w:val="28"/>
        </w:rPr>
        <w:t xml:space="preserve"> </w:t>
      </w:r>
      <w:r w:rsidRPr="009B49A8">
        <w:rPr>
          <w:rFonts w:asciiTheme="majorBidi" w:eastAsia="Times New Roman" w:hAnsiTheme="majorBidi" w:cstheme="majorBidi"/>
          <w:color w:val="000000" w:themeColor="text1"/>
          <w:sz w:val="28"/>
          <w:szCs w:val="28"/>
          <w:lang w:val="en-US"/>
        </w:rPr>
        <w:t>Intensive Care Med (2020) 46:411–425.</w:t>
      </w:r>
    </w:p>
    <w:p w14:paraId="340501A6" w14:textId="1AE11567" w:rsidR="00BD62B3" w:rsidRPr="009B49A8" w:rsidRDefault="009B49A8" w:rsidP="009B49A8">
      <w:pPr>
        <w:autoSpaceDE w:val="0"/>
        <w:autoSpaceDN w:val="0"/>
        <w:adjustRightInd w:val="0"/>
        <w:spacing w:line="240" w:lineRule="auto"/>
        <w:jc w:val="mediumKashida"/>
        <w:rPr>
          <w:rFonts w:asciiTheme="majorBidi" w:eastAsia="Times New Roman" w:hAnsiTheme="majorBidi" w:cstheme="majorBidi"/>
          <w:color w:val="000000" w:themeColor="text1"/>
          <w:sz w:val="28"/>
          <w:szCs w:val="28"/>
          <w:lang w:val="en-US"/>
        </w:rPr>
      </w:pPr>
      <w:r w:rsidRPr="009B49A8">
        <w:rPr>
          <w:rFonts w:asciiTheme="majorBidi" w:eastAsia="Times New Roman" w:hAnsiTheme="majorBidi" w:cstheme="majorBidi"/>
          <w:color w:val="000000" w:themeColor="text1"/>
          <w:sz w:val="28"/>
          <w:szCs w:val="28"/>
          <w:lang w:val="en-US"/>
        </w:rPr>
        <w:t>2</w:t>
      </w:r>
      <w:r w:rsidR="00BD62B3" w:rsidRPr="009B49A8">
        <w:rPr>
          <w:rFonts w:asciiTheme="majorBidi" w:eastAsia="Times New Roman" w:hAnsiTheme="majorBidi" w:cstheme="majorBidi"/>
          <w:color w:val="000000" w:themeColor="text1"/>
          <w:sz w:val="28"/>
          <w:szCs w:val="28"/>
          <w:lang w:val="en-US"/>
        </w:rPr>
        <w:t>- Enid E Martinez, MD, Katherine Douglas, Samuel Nurko, MD, MPH, and Nilesh M Mehta, MD.</w:t>
      </w:r>
      <w:r w:rsidR="00BD62B3" w:rsidRPr="009B49A8">
        <w:rPr>
          <w:rFonts w:asciiTheme="majorBidi" w:hAnsiTheme="majorBidi" w:cstheme="majorBidi"/>
          <w:sz w:val="28"/>
          <w:szCs w:val="28"/>
        </w:rPr>
        <w:t xml:space="preserve"> </w:t>
      </w:r>
      <w:r w:rsidR="00BD62B3" w:rsidRPr="009B49A8">
        <w:rPr>
          <w:rFonts w:asciiTheme="majorBidi" w:eastAsia="Times New Roman" w:hAnsiTheme="majorBidi" w:cstheme="majorBidi"/>
          <w:color w:val="000000" w:themeColor="text1"/>
          <w:sz w:val="28"/>
          <w:szCs w:val="28"/>
          <w:lang w:val="en-US"/>
        </w:rPr>
        <w:t>Gastric Dysmotility in Critically Ill Children: pathophysiology, diagnosis and management.</w:t>
      </w:r>
      <w:r w:rsidR="00BD62B3" w:rsidRPr="009B49A8">
        <w:rPr>
          <w:rFonts w:asciiTheme="majorBidi" w:hAnsiTheme="majorBidi" w:cstheme="majorBidi"/>
          <w:sz w:val="28"/>
          <w:szCs w:val="28"/>
        </w:rPr>
        <w:t xml:space="preserve"> </w:t>
      </w:r>
      <w:r w:rsidRPr="009B49A8">
        <w:rPr>
          <w:rFonts w:asciiTheme="majorBidi" w:hAnsiTheme="majorBidi" w:cstheme="majorBidi"/>
          <w:sz w:val="28"/>
          <w:szCs w:val="28"/>
        </w:rPr>
        <w:t>Pediatr Crit Care Med. 2015 November ; 16(9): 828–836.</w:t>
      </w:r>
      <w:r w:rsidRPr="009B49A8">
        <w:rPr>
          <w:rFonts w:asciiTheme="majorBidi" w:eastAsia="Times New Roman" w:hAnsiTheme="majorBidi" w:cstheme="majorBidi"/>
          <w:color w:val="000000" w:themeColor="text1"/>
          <w:sz w:val="28"/>
          <w:szCs w:val="28"/>
          <w:lang w:val="en-US"/>
        </w:rPr>
        <w:t xml:space="preserve"> </w:t>
      </w:r>
    </w:p>
    <w:p w14:paraId="2A62A2AF" w14:textId="2E8FF637" w:rsidR="006B3217" w:rsidRPr="009B49A8" w:rsidRDefault="009B49A8" w:rsidP="009B49A8">
      <w:pPr>
        <w:autoSpaceDE w:val="0"/>
        <w:autoSpaceDN w:val="0"/>
        <w:adjustRightInd w:val="0"/>
        <w:spacing w:line="240" w:lineRule="auto"/>
        <w:jc w:val="mediumKashida"/>
        <w:rPr>
          <w:rFonts w:asciiTheme="majorBidi" w:eastAsia="Times New Roman" w:hAnsiTheme="majorBidi" w:cstheme="majorBidi"/>
          <w:color w:val="000000" w:themeColor="text1"/>
          <w:sz w:val="28"/>
          <w:szCs w:val="28"/>
          <w:lang w:val="en-US"/>
        </w:rPr>
      </w:pPr>
      <w:r w:rsidRPr="009B49A8">
        <w:rPr>
          <w:rFonts w:asciiTheme="majorBidi" w:eastAsia="Times New Roman" w:hAnsiTheme="majorBidi" w:cstheme="majorBidi"/>
          <w:color w:val="000000" w:themeColor="text1"/>
          <w:sz w:val="28"/>
          <w:szCs w:val="28"/>
          <w:lang w:val="en-US"/>
        </w:rPr>
        <w:t>3-</w:t>
      </w:r>
      <w:r w:rsidR="00BD62B3" w:rsidRPr="009B49A8">
        <w:rPr>
          <w:rFonts w:asciiTheme="majorBidi" w:eastAsia="Times New Roman" w:hAnsiTheme="majorBidi" w:cstheme="majorBidi"/>
          <w:color w:val="000000" w:themeColor="text1"/>
          <w:sz w:val="28"/>
          <w:szCs w:val="28"/>
          <w:lang w:val="en-US"/>
        </w:rPr>
        <w:t xml:space="preserve">Martinez EE, Bechard LJ, Mehta NM. Nutrition algorithms and bedside nutrient delivery practices in pediatric intensive care units: an international multicenter cohort study. Nutr Clin Pract. 2014; 29:360–367. </w:t>
      </w:r>
    </w:p>
    <w:p w14:paraId="61CCEC00" w14:textId="59EF288F" w:rsidR="00BD62B3" w:rsidRPr="009B49A8" w:rsidRDefault="009B49A8" w:rsidP="009B49A8">
      <w:pPr>
        <w:autoSpaceDE w:val="0"/>
        <w:autoSpaceDN w:val="0"/>
        <w:adjustRightInd w:val="0"/>
        <w:spacing w:line="240" w:lineRule="auto"/>
        <w:jc w:val="mediumKashida"/>
        <w:rPr>
          <w:rFonts w:asciiTheme="majorBidi" w:eastAsia="Times New Roman" w:hAnsiTheme="majorBidi" w:cstheme="majorBidi"/>
          <w:noProof/>
          <w:sz w:val="28"/>
          <w:szCs w:val="28"/>
        </w:rPr>
      </w:pPr>
      <w:r w:rsidRPr="009B49A8">
        <w:rPr>
          <w:rFonts w:asciiTheme="majorBidi" w:eastAsia="Times New Roman" w:hAnsiTheme="majorBidi" w:cstheme="majorBidi"/>
          <w:noProof/>
          <w:sz w:val="28"/>
          <w:szCs w:val="28"/>
        </w:rPr>
        <w:lastRenderedPageBreak/>
        <w:t>4-</w:t>
      </w:r>
      <w:r w:rsidR="00BD62B3" w:rsidRPr="009B49A8">
        <w:rPr>
          <w:rFonts w:asciiTheme="majorBidi" w:eastAsia="Times New Roman" w:hAnsiTheme="majorBidi" w:cstheme="majorBidi"/>
          <w:noProof/>
          <w:sz w:val="28"/>
          <w:szCs w:val="28"/>
        </w:rPr>
        <w:t xml:space="preserve"> Mehta NM, Bechard LJ, Cahill N, Wang M, Day A, Duggan CP, et al. Nutritional practices and their relationship to clinical outcomes in critically ill children--an international multicenter cohort study*. Critical Care Med. 2012; 40:2204–2211. </w:t>
      </w:r>
    </w:p>
    <w:p w14:paraId="40A47B16" w14:textId="76817105" w:rsidR="00BD62B3" w:rsidRPr="009B49A8" w:rsidRDefault="00BD62B3" w:rsidP="00BD62B3">
      <w:pPr>
        <w:autoSpaceDE w:val="0"/>
        <w:autoSpaceDN w:val="0"/>
        <w:adjustRightInd w:val="0"/>
        <w:spacing w:line="240" w:lineRule="auto"/>
        <w:rPr>
          <w:rFonts w:ascii="Times New Roman" w:eastAsia="Times New Roman" w:hAnsi="Times New Roman" w:cs="Times New Roman"/>
          <w:noProof/>
          <w:sz w:val="28"/>
          <w:szCs w:val="28"/>
        </w:rPr>
      </w:pPr>
      <w:r w:rsidRPr="009B49A8">
        <w:rPr>
          <w:rFonts w:ascii="Times New Roman" w:eastAsia="Times New Roman" w:hAnsi="Times New Roman" w:cs="Times New Roman"/>
          <w:noProof/>
          <w:sz w:val="28"/>
          <w:szCs w:val="28"/>
        </w:rPr>
        <w:t>13. Barrett, KE. Gastric Motility.. In: Thomas, MWCM., editor. Gastrointestinal Physiology. Second edition.. McGraw Hill Education; United States of America: 2014.</w:t>
      </w:r>
    </w:p>
    <w:p w14:paraId="2507CF72" w14:textId="77777777" w:rsidR="006B3217" w:rsidRPr="00194BF9" w:rsidRDefault="006B74E7" w:rsidP="00194BF9">
      <w:pPr>
        <w:autoSpaceDE w:val="0"/>
        <w:autoSpaceDN w:val="0"/>
        <w:adjustRightInd w:val="0"/>
        <w:spacing w:line="240" w:lineRule="auto"/>
        <w:rPr>
          <w:rFonts w:ascii="Times New Roman" w:eastAsia="Times New Roman" w:hAnsi="Times New Roman" w:cs="Times New Roman"/>
          <w:noProof/>
          <w:sz w:val="24"/>
          <w:szCs w:val="24"/>
        </w:rPr>
      </w:pPr>
      <w:r w:rsidRPr="006B74E7">
        <w:rPr>
          <w:rFonts w:ascii="JannaLT-Regular" w:eastAsia="Calibri" w:hAnsi="JannaLT-Regular" w:cs="Dubai"/>
          <w:b/>
          <w:bCs/>
          <w:i/>
          <w:iCs/>
          <w:noProof/>
          <w:color w:val="666666"/>
          <w:sz w:val="27"/>
          <w:szCs w:val="27"/>
          <w:u w:val="single"/>
          <w:shd w:val="clear" w:color="auto" w:fill="FFFFFF"/>
          <w:lang w:val="en-US"/>
        </w:rPr>
        <w:drawing>
          <wp:inline distT="0" distB="0" distL="0" distR="0" wp14:anchorId="7DD44DC2" wp14:editId="54B80516">
            <wp:extent cx="2619375" cy="2609850"/>
            <wp:effectExtent l="0" t="0" r="9525" b="0"/>
            <wp:docPr id="1" name="Picture 1" descr="C:\Users\MRElmesserey\Desktop\BIO\Mohammad-Al-Masiri_2019-07-22 14-47-02-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Elmesserey\Desktop\BIO\Mohammad-Al-Masiri_2019-07-22 14-47-02-93.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19375" cy="2609850"/>
                    </a:xfrm>
                    <a:prstGeom prst="rect">
                      <a:avLst/>
                    </a:prstGeom>
                    <a:noFill/>
                    <a:ln>
                      <a:noFill/>
                    </a:ln>
                  </pic:spPr>
                </pic:pic>
              </a:graphicData>
            </a:graphic>
          </wp:inline>
        </w:drawing>
      </w:r>
    </w:p>
    <w:p w14:paraId="37AE00E9"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2965C2D6" w14:textId="77777777" w:rsidR="00A45F63" w:rsidRPr="00A45F63" w:rsidRDefault="00A45F63" w:rsidP="00A45F63">
      <w:pPr>
        <w:spacing w:after="0" w:line="240" w:lineRule="auto"/>
        <w:rPr>
          <w:rFonts w:ascii="Times New Roman" w:eastAsia="Calibri" w:hAnsi="Times New Roman" w:cs="Times New Roman"/>
          <w:sz w:val="24"/>
          <w:szCs w:val="24"/>
          <w:lang w:val="en-GB"/>
        </w:rPr>
      </w:pPr>
      <w:r w:rsidRPr="00A45F63">
        <w:rPr>
          <w:rFonts w:ascii="Times New Roman" w:eastAsia="Calibri" w:hAnsi="Times New Roman" w:cs="Times New Roman"/>
          <w:b/>
          <w:bCs/>
          <w:i/>
          <w:iCs/>
          <w:sz w:val="24"/>
          <w:szCs w:val="24"/>
          <w:lang w:val="en-GB"/>
        </w:rPr>
        <w:t xml:space="preserve">             United Arab of Emirates </w:t>
      </w:r>
    </w:p>
    <w:p w14:paraId="3FF05D90" w14:textId="77777777" w:rsidR="00A45F63" w:rsidRPr="00A45F63" w:rsidRDefault="00A45F63" w:rsidP="00A45F63">
      <w:pPr>
        <w:spacing w:after="0" w:line="240" w:lineRule="auto"/>
        <w:rPr>
          <w:rFonts w:ascii="Times New Roman" w:eastAsia="Calibri" w:hAnsi="Times New Roman" w:cs="Times New Roman"/>
          <w:sz w:val="24"/>
          <w:szCs w:val="24"/>
          <w:lang w:val="en-GB"/>
        </w:rPr>
      </w:pPr>
      <w:r w:rsidRPr="00A45F63">
        <w:rPr>
          <w:rFonts w:ascii="Times New Roman" w:eastAsia="Calibri" w:hAnsi="Times New Roman" w:cs="Times New Roman"/>
          <w:b/>
          <w:bCs/>
          <w:i/>
          <w:iCs/>
          <w:sz w:val="24"/>
          <w:szCs w:val="24"/>
          <w:lang w:val="en-GB"/>
        </w:rPr>
        <w:t xml:space="preserve">             Aljalila children’s speciality Hospital, Dubai UAE</w:t>
      </w:r>
    </w:p>
    <w:p w14:paraId="034244A5" w14:textId="2BBFEA3B" w:rsidR="00A45F63" w:rsidRPr="00A45F63" w:rsidRDefault="00A45F63" w:rsidP="00A45F63">
      <w:pPr>
        <w:spacing w:after="0" w:line="240" w:lineRule="auto"/>
        <w:rPr>
          <w:rFonts w:ascii="Times New Roman" w:eastAsia="Calibri" w:hAnsi="Times New Roman" w:cs="Times New Roman"/>
          <w:b/>
          <w:bCs/>
          <w:i/>
          <w:iCs/>
          <w:sz w:val="24"/>
          <w:szCs w:val="24"/>
          <w:lang w:val="en-GB"/>
        </w:rPr>
      </w:pPr>
      <w:r w:rsidRPr="00A45F63">
        <w:rPr>
          <w:rFonts w:ascii="Times New Roman" w:eastAsia="Calibri" w:hAnsi="Times New Roman" w:cs="Times New Roman"/>
          <w:b/>
          <w:bCs/>
          <w:i/>
          <w:iCs/>
          <w:sz w:val="24"/>
          <w:szCs w:val="24"/>
          <w:lang w:val="en-GB"/>
        </w:rPr>
        <w:t xml:space="preserve">           </w:t>
      </w:r>
      <w:r w:rsidR="009B49A8">
        <w:rPr>
          <w:rFonts w:ascii="Times New Roman" w:eastAsia="Calibri" w:hAnsi="Times New Roman" w:cs="Times New Roman"/>
          <w:b/>
          <w:bCs/>
          <w:i/>
          <w:iCs/>
          <w:sz w:val="24"/>
          <w:szCs w:val="24"/>
          <w:lang w:val="en-GB"/>
        </w:rPr>
        <w:t>Consultant Pediatric &amp;</w:t>
      </w:r>
      <w:r w:rsidRPr="00A45F63">
        <w:rPr>
          <w:rFonts w:ascii="Times New Roman" w:eastAsia="Calibri" w:hAnsi="Times New Roman" w:cs="Times New Roman"/>
          <w:b/>
          <w:bCs/>
          <w:i/>
          <w:iCs/>
          <w:sz w:val="24"/>
          <w:szCs w:val="24"/>
          <w:lang w:val="en-GB"/>
        </w:rPr>
        <w:t xml:space="preserve"> Pediatric intensive care </w:t>
      </w:r>
    </w:p>
    <w:p w14:paraId="20500D90" w14:textId="77777777" w:rsidR="00A45F63" w:rsidRPr="00A45F63" w:rsidRDefault="00A45F63" w:rsidP="00A45F63">
      <w:pPr>
        <w:spacing w:after="0" w:line="240" w:lineRule="auto"/>
        <w:rPr>
          <w:rFonts w:ascii="Times New Roman" w:eastAsia="Calibri" w:hAnsi="Times New Roman" w:cs="Times New Roman"/>
          <w:sz w:val="24"/>
          <w:szCs w:val="24"/>
          <w:lang w:val="en-GB"/>
        </w:rPr>
      </w:pPr>
      <w:r w:rsidRPr="00A45F63">
        <w:rPr>
          <w:rFonts w:ascii="Times New Roman" w:eastAsia="Calibri" w:hAnsi="Times New Roman" w:cs="Times New Roman"/>
          <w:b/>
          <w:bCs/>
          <w:i/>
          <w:iCs/>
          <w:sz w:val="24"/>
          <w:szCs w:val="24"/>
          <w:lang w:val="en-GB"/>
        </w:rPr>
        <w:t xml:space="preserve">            Pediatric intensive care unit. </w:t>
      </w:r>
    </w:p>
    <w:p w14:paraId="3A2519D1" w14:textId="77777777" w:rsidR="00A45F63" w:rsidRPr="00A45F63" w:rsidRDefault="00A45F63" w:rsidP="00A45F63">
      <w:pPr>
        <w:spacing w:after="0" w:line="240" w:lineRule="auto"/>
        <w:rPr>
          <w:rFonts w:ascii="Times New Roman" w:eastAsia="Calibri" w:hAnsi="Times New Roman" w:cs="Times New Roman"/>
          <w:sz w:val="24"/>
          <w:szCs w:val="24"/>
          <w:lang w:val="en-GB"/>
        </w:rPr>
      </w:pPr>
      <w:r w:rsidRPr="00A45F63">
        <w:rPr>
          <w:rFonts w:ascii="Times New Roman" w:eastAsia="Calibri" w:hAnsi="Times New Roman" w:cs="Times New Roman"/>
          <w:b/>
          <w:bCs/>
          <w:i/>
          <w:iCs/>
          <w:sz w:val="24"/>
          <w:szCs w:val="24"/>
          <w:lang w:val="en-GB"/>
        </w:rPr>
        <w:t xml:space="preserve">            Mobile NO.: +971508844974</w:t>
      </w:r>
    </w:p>
    <w:p w14:paraId="3C5C42DD" w14:textId="77777777" w:rsidR="00A45F63" w:rsidRPr="00A45F63" w:rsidRDefault="00A45F63" w:rsidP="00A45F63">
      <w:pPr>
        <w:spacing w:after="0" w:line="240" w:lineRule="auto"/>
        <w:rPr>
          <w:rFonts w:ascii="Times New Roman" w:eastAsia="Calibri" w:hAnsi="Times New Roman" w:cs="Times New Roman"/>
          <w:sz w:val="24"/>
          <w:szCs w:val="24"/>
          <w:lang w:val="en-US"/>
        </w:rPr>
      </w:pPr>
      <w:r w:rsidRPr="00A45F63">
        <w:rPr>
          <w:rFonts w:ascii="Times New Roman" w:eastAsia="Calibri" w:hAnsi="Times New Roman" w:cs="Times New Roman"/>
          <w:b/>
          <w:bCs/>
          <w:i/>
          <w:iCs/>
          <w:sz w:val="24"/>
          <w:szCs w:val="24"/>
          <w:lang w:val="en-US"/>
        </w:rPr>
        <w:t xml:space="preserve">            </w:t>
      </w:r>
      <w:r w:rsidRPr="00A45F63">
        <w:rPr>
          <w:rFonts w:ascii="Times New Roman" w:eastAsia="Calibri" w:hAnsi="Times New Roman" w:cs="Times New Roman"/>
          <w:b/>
          <w:bCs/>
          <w:i/>
          <w:iCs/>
          <w:sz w:val="24"/>
          <w:szCs w:val="24"/>
          <w:u w:val="single"/>
          <w:lang w:val="en-US"/>
        </w:rPr>
        <w:t>Email</w:t>
      </w:r>
      <w:r w:rsidRPr="00A45F63">
        <w:rPr>
          <w:rFonts w:ascii="Times New Roman" w:eastAsia="Calibri" w:hAnsi="Times New Roman" w:cs="Times New Roman"/>
          <w:b/>
          <w:bCs/>
          <w:i/>
          <w:iCs/>
          <w:sz w:val="24"/>
          <w:szCs w:val="24"/>
          <w:lang w:val="en-US"/>
        </w:rPr>
        <w:t>: drmissoped@hotmail.com – mrelmesserey@ajch.ae</w:t>
      </w:r>
    </w:p>
    <w:p w14:paraId="3A7DED41" w14:textId="77777777" w:rsidR="00A45F63" w:rsidRPr="00A45F63" w:rsidRDefault="00A45F63" w:rsidP="00A45F63">
      <w:pPr>
        <w:spacing w:after="0" w:line="240" w:lineRule="auto"/>
        <w:rPr>
          <w:rFonts w:ascii="Times New Roman" w:eastAsia="Calibri" w:hAnsi="Times New Roman" w:cs="Times New Roman"/>
          <w:b/>
          <w:bCs/>
          <w:i/>
          <w:iCs/>
          <w:sz w:val="24"/>
          <w:szCs w:val="24"/>
          <w:u w:val="single"/>
          <w:lang w:val="en-GB"/>
        </w:rPr>
      </w:pPr>
    </w:p>
    <w:p w14:paraId="0C03AFB5" w14:textId="77777777" w:rsidR="00A45F63" w:rsidRPr="00A45F63" w:rsidRDefault="00A45F63" w:rsidP="00A45F63">
      <w:pPr>
        <w:spacing w:after="0" w:line="240" w:lineRule="auto"/>
        <w:rPr>
          <w:rFonts w:ascii="Times New Roman" w:eastAsia="Calibri" w:hAnsi="Times New Roman" w:cs="Times New Roman"/>
          <w:b/>
          <w:bCs/>
          <w:i/>
          <w:iCs/>
          <w:sz w:val="24"/>
          <w:szCs w:val="24"/>
          <w:u w:val="single"/>
          <w:lang w:val="en-GB"/>
        </w:rPr>
      </w:pPr>
    </w:p>
    <w:p w14:paraId="0478651C" w14:textId="77777777" w:rsidR="00A45F63" w:rsidRPr="00A45F63" w:rsidRDefault="00A45F63" w:rsidP="00A45F63">
      <w:pPr>
        <w:spacing w:after="0" w:line="240" w:lineRule="auto"/>
        <w:rPr>
          <w:rFonts w:ascii="Times New Roman" w:eastAsia="Calibri" w:hAnsi="Times New Roman" w:cs="Times New Roman"/>
          <w:sz w:val="24"/>
          <w:szCs w:val="24"/>
          <w:u w:val="single"/>
          <w:lang w:val="en-US"/>
        </w:rPr>
      </w:pPr>
      <w:r w:rsidRPr="00A45F63">
        <w:rPr>
          <w:rFonts w:ascii="Times New Roman" w:eastAsia="Calibri" w:hAnsi="Times New Roman" w:cs="Times New Roman"/>
          <w:b/>
          <w:bCs/>
          <w:i/>
          <w:iCs/>
          <w:sz w:val="24"/>
          <w:szCs w:val="24"/>
          <w:u w:val="single"/>
          <w:lang w:val="en-US"/>
        </w:rPr>
        <w:t xml:space="preserve">Dr. Mohamed Ebraheem Elmesserey </w:t>
      </w:r>
    </w:p>
    <w:p w14:paraId="19CB990C" w14:textId="77777777" w:rsidR="00A45F63" w:rsidRPr="00A45F63" w:rsidRDefault="00A45F63" w:rsidP="00A45F63">
      <w:pPr>
        <w:spacing w:after="0" w:line="240" w:lineRule="auto"/>
        <w:rPr>
          <w:rFonts w:ascii="Times New Roman" w:eastAsia="Calibri" w:hAnsi="Times New Roman" w:cs="Times New Roman"/>
          <w:sz w:val="24"/>
          <w:szCs w:val="24"/>
          <w:lang w:val="en-US"/>
        </w:rPr>
      </w:pPr>
    </w:p>
    <w:p w14:paraId="32BB2BD7" w14:textId="77777777" w:rsidR="00A45F63" w:rsidRPr="00A45F63" w:rsidRDefault="00A45F63" w:rsidP="00A45F63">
      <w:pPr>
        <w:numPr>
          <w:ilvl w:val="0"/>
          <w:numId w:val="2"/>
        </w:numPr>
        <w:spacing w:after="0" w:line="240" w:lineRule="auto"/>
        <w:rPr>
          <w:rFonts w:ascii="Times New Roman" w:eastAsia="Calibri" w:hAnsi="Times New Roman" w:cs="Times New Roman"/>
          <w:i/>
          <w:iCs/>
          <w:sz w:val="24"/>
          <w:szCs w:val="24"/>
          <w:lang w:val="en-US"/>
        </w:rPr>
      </w:pPr>
      <w:r w:rsidRPr="00A45F63">
        <w:rPr>
          <w:rFonts w:ascii="Times New Roman" w:eastAsia="Calibri" w:hAnsi="Times New Roman" w:cs="Times New Roman"/>
          <w:i/>
          <w:iCs/>
          <w:sz w:val="24"/>
          <w:szCs w:val="24"/>
          <w:lang w:val="en-US"/>
        </w:rPr>
        <w:t>M.R.C.P.CH (Royal college- UK)</w:t>
      </w:r>
    </w:p>
    <w:p w14:paraId="518D9FB6" w14:textId="77777777" w:rsidR="00A45F63" w:rsidRPr="00A45F63" w:rsidRDefault="00A45F63" w:rsidP="00A45F63">
      <w:pPr>
        <w:numPr>
          <w:ilvl w:val="0"/>
          <w:numId w:val="2"/>
        </w:numPr>
        <w:spacing w:after="0" w:line="240" w:lineRule="auto"/>
        <w:rPr>
          <w:rFonts w:ascii="Times New Roman" w:eastAsia="Calibri" w:hAnsi="Times New Roman" w:cs="Times New Roman"/>
          <w:i/>
          <w:iCs/>
          <w:sz w:val="24"/>
          <w:szCs w:val="24"/>
          <w:lang w:val="en-US"/>
        </w:rPr>
      </w:pPr>
      <w:r w:rsidRPr="00A45F63">
        <w:rPr>
          <w:rFonts w:ascii="Times New Roman" w:eastAsia="Calibri" w:hAnsi="Times New Roman" w:cs="Times New Roman"/>
          <w:i/>
          <w:iCs/>
          <w:sz w:val="24"/>
          <w:szCs w:val="24"/>
          <w:lang w:val="en-US"/>
        </w:rPr>
        <w:t>P.G.P.N (Boston-USA)</w:t>
      </w:r>
    </w:p>
    <w:p w14:paraId="4134E355" w14:textId="77777777" w:rsidR="00A45F63" w:rsidRPr="00A45F63" w:rsidRDefault="00A45F63" w:rsidP="00A45F63">
      <w:pPr>
        <w:numPr>
          <w:ilvl w:val="0"/>
          <w:numId w:val="2"/>
        </w:numPr>
        <w:spacing w:after="0" w:line="240" w:lineRule="auto"/>
        <w:rPr>
          <w:rFonts w:ascii="Times New Roman" w:eastAsia="Calibri" w:hAnsi="Times New Roman" w:cs="Times New Roman"/>
          <w:i/>
          <w:iCs/>
          <w:sz w:val="24"/>
          <w:szCs w:val="24"/>
          <w:lang w:val="en-US"/>
        </w:rPr>
      </w:pPr>
      <w:r w:rsidRPr="00A45F63">
        <w:rPr>
          <w:rFonts w:ascii="Times New Roman" w:eastAsia="Calibri" w:hAnsi="Times New Roman" w:cs="Times New Roman"/>
          <w:i/>
          <w:iCs/>
          <w:sz w:val="24"/>
          <w:szCs w:val="24"/>
          <w:lang w:val="en-US"/>
        </w:rPr>
        <w:t>M.Sc. (Alexandria University - Egypt).</w:t>
      </w:r>
    </w:p>
    <w:p w14:paraId="25020208" w14:textId="77777777" w:rsidR="00A45F63" w:rsidRPr="006B74E7" w:rsidRDefault="00A45F63" w:rsidP="006B74E7">
      <w:pPr>
        <w:numPr>
          <w:ilvl w:val="0"/>
          <w:numId w:val="2"/>
        </w:numPr>
        <w:spacing w:after="0" w:line="240" w:lineRule="auto"/>
        <w:rPr>
          <w:rFonts w:ascii="Times New Roman" w:eastAsia="Calibri" w:hAnsi="Times New Roman" w:cs="Times New Roman"/>
          <w:sz w:val="24"/>
          <w:szCs w:val="24"/>
          <w:lang w:val="en-US"/>
        </w:rPr>
      </w:pPr>
      <w:r w:rsidRPr="00A45F63">
        <w:rPr>
          <w:rFonts w:ascii="Times New Roman" w:eastAsia="Calibri" w:hAnsi="Times New Roman" w:cs="Times New Roman"/>
          <w:sz w:val="24"/>
          <w:szCs w:val="24"/>
          <w:lang w:val="en-US"/>
        </w:rPr>
        <w:t xml:space="preserve">Member of Emirates pediatric and neonatal critical care society  </w:t>
      </w:r>
    </w:p>
    <w:p w14:paraId="5914B1B0" w14:textId="39638C42" w:rsidR="00A45F63" w:rsidRPr="00A45F63" w:rsidRDefault="009B49A8" w:rsidP="00A45F63">
      <w:pPr>
        <w:numPr>
          <w:ilvl w:val="0"/>
          <w:numId w:val="2"/>
        </w:num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i/>
          <w:iCs/>
          <w:sz w:val="24"/>
          <w:szCs w:val="24"/>
          <w:lang w:val="en-US"/>
        </w:rPr>
        <w:t xml:space="preserve">Consultant </w:t>
      </w:r>
      <w:r w:rsidR="00A45F63" w:rsidRPr="00A45F63">
        <w:rPr>
          <w:rFonts w:ascii="Times New Roman" w:eastAsia="Calibri" w:hAnsi="Times New Roman" w:cs="Times New Roman"/>
          <w:i/>
          <w:iCs/>
          <w:sz w:val="24"/>
          <w:szCs w:val="24"/>
          <w:lang w:val="en-US"/>
        </w:rPr>
        <w:t>Pediatric</w:t>
      </w:r>
      <w:r>
        <w:rPr>
          <w:rFonts w:ascii="Times New Roman" w:eastAsia="Calibri" w:hAnsi="Times New Roman" w:cs="Times New Roman"/>
          <w:i/>
          <w:iCs/>
          <w:sz w:val="24"/>
          <w:szCs w:val="24"/>
          <w:lang w:val="en-US"/>
        </w:rPr>
        <w:t>&amp; Pediatric</w:t>
      </w:r>
      <w:r w:rsidR="00A45F63" w:rsidRPr="00A45F63">
        <w:rPr>
          <w:rFonts w:ascii="Times New Roman" w:eastAsia="Calibri" w:hAnsi="Times New Roman" w:cs="Times New Roman"/>
          <w:i/>
          <w:iCs/>
          <w:sz w:val="24"/>
          <w:szCs w:val="24"/>
          <w:lang w:val="en-US"/>
        </w:rPr>
        <w:t xml:space="preserve"> intensivist </w:t>
      </w:r>
    </w:p>
    <w:p w14:paraId="09F1A367" w14:textId="77777777" w:rsidR="00A45F63" w:rsidRPr="00A45F63" w:rsidRDefault="00A45F63" w:rsidP="00A45F63">
      <w:pPr>
        <w:spacing w:after="0" w:line="240" w:lineRule="auto"/>
        <w:rPr>
          <w:rFonts w:ascii="Times New Roman" w:eastAsia="Calibri" w:hAnsi="Times New Roman" w:cs="Times New Roman"/>
          <w:sz w:val="24"/>
          <w:szCs w:val="24"/>
          <w:lang w:val="en-US"/>
        </w:rPr>
      </w:pPr>
      <w:r w:rsidRPr="00A45F63">
        <w:rPr>
          <w:rFonts w:ascii="Times New Roman" w:eastAsia="Calibri" w:hAnsi="Times New Roman" w:cs="Times New Roman"/>
          <w:i/>
          <w:iCs/>
          <w:sz w:val="24"/>
          <w:szCs w:val="24"/>
          <w:lang w:val="en-US"/>
        </w:rPr>
        <w:t xml:space="preserve">             </w:t>
      </w:r>
      <w:r w:rsidRPr="00A45F63">
        <w:rPr>
          <w:rFonts w:ascii="Times New Roman" w:eastAsia="Calibri" w:hAnsi="Times New Roman" w:cs="Times New Roman"/>
          <w:sz w:val="24"/>
          <w:szCs w:val="24"/>
          <w:lang w:val="en-US"/>
        </w:rPr>
        <w:t>Aljalila children’s specialty Hospital, Dubai UAE</w:t>
      </w:r>
    </w:p>
    <w:p w14:paraId="16166091" w14:textId="77777777" w:rsidR="006B74E7" w:rsidRDefault="006B74E7" w:rsidP="006B74E7">
      <w:pPr>
        <w:autoSpaceDE w:val="0"/>
        <w:autoSpaceDN w:val="0"/>
        <w:adjustRightInd w:val="0"/>
        <w:spacing w:line="240" w:lineRule="auto"/>
        <w:rPr>
          <w:rFonts w:ascii="Times New Roman" w:eastAsia="Times New Roman" w:hAnsi="Times New Roman" w:cs="Times New Roman"/>
          <w:b/>
          <w:noProof/>
          <w:color w:val="E36C0A" w:themeColor="accent6" w:themeShade="BF"/>
          <w:sz w:val="24"/>
          <w:szCs w:val="24"/>
        </w:rPr>
      </w:pPr>
    </w:p>
    <w:p w14:paraId="73834C5A" w14:textId="77777777" w:rsidR="006B74E7" w:rsidRPr="00194BF9" w:rsidRDefault="006B74E7" w:rsidP="006B74E7">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p>
    <w:p w14:paraId="0F1502F2" w14:textId="77777777" w:rsidR="006B74E7" w:rsidRPr="006B74E7" w:rsidRDefault="006B74E7" w:rsidP="006B74E7">
      <w:pPr>
        <w:rPr>
          <w:rFonts w:asciiTheme="majorBidi" w:hAnsiTheme="majorBidi" w:cstheme="majorBidi"/>
          <w:color w:val="000000" w:themeColor="text1"/>
          <w:sz w:val="27"/>
          <w:szCs w:val="27"/>
          <w:shd w:val="clear" w:color="auto" w:fill="FFFFFF"/>
        </w:rPr>
      </w:pPr>
      <w:r w:rsidRPr="006B74E7">
        <w:rPr>
          <w:rFonts w:asciiTheme="majorBidi" w:hAnsiTheme="majorBidi" w:cstheme="majorBidi"/>
          <w:color w:val="000000" w:themeColor="text1"/>
          <w:sz w:val="27"/>
          <w:szCs w:val="27"/>
          <w:shd w:val="clear" w:color="auto" w:fill="FFFFFF"/>
        </w:rPr>
        <w:t xml:space="preserve">Dr. Mohamed is a Paediatric Intensivist at Al Jalila Children’s with more than 20 years of experience in both Pediatric intensive care unit and neonatal intensive care unit. Dr Mohamed graduated from Alexandria Faculty of Medicine, Egypt one of the largest and reputable University hospital in Egypt. He completed a residency programme at Alexandria </w:t>
      </w:r>
      <w:r w:rsidRPr="006B74E7">
        <w:rPr>
          <w:rFonts w:asciiTheme="majorBidi" w:hAnsiTheme="majorBidi" w:cstheme="majorBidi"/>
          <w:color w:val="000000" w:themeColor="text1"/>
          <w:sz w:val="27"/>
          <w:szCs w:val="27"/>
          <w:shd w:val="clear" w:color="auto" w:fill="FFFFFF"/>
        </w:rPr>
        <w:lastRenderedPageBreak/>
        <w:t>University Children’s Hospital and obtained his master’s degree in paediatrics and neonatology. Dr Mohamed also is a membership of royal colleague of pediatric and child health London UK. Dr. Mohamed was working as senior specialist in Kuwait for more than 13 years in both NICU and PICU in one of the major governmental hospital. Dr. Mohamed has an interest in PICU and management of acute bronchial Asthma, ARDS, DKA, status epilepticus and all metabolic emergencies.</w:t>
      </w:r>
      <w:r w:rsidRPr="006B74E7">
        <w:rPr>
          <w:rFonts w:asciiTheme="majorBidi" w:hAnsiTheme="majorBidi" w:cstheme="majorBidi"/>
          <w:color w:val="000000" w:themeColor="text1"/>
          <w:lang w:val="en-US"/>
        </w:rPr>
        <w:t xml:space="preserve"> </w:t>
      </w:r>
    </w:p>
    <w:p w14:paraId="341EC745" w14:textId="77777777" w:rsidR="006B3217" w:rsidRPr="006B74E7" w:rsidRDefault="006B3217" w:rsidP="00A45F63">
      <w:pPr>
        <w:spacing w:after="0" w:line="240" w:lineRule="auto"/>
        <w:rPr>
          <w:rFonts w:ascii="Times New Roman" w:eastAsia="Calibri" w:hAnsi="Times New Roman" w:cs="Times New Roman"/>
          <w:sz w:val="24"/>
          <w:szCs w:val="24"/>
        </w:rPr>
      </w:pPr>
    </w:p>
    <w:sectPr w:rsidR="006B3217" w:rsidRPr="006B74E7"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JannaLT-Regular">
    <w:altName w:val="Times New Roman"/>
    <w:panose1 w:val="020B0604020202020204"/>
    <w:charset w:val="00"/>
    <w:family w:val="auto"/>
    <w:pitch w:val="default"/>
    <w:sig w:usb0="00000000" w:usb1="00000000" w:usb2="00000008" w:usb3="00000000" w:csb0="00000041" w:csb1="00000000"/>
  </w:font>
  <w:font w:name="Dubai">
    <w:panose1 w:val="020B0503030403030204"/>
    <w:charset w:val="00"/>
    <w:family w:val="swiss"/>
    <w:pitch w:val="variable"/>
    <w:sig w:usb0="80002067"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330ECA"/>
    <w:multiLevelType w:val="multilevel"/>
    <w:tmpl w:val="37E26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8B117A"/>
    <w:multiLevelType w:val="multilevel"/>
    <w:tmpl w:val="5C024D94"/>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E0728E8"/>
    <w:multiLevelType w:val="multilevel"/>
    <w:tmpl w:val="F7D69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4D94127"/>
    <w:multiLevelType w:val="hybridMultilevel"/>
    <w:tmpl w:val="1A6CF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64503A"/>
    <w:multiLevelType w:val="multilevel"/>
    <w:tmpl w:val="EC7A8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597"/>
    <w:rsid w:val="00155B14"/>
    <w:rsid w:val="001753E4"/>
    <w:rsid w:val="00194BF9"/>
    <w:rsid w:val="00297DC3"/>
    <w:rsid w:val="0036532A"/>
    <w:rsid w:val="00375B3D"/>
    <w:rsid w:val="003F6760"/>
    <w:rsid w:val="0046369B"/>
    <w:rsid w:val="005342A3"/>
    <w:rsid w:val="00607A26"/>
    <w:rsid w:val="00676597"/>
    <w:rsid w:val="006B3217"/>
    <w:rsid w:val="006B74E7"/>
    <w:rsid w:val="006D08A1"/>
    <w:rsid w:val="00784AC0"/>
    <w:rsid w:val="007D2F00"/>
    <w:rsid w:val="00974F83"/>
    <w:rsid w:val="009B49A8"/>
    <w:rsid w:val="009C72EB"/>
    <w:rsid w:val="009F2145"/>
    <w:rsid w:val="00A2285E"/>
    <w:rsid w:val="00A45F63"/>
    <w:rsid w:val="00A81E5E"/>
    <w:rsid w:val="00AF2CF0"/>
    <w:rsid w:val="00BD62B3"/>
    <w:rsid w:val="00DF560E"/>
    <w:rsid w:val="00FA08F0"/>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05411"/>
  <w15:docId w15:val="{537544BA-68D7-40E4-92CC-038888917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 w:type="character" w:styleId="UnresolvedMention">
    <w:name w:val="Unresolved Mention"/>
    <w:basedOn w:val="DefaultParagraphFont"/>
    <w:uiPriority w:val="99"/>
    <w:semiHidden/>
    <w:unhideWhenUsed/>
    <w:rsid w:val="00A81E5E"/>
    <w:rPr>
      <w:color w:val="605E5C"/>
      <w:shd w:val="clear" w:color="auto" w:fill="E1DFDD"/>
    </w:rPr>
  </w:style>
  <w:style w:type="paragraph" w:styleId="NormalWeb">
    <w:name w:val="Normal (Web)"/>
    <w:basedOn w:val="Normal"/>
    <w:uiPriority w:val="99"/>
    <w:semiHidden/>
    <w:unhideWhenUsed/>
    <w:rsid w:val="009F214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9F2145"/>
    <w:rPr>
      <w:i/>
      <w:iCs/>
    </w:rPr>
  </w:style>
  <w:style w:type="paragraph" w:customStyle="1" w:styleId="Default">
    <w:name w:val="Default"/>
    <w:rsid w:val="005342A3"/>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675</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Mohamed Ebraheem Ragab Elmesserey</cp:lastModifiedBy>
  <cp:revision>2</cp:revision>
  <dcterms:created xsi:type="dcterms:W3CDTF">2021-02-12T12:39:00Z</dcterms:created>
  <dcterms:modified xsi:type="dcterms:W3CDTF">2021-02-12T12:39:00Z</dcterms:modified>
</cp:coreProperties>
</file>