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E5B" w:rsidRDefault="00B73E5B" w:rsidP="00B73E5B">
      <w:pPr>
        <w:spacing w:before="92"/>
        <w:ind w:left="594" w:right="151"/>
        <w:rPr>
          <w:b/>
          <w:color w:val="585858"/>
        </w:rPr>
      </w:pPr>
      <w:r>
        <w:rPr>
          <w:b/>
          <w:color w:val="585858"/>
        </w:rPr>
        <w:t>Title: Persistent abnormal vaginal flora was associated with increased risk of late miscarriage and preterm birth in Bangladesh women</w:t>
      </w:r>
    </w:p>
    <w:p w:rsidR="00B73E5B" w:rsidRDefault="00B73E5B" w:rsidP="00B73E5B">
      <w:pPr>
        <w:spacing w:line="360" w:lineRule="auto"/>
        <w:ind w:firstLine="594"/>
        <w:rPr>
          <w:sz w:val="24"/>
          <w:szCs w:val="24"/>
        </w:rPr>
      </w:pPr>
    </w:p>
    <w:p w:rsidR="00B73E5B" w:rsidRPr="00C03005" w:rsidRDefault="00B73E5B" w:rsidP="00B73E5B">
      <w:pPr>
        <w:ind w:left="590"/>
        <w:rPr>
          <w:color w:val="1A1A1A"/>
          <w:sz w:val="19"/>
          <w:szCs w:val="19"/>
        </w:rPr>
      </w:pPr>
      <w:r w:rsidRPr="00C03005">
        <w:rPr>
          <w:sz w:val="19"/>
          <w:szCs w:val="19"/>
        </w:rPr>
        <w:t>Abdullah H. Baqui</w:t>
      </w:r>
      <w:r w:rsidRPr="00C03005">
        <w:rPr>
          <w:color w:val="312A2A"/>
          <w:sz w:val="19"/>
          <w:szCs w:val="19"/>
          <w:vertAlign w:val="superscript"/>
        </w:rPr>
        <w:t>1</w:t>
      </w:r>
      <w:r w:rsidRPr="00C03005">
        <w:rPr>
          <w:sz w:val="19"/>
          <w:szCs w:val="19"/>
        </w:rPr>
        <w:t>, MBBS, MPH, DrPH</w:t>
      </w:r>
      <w:r w:rsidRPr="00C03005">
        <w:rPr>
          <w:sz w:val="19"/>
          <w:szCs w:val="19"/>
          <w:vertAlign w:val="superscript"/>
        </w:rPr>
        <w:t>1 *</w:t>
      </w:r>
      <w:r w:rsidRPr="00C03005">
        <w:rPr>
          <w:sz w:val="19"/>
          <w:szCs w:val="19"/>
        </w:rPr>
        <w:t>, Anne CC Lee, MD, MPH</w:t>
      </w:r>
      <w:r w:rsidRPr="00C03005">
        <w:rPr>
          <w:sz w:val="19"/>
          <w:szCs w:val="19"/>
          <w:vertAlign w:val="superscript"/>
        </w:rPr>
        <w:t>2</w:t>
      </w:r>
      <w:r w:rsidRPr="00C03005">
        <w:rPr>
          <w:sz w:val="19"/>
          <w:szCs w:val="19"/>
        </w:rPr>
        <w:t>, Alain K. Koffi, MD</w:t>
      </w:r>
      <w:r w:rsidRPr="00C03005">
        <w:rPr>
          <w:sz w:val="19"/>
          <w:szCs w:val="19"/>
          <w:vertAlign w:val="superscript"/>
        </w:rPr>
        <w:t>1</w:t>
      </w:r>
      <w:r w:rsidRPr="00C03005">
        <w:rPr>
          <w:sz w:val="19"/>
          <w:szCs w:val="19"/>
        </w:rPr>
        <w:t>, Rasheda Khanam, MBBS, MPH, PhD</w:t>
      </w:r>
      <w:r w:rsidRPr="00C03005">
        <w:rPr>
          <w:sz w:val="19"/>
          <w:szCs w:val="19"/>
          <w:vertAlign w:val="superscript"/>
        </w:rPr>
        <w:t>1</w:t>
      </w:r>
      <w:r w:rsidRPr="00C03005">
        <w:rPr>
          <w:sz w:val="19"/>
          <w:szCs w:val="19"/>
        </w:rPr>
        <w:t>, Dipak K. Mitra, MBBS, MPH, PhD</w:t>
      </w:r>
      <w:r w:rsidRPr="00C03005">
        <w:rPr>
          <w:sz w:val="19"/>
          <w:szCs w:val="19"/>
          <w:vertAlign w:val="superscript"/>
        </w:rPr>
        <w:t>3</w:t>
      </w:r>
      <w:r w:rsidRPr="00C03005">
        <w:rPr>
          <w:sz w:val="19"/>
          <w:szCs w:val="19"/>
        </w:rPr>
        <w:t>, Sushil Kanta Dasgupta, MA</w:t>
      </w:r>
      <w:r w:rsidRPr="00C03005">
        <w:rPr>
          <w:sz w:val="19"/>
          <w:szCs w:val="19"/>
          <w:vertAlign w:val="superscript"/>
        </w:rPr>
        <w:t>4</w:t>
      </w:r>
      <w:r w:rsidRPr="00C03005">
        <w:rPr>
          <w:sz w:val="19"/>
          <w:szCs w:val="19"/>
        </w:rPr>
        <w:t>, Jamal Uddin, MBBS</w:t>
      </w:r>
      <w:r w:rsidRPr="00C03005">
        <w:rPr>
          <w:sz w:val="19"/>
          <w:szCs w:val="19"/>
          <w:vertAlign w:val="superscript"/>
        </w:rPr>
        <w:t>5</w:t>
      </w:r>
      <w:r w:rsidRPr="00C03005">
        <w:rPr>
          <w:sz w:val="19"/>
          <w:szCs w:val="19"/>
        </w:rPr>
        <w:t xml:space="preserve">, </w:t>
      </w:r>
      <w:proofErr w:type="spellStart"/>
      <w:r w:rsidRPr="00C03005">
        <w:rPr>
          <w:sz w:val="19"/>
          <w:szCs w:val="19"/>
        </w:rPr>
        <w:t>Parvez</w:t>
      </w:r>
      <w:proofErr w:type="spellEnd"/>
      <w:r w:rsidRPr="00C03005">
        <w:rPr>
          <w:sz w:val="19"/>
          <w:szCs w:val="19"/>
        </w:rPr>
        <w:t xml:space="preserve"> Ahmed, MBBS</w:t>
      </w:r>
      <w:r w:rsidRPr="00C03005">
        <w:rPr>
          <w:sz w:val="19"/>
          <w:szCs w:val="19"/>
          <w:vertAlign w:val="superscript"/>
        </w:rPr>
        <w:t>4</w:t>
      </w:r>
      <w:r w:rsidRPr="00C03005">
        <w:rPr>
          <w:sz w:val="19"/>
          <w:szCs w:val="19"/>
        </w:rPr>
        <w:t xml:space="preserve">, Iftekhar </w:t>
      </w:r>
      <w:proofErr w:type="spellStart"/>
      <w:r w:rsidRPr="00C03005">
        <w:rPr>
          <w:sz w:val="19"/>
          <w:szCs w:val="19"/>
        </w:rPr>
        <w:t>Rafiqullah</w:t>
      </w:r>
      <w:proofErr w:type="spellEnd"/>
      <w:r w:rsidRPr="00C03005">
        <w:rPr>
          <w:sz w:val="19"/>
          <w:szCs w:val="19"/>
        </w:rPr>
        <w:t>, MSc</w:t>
      </w:r>
      <w:r w:rsidRPr="00C03005">
        <w:rPr>
          <w:sz w:val="19"/>
          <w:szCs w:val="19"/>
          <w:vertAlign w:val="superscript"/>
        </w:rPr>
        <w:t>5</w:t>
      </w:r>
      <w:r w:rsidRPr="00C03005">
        <w:rPr>
          <w:sz w:val="19"/>
          <w:szCs w:val="19"/>
        </w:rPr>
        <w:t xml:space="preserve">, </w:t>
      </w:r>
      <w:proofErr w:type="spellStart"/>
      <w:r w:rsidRPr="00C03005">
        <w:rPr>
          <w:sz w:val="19"/>
          <w:szCs w:val="19"/>
        </w:rPr>
        <w:t>Mahmoodur</w:t>
      </w:r>
      <w:proofErr w:type="spellEnd"/>
      <w:r w:rsidRPr="00C03005">
        <w:rPr>
          <w:sz w:val="19"/>
          <w:szCs w:val="19"/>
        </w:rPr>
        <w:t xml:space="preserve"> Rahman, MBBS</w:t>
      </w:r>
      <w:r w:rsidRPr="00C03005">
        <w:rPr>
          <w:sz w:val="19"/>
          <w:szCs w:val="19"/>
          <w:vertAlign w:val="superscript"/>
        </w:rPr>
        <w:t>4</w:t>
      </w:r>
      <w:r w:rsidRPr="00C03005">
        <w:rPr>
          <w:sz w:val="19"/>
          <w:szCs w:val="19"/>
        </w:rPr>
        <w:t>, Abdul QuaiyumMBBS</w:t>
      </w:r>
      <w:r w:rsidRPr="00C03005">
        <w:rPr>
          <w:sz w:val="19"/>
          <w:szCs w:val="19"/>
          <w:vertAlign w:val="superscript"/>
        </w:rPr>
        <w:t>4</w:t>
      </w:r>
      <w:r w:rsidRPr="00C03005">
        <w:rPr>
          <w:sz w:val="19"/>
          <w:szCs w:val="19"/>
        </w:rPr>
        <w:t>, Parul Christian, PhD</w:t>
      </w:r>
      <w:r w:rsidRPr="00C03005">
        <w:rPr>
          <w:sz w:val="19"/>
          <w:szCs w:val="19"/>
          <w:vertAlign w:val="superscript"/>
        </w:rPr>
        <w:t>6</w:t>
      </w:r>
      <w:r w:rsidRPr="00C03005">
        <w:rPr>
          <w:sz w:val="19"/>
          <w:szCs w:val="19"/>
        </w:rPr>
        <w:t>, Samir K Saha, PhD</w:t>
      </w:r>
      <w:r w:rsidRPr="00C03005">
        <w:rPr>
          <w:sz w:val="19"/>
          <w:szCs w:val="19"/>
          <w:vertAlign w:val="superscript"/>
        </w:rPr>
        <w:t>5</w:t>
      </w:r>
      <w:r w:rsidRPr="00C03005">
        <w:rPr>
          <w:sz w:val="19"/>
          <w:szCs w:val="19"/>
        </w:rPr>
        <w:t>, Luke C. Mullany, PhD</w:t>
      </w:r>
      <w:r w:rsidRPr="00C03005">
        <w:rPr>
          <w:sz w:val="19"/>
          <w:szCs w:val="19"/>
          <w:vertAlign w:val="superscript"/>
        </w:rPr>
        <w:t>1</w:t>
      </w:r>
      <w:r w:rsidRPr="00C03005">
        <w:rPr>
          <w:sz w:val="19"/>
          <w:szCs w:val="19"/>
        </w:rPr>
        <w:t>, Alain Labrique, MD, PhD</w:t>
      </w:r>
      <w:r w:rsidRPr="00C03005">
        <w:rPr>
          <w:sz w:val="19"/>
          <w:szCs w:val="19"/>
          <w:vertAlign w:val="superscript"/>
        </w:rPr>
        <w:t>1</w:t>
      </w:r>
      <w:r w:rsidRPr="00C03005">
        <w:rPr>
          <w:sz w:val="19"/>
          <w:szCs w:val="19"/>
        </w:rPr>
        <w:t xml:space="preserve"> for the MIST Study Team o</w:t>
      </w:r>
      <w:r w:rsidRPr="00C03005">
        <w:rPr>
          <w:color w:val="1A1A1A"/>
          <w:sz w:val="19"/>
          <w:szCs w:val="19"/>
        </w:rPr>
        <w:t xml:space="preserve">f the </w:t>
      </w:r>
      <w:proofErr w:type="spellStart"/>
      <w:r w:rsidRPr="00C03005">
        <w:rPr>
          <w:color w:val="1A1A1A"/>
          <w:sz w:val="19"/>
          <w:szCs w:val="19"/>
        </w:rPr>
        <w:t>Projahnmo</w:t>
      </w:r>
      <w:proofErr w:type="spellEnd"/>
      <w:r w:rsidRPr="00C03005">
        <w:rPr>
          <w:color w:val="1A1A1A"/>
          <w:sz w:val="19"/>
          <w:szCs w:val="19"/>
        </w:rPr>
        <w:t xml:space="preserve"> Study Group in Bangladesh</w:t>
      </w:r>
    </w:p>
    <w:p w:rsidR="00B73E5B" w:rsidRPr="00C03005" w:rsidRDefault="00B73E5B" w:rsidP="00B73E5B">
      <w:pPr>
        <w:spacing w:before="92"/>
        <w:ind w:left="594" w:right="151"/>
        <w:rPr>
          <w:sz w:val="19"/>
          <w:szCs w:val="19"/>
        </w:rPr>
      </w:pPr>
    </w:p>
    <w:p w:rsidR="00B73E5B" w:rsidRPr="00C03005" w:rsidRDefault="00B73E5B" w:rsidP="00B73E5B">
      <w:pPr>
        <w:tabs>
          <w:tab w:val="left" w:pos="220"/>
          <w:tab w:val="left" w:pos="720"/>
        </w:tabs>
        <w:adjustRightInd w:val="0"/>
        <w:ind w:left="590"/>
        <w:rPr>
          <w:sz w:val="19"/>
          <w:szCs w:val="19"/>
          <w:vertAlign w:val="superscript"/>
        </w:rPr>
      </w:pPr>
      <w:r w:rsidRPr="00C03005">
        <w:rPr>
          <w:color w:val="312A2A"/>
          <w:sz w:val="19"/>
          <w:szCs w:val="19"/>
          <w:vertAlign w:val="superscript"/>
        </w:rPr>
        <w:t>1</w:t>
      </w:r>
      <w:r w:rsidRPr="00C03005">
        <w:rPr>
          <w:color w:val="312A2A"/>
          <w:sz w:val="19"/>
          <w:szCs w:val="19"/>
        </w:rPr>
        <w:t xml:space="preserve">International Center for Maternal and Newborn Health, </w:t>
      </w:r>
      <w:r w:rsidRPr="00C03005">
        <w:rPr>
          <w:color w:val="000000"/>
          <w:sz w:val="19"/>
          <w:szCs w:val="19"/>
        </w:rPr>
        <w:t xml:space="preserve">Health Systems Program, </w:t>
      </w:r>
      <w:r w:rsidRPr="00C03005">
        <w:rPr>
          <w:color w:val="312A2A"/>
          <w:sz w:val="19"/>
          <w:szCs w:val="19"/>
        </w:rPr>
        <w:t xml:space="preserve">Department of International Health, Johns Hopkins Bloomberg School of Public Health, </w:t>
      </w:r>
      <w:r w:rsidRPr="00C03005">
        <w:rPr>
          <w:sz w:val="19"/>
          <w:szCs w:val="19"/>
        </w:rPr>
        <w:t>615 N Wolfe Street, Baltimore, MD 21205</w:t>
      </w:r>
    </w:p>
    <w:p w:rsidR="00B73E5B" w:rsidRPr="00C03005" w:rsidRDefault="00B73E5B" w:rsidP="00B73E5B">
      <w:pPr>
        <w:pStyle w:val="BodyText"/>
        <w:spacing w:before="9"/>
      </w:pPr>
    </w:p>
    <w:p w:rsidR="00B73E5B" w:rsidRPr="00C03005" w:rsidRDefault="00B73E5B" w:rsidP="00B73E5B">
      <w:pPr>
        <w:rPr>
          <w:sz w:val="19"/>
          <w:szCs w:val="19"/>
        </w:rPr>
        <w:sectPr w:rsidR="00B73E5B" w:rsidRPr="00C03005" w:rsidSect="00B73E5B">
          <w:pgSz w:w="11910" w:h="16840"/>
          <w:pgMar w:top="600" w:right="180" w:bottom="280" w:left="140" w:header="720" w:footer="720" w:gutter="0"/>
          <w:cols w:space="720"/>
        </w:sectPr>
      </w:pPr>
    </w:p>
    <w:p w:rsidR="00B73E5B" w:rsidRPr="00C03005" w:rsidRDefault="00B73E5B" w:rsidP="00B73E5B">
      <w:pPr>
        <w:pStyle w:val="Heading3"/>
        <w:spacing w:before="114"/>
        <w:ind w:left="426" w:right="9" w:firstLine="0"/>
        <w:jc w:val="both"/>
        <w:rPr>
          <w:b w:val="0"/>
        </w:rPr>
      </w:pPr>
      <w:r w:rsidRPr="00C03005">
        <w:rPr>
          <w:color w:val="585858"/>
        </w:rPr>
        <w:t xml:space="preserve">Keywords: </w:t>
      </w:r>
      <w:r w:rsidRPr="00C03005">
        <w:rPr>
          <w:b w:val="0"/>
        </w:rPr>
        <w:t>Abnormal vagina flora, bacterial vaginosis, vaginal microbiome, risk factors, adverse pregnancy outcomes, Bangladesh</w:t>
      </w:r>
    </w:p>
    <w:p w:rsidR="00B73E5B" w:rsidRPr="002966EB" w:rsidRDefault="00B73E5B" w:rsidP="00B73E5B">
      <w:pPr>
        <w:pStyle w:val="BodyText"/>
        <w:spacing w:before="10"/>
        <w:rPr>
          <w:sz w:val="22"/>
          <w:szCs w:val="22"/>
        </w:rPr>
      </w:pPr>
    </w:p>
    <w:p w:rsidR="00B73E5B" w:rsidRPr="00C03005" w:rsidRDefault="00B73E5B" w:rsidP="00B73E5B">
      <w:pPr>
        <w:pStyle w:val="ListParagraph"/>
        <w:numPr>
          <w:ilvl w:val="0"/>
          <w:numId w:val="1"/>
        </w:numPr>
        <w:tabs>
          <w:tab w:val="left" w:pos="1866"/>
          <w:tab w:val="left" w:pos="1867"/>
        </w:tabs>
        <w:ind w:hanging="446"/>
        <w:jc w:val="left"/>
        <w:rPr>
          <w:b/>
          <w:sz w:val="19"/>
          <w:szCs w:val="19"/>
        </w:rPr>
      </w:pPr>
      <w:r w:rsidRPr="00C03005">
        <w:rPr>
          <w:b/>
          <w:color w:val="585858"/>
          <w:sz w:val="19"/>
          <w:szCs w:val="19"/>
        </w:rPr>
        <w:t>Abstract Body (up to 250</w:t>
      </w:r>
      <w:r w:rsidRPr="00C03005">
        <w:rPr>
          <w:b/>
          <w:color w:val="585858"/>
          <w:spacing w:val="-9"/>
          <w:sz w:val="19"/>
          <w:szCs w:val="19"/>
        </w:rPr>
        <w:t xml:space="preserve"> </w:t>
      </w:r>
      <w:r w:rsidRPr="00C03005">
        <w:rPr>
          <w:b/>
          <w:color w:val="585858"/>
          <w:sz w:val="19"/>
          <w:szCs w:val="19"/>
        </w:rPr>
        <w:t>words)</w:t>
      </w:r>
    </w:p>
    <w:p w:rsidR="00B73E5B" w:rsidRPr="00C03005" w:rsidRDefault="00B73E5B" w:rsidP="00B73E5B">
      <w:pPr>
        <w:ind w:left="720"/>
        <w:rPr>
          <w:sz w:val="19"/>
          <w:szCs w:val="19"/>
        </w:rPr>
      </w:pPr>
      <w:r w:rsidRPr="00C03005">
        <w:rPr>
          <w:color w:val="000000"/>
          <w:sz w:val="19"/>
          <w:szCs w:val="19"/>
          <w:shd w:val="clear" w:color="auto" w:fill="FFFFFF"/>
        </w:rPr>
        <w:t xml:space="preserve">We conducted a cluster-randomized trial to evaluate the impact of population-based antenatal screening for abnormal vaginal flora (AVF) in rural Bangladesh. Here, </w:t>
      </w:r>
      <w:r w:rsidRPr="00C03005">
        <w:rPr>
          <w:sz w:val="19"/>
          <w:szCs w:val="19"/>
        </w:rPr>
        <w:t>we report the risk factors for AVF and association of persistent AVF with adverse perinatal outcomes.</w:t>
      </w:r>
      <w:r w:rsidRPr="00C03005">
        <w:rPr>
          <w:b/>
          <w:sz w:val="19"/>
          <w:szCs w:val="19"/>
        </w:rPr>
        <w:t xml:space="preserve"> </w:t>
      </w:r>
      <w:r w:rsidRPr="00C03005">
        <w:rPr>
          <w:sz w:val="19"/>
          <w:szCs w:val="19"/>
        </w:rPr>
        <w:t>Pregnant women (n=4,221) were enrolled at &lt;19 weeks of gestation.  Self-administered mid-</w:t>
      </w:r>
      <w:r w:rsidRPr="00C03005">
        <w:rPr>
          <w:color w:val="000000"/>
          <w:sz w:val="19"/>
          <w:szCs w:val="19"/>
          <w:shd w:val="clear" w:color="auto" w:fill="FFFFFF"/>
        </w:rPr>
        <w:t xml:space="preserve">vaginal swabs were obtained and smears Nugent scored. AVF was treated with oral Clindamycin, and persistent AVF was re-treated. We examined risk factors for AVF and </w:t>
      </w:r>
      <w:r w:rsidRPr="00C03005">
        <w:rPr>
          <w:sz w:val="19"/>
          <w:szCs w:val="19"/>
        </w:rPr>
        <w:t>association of persistent AVF with adverse pregnancy outcomes</w:t>
      </w:r>
      <w:r w:rsidRPr="00C03005">
        <w:rPr>
          <w:color w:val="000000"/>
          <w:sz w:val="19"/>
          <w:szCs w:val="19"/>
          <w:shd w:val="clear" w:color="auto" w:fill="FFFFFF"/>
        </w:rPr>
        <w:t>.</w:t>
      </w:r>
      <w:r w:rsidRPr="00C03005">
        <w:rPr>
          <w:b/>
          <w:sz w:val="19"/>
          <w:szCs w:val="19"/>
        </w:rPr>
        <w:t xml:space="preserve"> </w:t>
      </w:r>
      <w:r w:rsidRPr="00C03005">
        <w:rPr>
          <w:sz w:val="19"/>
          <w:szCs w:val="19"/>
        </w:rPr>
        <w:t>The prevalence of AVF was 16.5%; 9.8% had bacterial vaginosis (BV) and 6.8% had intermediate flora.  Lower economic and educational status of women were associated with increased risk of AVF. One third of the women had persistent AVF; these women had higher risk of preterm birth [RR 1.34; 95% CI (</w:t>
      </w:r>
      <w:r w:rsidRPr="00C03005">
        <w:rPr>
          <w:color w:val="000000"/>
          <w:sz w:val="19"/>
          <w:szCs w:val="19"/>
        </w:rPr>
        <w:t xml:space="preserve">1.07-1.66)], late miscarriage </w:t>
      </w:r>
      <w:r w:rsidRPr="00C03005">
        <w:rPr>
          <w:sz w:val="19"/>
          <w:szCs w:val="19"/>
        </w:rPr>
        <w:t xml:space="preserve">[RR 4.22; 95% CI </w:t>
      </w:r>
      <w:r w:rsidRPr="00C03005">
        <w:rPr>
          <w:color w:val="000000"/>
          <w:sz w:val="19"/>
          <w:szCs w:val="19"/>
        </w:rPr>
        <w:t>(</w:t>
      </w:r>
      <w:r w:rsidRPr="00C03005">
        <w:rPr>
          <w:bCs/>
          <w:color w:val="000000"/>
          <w:sz w:val="19"/>
          <w:szCs w:val="19"/>
        </w:rPr>
        <w:t xml:space="preserve">2.15-8.27)], and late fetal deaths </w:t>
      </w:r>
      <w:r w:rsidRPr="00C03005">
        <w:rPr>
          <w:sz w:val="19"/>
          <w:szCs w:val="19"/>
        </w:rPr>
        <w:t>[RR 1.57; 95% CI (</w:t>
      </w:r>
      <w:r w:rsidRPr="00C03005">
        <w:rPr>
          <w:bCs/>
          <w:color w:val="000000"/>
          <w:sz w:val="19"/>
          <w:szCs w:val="19"/>
        </w:rPr>
        <w:t xml:space="preserve">1.03-2.40)] compared to women without AVF.  </w:t>
      </w:r>
      <w:r w:rsidRPr="00C03005">
        <w:rPr>
          <w:sz w:val="19"/>
          <w:szCs w:val="19"/>
        </w:rPr>
        <w:t>In Bangladesh, rates of AVF and persistent AVF were high and persistent AVF was strongly associated with adverse pregnancy outcomes, particularly late miscarriage. Further characterization of the microbiome and relative bacterial species density associated with persistent AVF is needed.</w:t>
      </w:r>
    </w:p>
    <w:p w:rsidR="00B73E5B" w:rsidRPr="002966EB" w:rsidRDefault="00B73E5B" w:rsidP="00B73E5B">
      <w:pPr>
        <w:pStyle w:val="Heading3"/>
        <w:numPr>
          <w:ilvl w:val="0"/>
          <w:numId w:val="1"/>
        </w:numPr>
        <w:tabs>
          <w:tab w:val="left" w:pos="1914"/>
          <w:tab w:val="left" w:pos="1915"/>
        </w:tabs>
        <w:ind w:left="1914" w:hanging="494"/>
        <w:jc w:val="left"/>
        <w:rPr>
          <w:sz w:val="22"/>
          <w:szCs w:val="22"/>
        </w:rPr>
      </w:pPr>
      <w:r w:rsidRPr="002966EB">
        <w:rPr>
          <w:color w:val="585858"/>
          <w:sz w:val="22"/>
          <w:szCs w:val="22"/>
        </w:rPr>
        <w:t>Image:</w:t>
      </w:r>
    </w:p>
    <w:p w:rsidR="00162AB5" w:rsidRPr="002966EB" w:rsidRDefault="00162AB5" w:rsidP="00162AB5">
      <w:pPr>
        <w:pStyle w:val="Heading3"/>
        <w:tabs>
          <w:tab w:val="left" w:pos="1914"/>
          <w:tab w:val="left" w:pos="1915"/>
        </w:tabs>
        <w:ind w:left="0" w:firstLine="0"/>
        <w:rPr>
          <w:sz w:val="22"/>
          <w:szCs w:val="22"/>
        </w:rPr>
      </w:pPr>
    </w:p>
    <w:p w:rsidR="00B73E5B" w:rsidRPr="002966EB" w:rsidRDefault="00162AB5" w:rsidP="00C03005">
      <w:pPr>
        <w:pStyle w:val="BodyText"/>
        <w:ind w:left="270"/>
        <w:rPr>
          <w:sz w:val="22"/>
          <w:szCs w:val="22"/>
        </w:rPr>
      </w:pPr>
      <w:r w:rsidRPr="002966EB">
        <w:rPr>
          <w:noProof/>
          <w:color w:val="585858"/>
          <w:sz w:val="22"/>
          <w:szCs w:val="22"/>
          <w:lang w:bidi="bn-BD"/>
        </w:rPr>
        <w:drawing>
          <wp:inline distT="0" distB="0" distL="0" distR="0" wp14:anchorId="19C07BE2" wp14:editId="085D497F">
            <wp:extent cx="3002989" cy="1764665"/>
            <wp:effectExtent l="0" t="0" r="6985" b="6985"/>
            <wp:docPr id="1" name="Picture 1" descr="C:\Users\ABaqui\Dropbox\Projahnmo Pictures\RAW _ Jokiganj _ Sylhet _ ANISA - 4.10.11\IMG_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aqui\Dropbox\Projahnmo Pictures\RAW _ Jokiganj _ Sylhet _ ANISA - 4.10.11\IMG_015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10287" cy="1768954"/>
                    </a:xfrm>
                    <a:prstGeom prst="rect">
                      <a:avLst/>
                    </a:prstGeom>
                    <a:noFill/>
                    <a:ln>
                      <a:noFill/>
                    </a:ln>
                  </pic:spPr>
                </pic:pic>
              </a:graphicData>
            </a:graphic>
          </wp:inline>
        </w:drawing>
      </w:r>
    </w:p>
    <w:p w:rsidR="00B73E5B" w:rsidRPr="002966EB" w:rsidRDefault="00B73E5B" w:rsidP="00B73E5B">
      <w:pPr>
        <w:pStyle w:val="ListParagraph"/>
        <w:numPr>
          <w:ilvl w:val="0"/>
          <w:numId w:val="1"/>
        </w:numPr>
        <w:tabs>
          <w:tab w:val="left" w:pos="1758"/>
        </w:tabs>
        <w:spacing w:before="92"/>
        <w:ind w:left="1757"/>
        <w:jc w:val="left"/>
        <w:rPr>
          <w:b/>
        </w:rPr>
      </w:pPr>
      <w:r w:rsidRPr="002966EB">
        <w:rPr>
          <w:b/>
          <w:color w:val="585858"/>
          <w:w w:val="99"/>
        </w:rPr>
        <w:br w:type="column"/>
      </w:r>
      <w:r w:rsidRPr="002966EB">
        <w:rPr>
          <w:b/>
          <w:color w:val="585858"/>
        </w:rPr>
        <w:t>Reference:</w:t>
      </w:r>
    </w:p>
    <w:p w:rsidR="00162AB5" w:rsidRPr="00C03005" w:rsidRDefault="00B73E5B" w:rsidP="00162AB5">
      <w:pPr>
        <w:pStyle w:val="EndNoteBibliography"/>
        <w:spacing w:after="0"/>
        <w:rPr>
          <w:rFonts w:ascii="Times New Roman" w:hAnsi="Times New Roman" w:cs="Times New Roman"/>
          <w:sz w:val="19"/>
          <w:szCs w:val="19"/>
        </w:rPr>
      </w:pPr>
      <w:r w:rsidRPr="00C03005">
        <w:rPr>
          <w:rFonts w:ascii="Times New Roman" w:hAnsi="Times New Roman" w:cs="Times New Roman"/>
          <w:color w:val="585858"/>
          <w:sz w:val="19"/>
          <w:szCs w:val="19"/>
        </w:rPr>
        <w:t>1</w:t>
      </w:r>
      <w:r w:rsidR="00162AB5" w:rsidRPr="00C03005">
        <w:rPr>
          <w:rFonts w:ascii="Times New Roman" w:hAnsi="Times New Roman" w:cs="Times New Roman"/>
          <w:color w:val="585858"/>
          <w:sz w:val="19"/>
          <w:szCs w:val="19"/>
        </w:rPr>
        <w:t xml:space="preserve"> </w:t>
      </w:r>
      <w:r w:rsidR="00162AB5" w:rsidRPr="00C03005">
        <w:rPr>
          <w:rFonts w:ascii="Times New Roman" w:hAnsi="Times New Roman" w:cs="Times New Roman"/>
          <w:sz w:val="19"/>
          <w:szCs w:val="19"/>
        </w:rPr>
        <w:t xml:space="preserve">Nugent RP, Krohn MA, Hillier SL: Reliability of diagnosing bacterial vaginosis is improved by a standardized method of gram stain interpretation. </w:t>
      </w:r>
      <w:r w:rsidR="00162AB5" w:rsidRPr="00C03005">
        <w:rPr>
          <w:rFonts w:ascii="Times New Roman" w:hAnsi="Times New Roman" w:cs="Times New Roman"/>
          <w:i/>
          <w:sz w:val="19"/>
          <w:szCs w:val="19"/>
        </w:rPr>
        <w:t xml:space="preserve">J Clin Microbiol </w:t>
      </w:r>
      <w:r w:rsidR="00162AB5" w:rsidRPr="00C03005">
        <w:rPr>
          <w:rFonts w:ascii="Times New Roman" w:hAnsi="Times New Roman" w:cs="Times New Roman"/>
          <w:sz w:val="19"/>
          <w:szCs w:val="19"/>
        </w:rPr>
        <w:t>1991, 29(2):297-301.</w:t>
      </w:r>
    </w:p>
    <w:p w:rsidR="00162AB5" w:rsidRPr="00C03005" w:rsidRDefault="00162AB5" w:rsidP="00162AB5">
      <w:pPr>
        <w:pStyle w:val="EndNoteBibliography"/>
        <w:spacing w:after="0"/>
        <w:rPr>
          <w:rFonts w:ascii="Times New Roman" w:hAnsi="Times New Roman" w:cs="Times New Roman"/>
          <w:sz w:val="19"/>
          <w:szCs w:val="19"/>
        </w:rPr>
      </w:pPr>
      <w:r w:rsidRPr="00C03005">
        <w:rPr>
          <w:rFonts w:ascii="Times New Roman" w:hAnsi="Times New Roman" w:cs="Times New Roman"/>
          <w:sz w:val="19"/>
          <w:szCs w:val="19"/>
        </w:rPr>
        <w:t xml:space="preserve">2. Romero R, Espinoza J, Chaiworapongsa T, Kalache K: Infection and prematurity and the role of preventive strategies. </w:t>
      </w:r>
      <w:r w:rsidRPr="00C03005">
        <w:rPr>
          <w:rFonts w:ascii="Times New Roman" w:hAnsi="Times New Roman" w:cs="Times New Roman"/>
          <w:i/>
          <w:sz w:val="19"/>
          <w:szCs w:val="19"/>
        </w:rPr>
        <w:t xml:space="preserve">Semin Neonatol </w:t>
      </w:r>
      <w:r w:rsidRPr="00C03005">
        <w:rPr>
          <w:rFonts w:ascii="Times New Roman" w:hAnsi="Times New Roman" w:cs="Times New Roman"/>
          <w:sz w:val="19"/>
          <w:szCs w:val="19"/>
        </w:rPr>
        <w:t>2002, 7(4):259-274.</w:t>
      </w:r>
    </w:p>
    <w:p w:rsidR="00162AB5" w:rsidRPr="00C03005" w:rsidRDefault="00162AB5" w:rsidP="00162AB5">
      <w:pPr>
        <w:pStyle w:val="EndNoteBibliography"/>
        <w:spacing w:after="0"/>
        <w:rPr>
          <w:rFonts w:ascii="Times New Roman" w:hAnsi="Times New Roman" w:cs="Times New Roman"/>
          <w:sz w:val="19"/>
          <w:szCs w:val="19"/>
        </w:rPr>
      </w:pPr>
      <w:r w:rsidRPr="00C03005">
        <w:rPr>
          <w:rFonts w:ascii="Times New Roman" w:hAnsi="Times New Roman" w:cs="Times New Roman"/>
          <w:sz w:val="19"/>
          <w:szCs w:val="19"/>
        </w:rPr>
        <w:t xml:space="preserve">3. Marrazzo JM: Interpreting the epidemiology and natural history of bacterial vaginosis: are we still confused? </w:t>
      </w:r>
      <w:r w:rsidRPr="00C03005">
        <w:rPr>
          <w:rFonts w:ascii="Times New Roman" w:hAnsi="Times New Roman" w:cs="Times New Roman"/>
          <w:i/>
          <w:sz w:val="19"/>
          <w:szCs w:val="19"/>
        </w:rPr>
        <w:t xml:space="preserve">Anaerobe </w:t>
      </w:r>
      <w:r w:rsidRPr="00C03005">
        <w:rPr>
          <w:rFonts w:ascii="Times New Roman" w:hAnsi="Times New Roman" w:cs="Times New Roman"/>
          <w:sz w:val="19"/>
          <w:szCs w:val="19"/>
        </w:rPr>
        <w:t>2011, 17(4):186-190.</w:t>
      </w:r>
    </w:p>
    <w:p w:rsidR="00162AB5" w:rsidRPr="00C03005" w:rsidRDefault="00162AB5" w:rsidP="00162AB5">
      <w:pPr>
        <w:pStyle w:val="EndNoteBibliography"/>
        <w:spacing w:after="0"/>
        <w:rPr>
          <w:rFonts w:ascii="Times New Roman" w:hAnsi="Times New Roman" w:cs="Times New Roman"/>
          <w:sz w:val="19"/>
          <w:szCs w:val="19"/>
        </w:rPr>
      </w:pPr>
      <w:r w:rsidRPr="00C03005">
        <w:rPr>
          <w:rFonts w:ascii="Times New Roman" w:hAnsi="Times New Roman" w:cs="Times New Roman"/>
          <w:sz w:val="19"/>
          <w:szCs w:val="19"/>
        </w:rPr>
        <w:t>4. Lee AC, Quaiyum MA, Mullany LC, Mitra DK, Labrique A, Ahmed P, Uddin J, Rafiqullah I, DasGupta S, Mahmud A</w:t>
      </w:r>
      <w:r w:rsidRPr="00C03005">
        <w:rPr>
          <w:rFonts w:ascii="Times New Roman" w:hAnsi="Times New Roman" w:cs="Times New Roman"/>
          <w:i/>
          <w:sz w:val="19"/>
          <w:szCs w:val="19"/>
        </w:rPr>
        <w:t xml:space="preserve"> et al</w:t>
      </w:r>
      <w:r w:rsidRPr="00C03005">
        <w:rPr>
          <w:rFonts w:ascii="Times New Roman" w:hAnsi="Times New Roman" w:cs="Times New Roman"/>
          <w:sz w:val="19"/>
          <w:szCs w:val="19"/>
        </w:rPr>
        <w:t xml:space="preserve">: Screening and treatment of maternal genitourinary tract infections in early pregnancy to prevent preterm birth in rural Sylhet, Bangladesh: a cluster randomized trial. </w:t>
      </w:r>
      <w:r w:rsidRPr="00C03005">
        <w:rPr>
          <w:rFonts w:ascii="Times New Roman" w:hAnsi="Times New Roman" w:cs="Times New Roman"/>
          <w:i/>
          <w:sz w:val="19"/>
          <w:szCs w:val="19"/>
        </w:rPr>
        <w:t xml:space="preserve">BMC Pregnancy Childbirth </w:t>
      </w:r>
      <w:r w:rsidRPr="00C03005">
        <w:rPr>
          <w:rFonts w:ascii="Times New Roman" w:hAnsi="Times New Roman" w:cs="Times New Roman"/>
          <w:sz w:val="19"/>
          <w:szCs w:val="19"/>
        </w:rPr>
        <w:t>2015, 15:326.</w:t>
      </w:r>
    </w:p>
    <w:p w:rsidR="00162AB5" w:rsidRPr="00C03005" w:rsidRDefault="00162AB5" w:rsidP="00162AB5">
      <w:pPr>
        <w:pStyle w:val="EndNoteBibliography"/>
        <w:spacing w:after="0"/>
        <w:rPr>
          <w:rFonts w:ascii="Times New Roman" w:hAnsi="Times New Roman" w:cs="Times New Roman"/>
          <w:sz w:val="19"/>
          <w:szCs w:val="19"/>
        </w:rPr>
      </w:pPr>
      <w:r w:rsidRPr="00C03005">
        <w:rPr>
          <w:rFonts w:ascii="Times New Roman" w:hAnsi="Times New Roman" w:cs="Times New Roman"/>
          <w:sz w:val="19"/>
          <w:szCs w:val="19"/>
        </w:rPr>
        <w:t xml:space="preserve">5. Leitich H, Kiss H: Asymptomatic bacterial vaginosis and intermediate flora as risk factors for adverse pregnancy outcome. </w:t>
      </w:r>
      <w:r w:rsidRPr="00C03005">
        <w:rPr>
          <w:rFonts w:ascii="Times New Roman" w:hAnsi="Times New Roman" w:cs="Times New Roman"/>
          <w:i/>
          <w:sz w:val="19"/>
          <w:szCs w:val="19"/>
        </w:rPr>
        <w:t xml:space="preserve">Best Pract Res Clin Obstet Gynaecol </w:t>
      </w:r>
      <w:r w:rsidRPr="00C03005">
        <w:rPr>
          <w:rFonts w:ascii="Times New Roman" w:hAnsi="Times New Roman" w:cs="Times New Roman"/>
          <w:sz w:val="19"/>
          <w:szCs w:val="19"/>
        </w:rPr>
        <w:t>2007, 21(3):375-390.</w:t>
      </w:r>
    </w:p>
    <w:p w:rsidR="00B73E5B" w:rsidRPr="00C03005" w:rsidRDefault="00B73E5B" w:rsidP="00B73E5B">
      <w:pPr>
        <w:pStyle w:val="Heading3"/>
        <w:numPr>
          <w:ilvl w:val="0"/>
          <w:numId w:val="1"/>
        </w:numPr>
        <w:tabs>
          <w:tab w:val="left" w:pos="1758"/>
        </w:tabs>
        <w:ind w:left="1757"/>
        <w:jc w:val="left"/>
      </w:pPr>
      <w:r w:rsidRPr="00C03005">
        <w:rPr>
          <w:color w:val="585858"/>
        </w:rPr>
        <w:t>Biography:</w:t>
      </w:r>
    </w:p>
    <w:p w:rsidR="00B73E5B" w:rsidRPr="00C03005" w:rsidRDefault="008B1D3A" w:rsidP="00B73E5B">
      <w:pPr>
        <w:pStyle w:val="BodyText"/>
        <w:spacing w:before="1"/>
      </w:pPr>
      <w:r w:rsidRPr="00C03005">
        <w:rPr>
          <w:bCs/>
        </w:rPr>
        <w:t>Dr. Abdullah Baqui is a professor of International Health and Director of the International Center for Maternal and Newborn Health at Johns Hopkins University in USA. He is trained in medicine, public health, and infectious diseases epidemiology. His current research interests include design and evaluation of health interventions to improve health and survival of mothers, newborns, and children and implementation research to improve coverage, quality and equity of preventive and curative health interventions in large programs in low- and middle-income countries of South Asia and Sub Saharan Africa. He has</w:t>
      </w:r>
      <w:r w:rsidRPr="00C03005">
        <w:t xml:space="preserve"> authored about 300 scientific articles published in peer-reviewed journal.</w:t>
      </w:r>
    </w:p>
    <w:p w:rsidR="00B73E5B" w:rsidRPr="002966EB" w:rsidRDefault="00B73E5B" w:rsidP="00B73E5B">
      <w:pPr>
        <w:pStyle w:val="Heading3"/>
        <w:numPr>
          <w:ilvl w:val="0"/>
          <w:numId w:val="1"/>
        </w:numPr>
        <w:tabs>
          <w:tab w:val="left" w:pos="1757"/>
          <w:tab w:val="left" w:pos="1758"/>
        </w:tabs>
        <w:spacing w:before="1"/>
        <w:ind w:left="1757"/>
        <w:jc w:val="left"/>
        <w:rPr>
          <w:sz w:val="22"/>
          <w:szCs w:val="22"/>
        </w:rPr>
      </w:pPr>
      <w:r w:rsidRPr="002966EB">
        <w:rPr>
          <w:color w:val="585858"/>
          <w:sz w:val="22"/>
          <w:szCs w:val="22"/>
        </w:rPr>
        <w:t>Presenting author</w:t>
      </w:r>
      <w:r w:rsidRPr="002966EB">
        <w:rPr>
          <w:color w:val="585858"/>
          <w:spacing w:val="-7"/>
          <w:sz w:val="22"/>
          <w:szCs w:val="22"/>
        </w:rPr>
        <w:t xml:space="preserve"> </w:t>
      </w:r>
      <w:r w:rsidRPr="002966EB">
        <w:rPr>
          <w:color w:val="585858"/>
          <w:sz w:val="22"/>
          <w:szCs w:val="22"/>
        </w:rPr>
        <w:t>details</w:t>
      </w:r>
    </w:p>
    <w:p w:rsidR="00B73E5B" w:rsidRPr="002966EB" w:rsidRDefault="00860820" w:rsidP="00860820">
      <w:pPr>
        <w:pStyle w:val="BodyText"/>
        <w:spacing w:before="7"/>
        <w:rPr>
          <w:b/>
          <w:sz w:val="22"/>
          <w:szCs w:val="22"/>
        </w:rPr>
      </w:pPr>
      <w:r w:rsidRPr="002966EB">
        <w:rPr>
          <w:noProof/>
          <w:sz w:val="22"/>
          <w:szCs w:val="22"/>
          <w:lang w:bidi="bn-BD"/>
        </w:rPr>
        <w:drawing>
          <wp:inline distT="0" distB="0" distL="0" distR="0" wp14:anchorId="4FE217F8" wp14:editId="2FBE7171">
            <wp:extent cx="952500" cy="952500"/>
            <wp:effectExtent l="0" t="0" r="0" b="0"/>
            <wp:docPr id="2" name="Picture 2" descr="C:\Users\ABaqui\Dropbox\Baqui Picture\Baqui-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aqui\Dropbox\Baqui Picture\Baqui-201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rsidR="00B73E5B" w:rsidRPr="00757C73" w:rsidRDefault="00B73E5B" w:rsidP="00C03005">
      <w:pPr>
        <w:pStyle w:val="BodyText"/>
        <w:spacing w:before="172"/>
        <w:ind w:left="316" w:right="1501"/>
        <w:rPr>
          <w:color w:val="585858"/>
          <w:sz w:val="20"/>
          <w:szCs w:val="20"/>
        </w:rPr>
      </w:pPr>
      <w:r w:rsidRPr="00757C73">
        <w:rPr>
          <w:color w:val="585858"/>
          <w:sz w:val="20"/>
          <w:szCs w:val="20"/>
        </w:rPr>
        <w:t xml:space="preserve">Full Name: </w:t>
      </w:r>
      <w:r w:rsidR="00AD5581" w:rsidRPr="00757C73">
        <w:rPr>
          <w:color w:val="585858"/>
          <w:sz w:val="20"/>
          <w:szCs w:val="20"/>
        </w:rPr>
        <w:t xml:space="preserve">Abdullah H. </w:t>
      </w:r>
      <w:r w:rsidR="00757C73">
        <w:rPr>
          <w:color w:val="585858"/>
          <w:sz w:val="20"/>
          <w:szCs w:val="20"/>
        </w:rPr>
        <w:t xml:space="preserve">Baqui, </w:t>
      </w:r>
      <w:r w:rsidRPr="00757C73">
        <w:rPr>
          <w:color w:val="585858"/>
          <w:sz w:val="20"/>
          <w:szCs w:val="20"/>
        </w:rPr>
        <w:t xml:space="preserve">Contact number: </w:t>
      </w:r>
      <w:r w:rsidR="00AD5581" w:rsidRPr="00757C73">
        <w:rPr>
          <w:color w:val="585858"/>
          <w:sz w:val="20"/>
          <w:szCs w:val="20"/>
        </w:rPr>
        <w:t>+1</w:t>
      </w:r>
      <w:r w:rsidR="006D09BC" w:rsidRPr="00757C73">
        <w:rPr>
          <w:color w:val="585858"/>
          <w:sz w:val="20"/>
          <w:szCs w:val="20"/>
        </w:rPr>
        <w:t xml:space="preserve"> 410 967 1656</w:t>
      </w:r>
      <w:r w:rsidR="00757C73">
        <w:rPr>
          <w:color w:val="585858"/>
          <w:sz w:val="20"/>
          <w:szCs w:val="20"/>
        </w:rPr>
        <w:t xml:space="preserve">, </w:t>
      </w:r>
    </w:p>
    <w:p w:rsidR="00B73E5B" w:rsidRPr="00757C73" w:rsidRDefault="00B73E5B" w:rsidP="00B73E5B">
      <w:pPr>
        <w:pStyle w:val="BodyText"/>
        <w:ind w:left="316"/>
        <w:rPr>
          <w:sz w:val="20"/>
          <w:szCs w:val="20"/>
        </w:rPr>
      </w:pPr>
      <w:r w:rsidRPr="00757C73">
        <w:rPr>
          <w:color w:val="585858"/>
          <w:sz w:val="20"/>
          <w:szCs w:val="20"/>
        </w:rPr>
        <w:t>Session name/ number:</w:t>
      </w:r>
      <w:r w:rsidR="006D09BC" w:rsidRPr="00757C73">
        <w:rPr>
          <w:color w:val="585858"/>
          <w:sz w:val="20"/>
          <w:szCs w:val="20"/>
        </w:rPr>
        <w:t xml:space="preserve"> Neonatal and Perinatal Medicine</w:t>
      </w:r>
    </w:p>
    <w:p w:rsidR="006D09BC" w:rsidRPr="00757C73" w:rsidRDefault="00B73E5B" w:rsidP="00C03005">
      <w:pPr>
        <w:pStyle w:val="BodyText"/>
        <w:ind w:left="316" w:right="601"/>
        <w:rPr>
          <w:color w:val="585858"/>
          <w:sz w:val="20"/>
          <w:szCs w:val="20"/>
        </w:rPr>
      </w:pPr>
      <w:r w:rsidRPr="00757C73">
        <w:rPr>
          <w:color w:val="585858"/>
          <w:sz w:val="20"/>
          <w:szCs w:val="20"/>
        </w:rPr>
        <w:t xml:space="preserve">Category: (Oral presentation/ Poster presentation) </w:t>
      </w:r>
    </w:p>
    <w:p w:rsidR="00B73E5B" w:rsidRPr="002966EB" w:rsidRDefault="00B73E5B" w:rsidP="00C03005">
      <w:pPr>
        <w:pStyle w:val="BodyText"/>
        <w:ind w:left="316" w:right="1786"/>
        <w:sectPr w:rsidR="00B73E5B" w:rsidRPr="002966EB">
          <w:type w:val="continuous"/>
          <w:pgSz w:w="11910" w:h="16840"/>
          <w:pgMar w:top="600" w:right="180" w:bottom="280" w:left="140" w:header="720" w:footer="720" w:gutter="0"/>
          <w:cols w:num="2" w:space="720" w:equalWidth="0">
            <w:col w:w="5639" w:space="40"/>
            <w:col w:w="5911"/>
          </w:cols>
        </w:sectPr>
      </w:pPr>
      <w:r w:rsidRPr="002966EB">
        <w:rPr>
          <w:color w:val="585858"/>
          <w:sz w:val="22"/>
          <w:szCs w:val="22"/>
        </w:rPr>
        <w:t>Passport Number:</w:t>
      </w:r>
      <w:r w:rsidR="00C03005">
        <w:rPr>
          <w:color w:val="585858"/>
          <w:sz w:val="22"/>
          <w:szCs w:val="22"/>
        </w:rPr>
        <w:t xml:space="preserve"> </w:t>
      </w:r>
      <w:r w:rsidR="00C03005">
        <w:t>US 50547714</w:t>
      </w:r>
    </w:p>
    <w:p w:rsidR="00B73E5B" w:rsidRPr="002966EB" w:rsidRDefault="00B73E5B" w:rsidP="00B73E5B">
      <w:pPr>
        <w:pStyle w:val="BodyText"/>
        <w:rPr>
          <w:sz w:val="22"/>
          <w:szCs w:val="22"/>
        </w:rPr>
      </w:pPr>
      <w:bookmarkStart w:id="0" w:name="_GoBack"/>
      <w:bookmarkEnd w:id="0"/>
    </w:p>
    <w:sectPr w:rsidR="00B73E5B" w:rsidRPr="002966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E5B"/>
    <w:rsid w:val="00162AB5"/>
    <w:rsid w:val="002966EB"/>
    <w:rsid w:val="006D09BC"/>
    <w:rsid w:val="00757C73"/>
    <w:rsid w:val="00860820"/>
    <w:rsid w:val="008B1D3A"/>
    <w:rsid w:val="008F5E8E"/>
    <w:rsid w:val="00AD5581"/>
    <w:rsid w:val="00B73E5B"/>
    <w:rsid w:val="00C03005"/>
    <w:rsid w:val="00CE1D9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A8208-1324-4F88-BEF0-99A2411C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73E5B"/>
    <w:pPr>
      <w:widowControl w:val="0"/>
      <w:autoSpaceDE w:val="0"/>
      <w:autoSpaceDN w:val="0"/>
      <w:spacing w:after="0" w:line="240" w:lineRule="auto"/>
    </w:pPr>
    <w:rPr>
      <w:rFonts w:ascii="Times New Roman" w:eastAsia="Times New Roman" w:hAnsi="Times New Roman" w:cs="Times New Roman"/>
    </w:rPr>
  </w:style>
  <w:style w:type="paragraph" w:styleId="Heading3">
    <w:name w:val="heading 3"/>
    <w:basedOn w:val="Normal"/>
    <w:link w:val="Heading3Char"/>
    <w:uiPriority w:val="1"/>
    <w:qFormat/>
    <w:rsid w:val="00B73E5B"/>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73E5B"/>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B73E5B"/>
    <w:rPr>
      <w:sz w:val="19"/>
      <w:szCs w:val="19"/>
    </w:rPr>
  </w:style>
  <w:style w:type="character" w:customStyle="1" w:styleId="BodyTextChar">
    <w:name w:val="Body Text Char"/>
    <w:basedOn w:val="DefaultParagraphFont"/>
    <w:link w:val="BodyText"/>
    <w:uiPriority w:val="1"/>
    <w:rsid w:val="00B73E5B"/>
    <w:rPr>
      <w:rFonts w:ascii="Times New Roman" w:eastAsia="Times New Roman" w:hAnsi="Times New Roman" w:cs="Times New Roman"/>
      <w:sz w:val="19"/>
      <w:szCs w:val="19"/>
    </w:rPr>
  </w:style>
  <w:style w:type="paragraph" w:styleId="ListParagraph">
    <w:name w:val="List Paragraph"/>
    <w:basedOn w:val="Normal"/>
    <w:uiPriority w:val="1"/>
    <w:qFormat/>
    <w:rsid w:val="00B73E5B"/>
    <w:pPr>
      <w:ind w:left="1757" w:hanging="447"/>
    </w:pPr>
  </w:style>
  <w:style w:type="paragraph" w:customStyle="1" w:styleId="EndNoteBibliography">
    <w:name w:val="EndNote Bibliography"/>
    <w:basedOn w:val="Normal"/>
    <w:link w:val="EndNoteBibliographyChar"/>
    <w:rsid w:val="00162AB5"/>
    <w:pPr>
      <w:widowControl/>
      <w:autoSpaceDE/>
      <w:autoSpaceDN/>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162AB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Baqui</dc:creator>
  <cp:keywords/>
  <dc:description/>
  <cp:lastModifiedBy>RKhanam</cp:lastModifiedBy>
  <cp:revision>5</cp:revision>
  <dcterms:created xsi:type="dcterms:W3CDTF">2018-04-05T12:33:00Z</dcterms:created>
  <dcterms:modified xsi:type="dcterms:W3CDTF">2018-04-06T14:37:00Z</dcterms:modified>
</cp:coreProperties>
</file>