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5F3A" w:rsidRDefault="00966364" w:rsidP="002A3166">
      <w:pPr>
        <w:pStyle w:val="BodyText"/>
        <w:rPr>
          <w:sz w:val="20"/>
        </w:rPr>
      </w:pPr>
      <w:r>
        <w:rPr>
          <w:noProof/>
          <w:sz w:val="20"/>
          <w:lang w:val="en-IN" w:eastAsia="en-IN"/>
        </w:rPr>
        <w:t xml:space="preserve">            </w:t>
      </w:r>
    </w:p>
    <w:p w:rsidR="00225F3A" w:rsidRDefault="00225F3A">
      <w:pPr>
        <w:pStyle w:val="BodyText"/>
        <w:rPr>
          <w:b/>
          <w:sz w:val="14"/>
        </w:rPr>
      </w:pPr>
    </w:p>
    <w:p w:rsidR="00225F3A" w:rsidRPr="00A45BB4" w:rsidRDefault="00B259F3">
      <w:pPr>
        <w:spacing w:before="92"/>
        <w:ind w:left="594" w:right="151"/>
        <w:rPr>
          <w:b/>
        </w:rPr>
      </w:pPr>
      <w:r w:rsidRPr="00A45BB4">
        <w:rPr>
          <w:b/>
        </w:rPr>
        <w:t xml:space="preserve">Title: </w:t>
      </w:r>
      <w:r w:rsidR="001F1B4F" w:rsidRPr="00A45BB4">
        <w:rPr>
          <w:b/>
        </w:rPr>
        <w:t>Contribution of m</w:t>
      </w:r>
      <w:r w:rsidR="00091F31" w:rsidRPr="00A45BB4">
        <w:rPr>
          <w:b/>
          <w:bCs/>
        </w:rPr>
        <w:t xml:space="preserve">aternal </w:t>
      </w:r>
      <w:r w:rsidR="001F1B4F" w:rsidRPr="00A45BB4">
        <w:rPr>
          <w:b/>
          <w:bCs/>
        </w:rPr>
        <w:t xml:space="preserve">nutritional status on </w:t>
      </w:r>
      <w:r w:rsidR="00091F31" w:rsidRPr="00A45BB4">
        <w:rPr>
          <w:b/>
          <w:bCs/>
        </w:rPr>
        <w:t>risk for preterm birth and small for gestational age in rural Bangladesh</w:t>
      </w:r>
    </w:p>
    <w:p w:rsidR="00BD06FA" w:rsidRDefault="00BD06FA" w:rsidP="00091F31">
      <w:pPr>
        <w:ind w:left="590"/>
        <w:rPr>
          <w:bCs/>
        </w:rPr>
      </w:pPr>
    </w:p>
    <w:p w:rsidR="00091F31" w:rsidRPr="00091F31" w:rsidRDefault="00091F31" w:rsidP="00091F31">
      <w:pPr>
        <w:ind w:left="590"/>
      </w:pPr>
      <w:r w:rsidRPr="00091F31">
        <w:rPr>
          <w:bCs/>
        </w:rPr>
        <w:t>Khanam R</w:t>
      </w:r>
      <w:r w:rsidRPr="00091F31">
        <w:rPr>
          <w:bCs/>
          <w:vertAlign w:val="superscript"/>
        </w:rPr>
        <w:t>1*</w:t>
      </w:r>
      <w:r w:rsidRPr="00091F31">
        <w:rPr>
          <w:bCs/>
        </w:rPr>
        <w:t>, Lee ASC</w:t>
      </w:r>
      <w:r w:rsidRPr="00091F31">
        <w:rPr>
          <w:bCs/>
          <w:vertAlign w:val="superscript"/>
        </w:rPr>
        <w:t>2</w:t>
      </w:r>
      <w:r w:rsidRPr="00091F31">
        <w:rPr>
          <w:bCs/>
        </w:rPr>
        <w:t>, M</w:t>
      </w:r>
      <w:bookmarkStart w:id="0" w:name="_GoBack"/>
      <w:bookmarkEnd w:id="0"/>
      <w:r w:rsidRPr="00091F31">
        <w:rPr>
          <w:bCs/>
        </w:rPr>
        <w:t>itra DK</w:t>
      </w:r>
      <w:r w:rsidRPr="00091F31">
        <w:rPr>
          <w:bCs/>
          <w:vertAlign w:val="superscript"/>
        </w:rPr>
        <w:t>3</w:t>
      </w:r>
      <w:r w:rsidRPr="00091F31">
        <w:rPr>
          <w:bCs/>
        </w:rPr>
        <w:t>, Ram M</w:t>
      </w:r>
      <w:r w:rsidRPr="00091F31">
        <w:rPr>
          <w:bCs/>
          <w:vertAlign w:val="superscript"/>
        </w:rPr>
        <w:t>1</w:t>
      </w:r>
      <w:r w:rsidRPr="00091F31">
        <w:rPr>
          <w:bCs/>
        </w:rPr>
        <w:t>, Gupta SD</w:t>
      </w:r>
      <w:r w:rsidRPr="00091F31">
        <w:rPr>
          <w:bCs/>
          <w:vertAlign w:val="superscript"/>
        </w:rPr>
        <w:t>4</w:t>
      </w:r>
      <w:r w:rsidRPr="00091F31">
        <w:rPr>
          <w:bCs/>
        </w:rPr>
        <w:t>, Quaiyum A</w:t>
      </w:r>
      <w:r w:rsidRPr="00091F31">
        <w:rPr>
          <w:bCs/>
          <w:vertAlign w:val="superscript"/>
        </w:rPr>
        <w:t>4</w:t>
      </w:r>
      <w:r w:rsidRPr="00091F31">
        <w:rPr>
          <w:bCs/>
        </w:rPr>
        <w:t xml:space="preserve">, </w:t>
      </w:r>
      <w:r w:rsidRPr="00091F31">
        <w:rPr>
          <w:rFonts w:eastAsia="Calibri"/>
          <w:color w:val="000000"/>
          <w:lang w:bidi="bn-BD"/>
        </w:rPr>
        <w:t>Choudhury A</w:t>
      </w:r>
      <w:r w:rsidRPr="00091F31">
        <w:rPr>
          <w:rFonts w:eastAsia="Calibri"/>
          <w:color w:val="000000"/>
          <w:vertAlign w:val="superscript"/>
          <w:lang w:bidi="bn-BD"/>
        </w:rPr>
        <w:t>5</w:t>
      </w:r>
      <w:r w:rsidRPr="00091F31">
        <w:rPr>
          <w:rFonts w:eastAsia="Calibri"/>
          <w:color w:val="000000"/>
          <w:lang w:bidi="bn-BD"/>
        </w:rPr>
        <w:t xml:space="preserve">, </w:t>
      </w:r>
      <w:r w:rsidRPr="00091F31">
        <w:rPr>
          <w:bCs/>
        </w:rPr>
        <w:t>Christian P</w:t>
      </w:r>
      <w:r w:rsidRPr="00091F31">
        <w:rPr>
          <w:bCs/>
          <w:vertAlign w:val="superscript"/>
        </w:rPr>
        <w:t>6</w:t>
      </w:r>
      <w:r w:rsidRPr="00091F31">
        <w:rPr>
          <w:bCs/>
        </w:rPr>
        <w:t>, Mullany LC</w:t>
      </w:r>
      <w:r w:rsidRPr="00091F31">
        <w:rPr>
          <w:bCs/>
          <w:vertAlign w:val="superscript"/>
        </w:rPr>
        <w:t>1</w:t>
      </w:r>
      <w:r w:rsidRPr="00091F31">
        <w:rPr>
          <w:bCs/>
        </w:rPr>
        <w:t>, and Baqui AH</w:t>
      </w:r>
      <w:r w:rsidRPr="00091F31">
        <w:rPr>
          <w:bCs/>
          <w:vertAlign w:val="superscript"/>
        </w:rPr>
        <w:t>1</w:t>
      </w:r>
    </w:p>
    <w:p w:rsidR="00BD06FA" w:rsidRDefault="00BD06FA" w:rsidP="00091F31">
      <w:pPr>
        <w:tabs>
          <w:tab w:val="left" w:pos="220"/>
          <w:tab w:val="left" w:pos="720"/>
        </w:tabs>
        <w:adjustRightInd w:val="0"/>
        <w:ind w:left="590"/>
        <w:rPr>
          <w:color w:val="312A2A"/>
          <w:sz w:val="19"/>
          <w:szCs w:val="19"/>
          <w:vertAlign w:val="superscript"/>
        </w:rPr>
      </w:pPr>
    </w:p>
    <w:p w:rsidR="00091F31" w:rsidRPr="00091F31" w:rsidRDefault="00091F31" w:rsidP="00091F31">
      <w:pPr>
        <w:tabs>
          <w:tab w:val="left" w:pos="220"/>
          <w:tab w:val="left" w:pos="720"/>
        </w:tabs>
        <w:adjustRightInd w:val="0"/>
        <w:ind w:left="590"/>
        <w:rPr>
          <w:sz w:val="19"/>
          <w:szCs w:val="19"/>
        </w:rPr>
      </w:pPr>
      <w:r w:rsidRPr="00091F31">
        <w:rPr>
          <w:color w:val="312A2A"/>
          <w:sz w:val="19"/>
          <w:szCs w:val="19"/>
          <w:vertAlign w:val="superscript"/>
        </w:rPr>
        <w:t>1</w:t>
      </w:r>
      <w:r w:rsidRPr="00091F31">
        <w:rPr>
          <w:color w:val="312A2A"/>
          <w:sz w:val="19"/>
          <w:szCs w:val="19"/>
        </w:rPr>
        <w:t xml:space="preserve">International Center for Maternal and Newborn Health, </w:t>
      </w:r>
      <w:r w:rsidRPr="00091F31">
        <w:rPr>
          <w:color w:val="000000"/>
          <w:sz w:val="19"/>
          <w:szCs w:val="19"/>
        </w:rPr>
        <w:t xml:space="preserve">Health Systems Program, </w:t>
      </w:r>
      <w:r w:rsidRPr="00091F31">
        <w:rPr>
          <w:color w:val="312A2A"/>
          <w:sz w:val="19"/>
          <w:szCs w:val="19"/>
        </w:rPr>
        <w:t xml:space="preserve">Department of International Health, Johns Hopkins Bloomberg School of Public Health, </w:t>
      </w:r>
      <w:r w:rsidRPr="00091F31">
        <w:rPr>
          <w:sz w:val="19"/>
          <w:szCs w:val="19"/>
        </w:rPr>
        <w:t>615 N Wolfe Street, Baltimore, MD 21205</w:t>
      </w:r>
    </w:p>
    <w:p w:rsidR="00091F31" w:rsidRPr="00091F31" w:rsidRDefault="00091F31" w:rsidP="00091F31">
      <w:pPr>
        <w:ind w:left="540"/>
        <w:rPr>
          <w:sz w:val="19"/>
          <w:szCs w:val="19"/>
        </w:rPr>
      </w:pPr>
      <w:r w:rsidRPr="00091F31">
        <w:rPr>
          <w:sz w:val="19"/>
          <w:szCs w:val="19"/>
          <w:vertAlign w:val="superscript"/>
        </w:rPr>
        <w:t xml:space="preserve">2 </w:t>
      </w:r>
      <w:r w:rsidRPr="00091F31">
        <w:rPr>
          <w:sz w:val="19"/>
          <w:szCs w:val="19"/>
        </w:rPr>
        <w:t>Department of Pediatric Newborn Medicine, Brigham and Women’s Hospital, 75 Francis Street, Boston, MA 02115, USA</w:t>
      </w:r>
    </w:p>
    <w:p w:rsidR="00091F31" w:rsidRPr="00091F31" w:rsidRDefault="00091F31" w:rsidP="00091F31">
      <w:pPr>
        <w:ind w:left="540"/>
        <w:rPr>
          <w:sz w:val="19"/>
          <w:szCs w:val="19"/>
        </w:rPr>
      </w:pPr>
      <w:r w:rsidRPr="00091F31">
        <w:rPr>
          <w:sz w:val="19"/>
          <w:szCs w:val="19"/>
          <w:vertAlign w:val="superscript"/>
        </w:rPr>
        <w:t>3</w:t>
      </w:r>
      <w:r w:rsidRPr="00091F31">
        <w:rPr>
          <w:sz w:val="19"/>
          <w:szCs w:val="19"/>
        </w:rPr>
        <w:t xml:space="preserve"> North South University, Dhaka, Bangladesh</w:t>
      </w:r>
    </w:p>
    <w:p w:rsidR="00091F31" w:rsidRPr="00091F31" w:rsidRDefault="00091F31" w:rsidP="00091F31">
      <w:pPr>
        <w:adjustRightInd w:val="0"/>
        <w:ind w:left="540"/>
        <w:rPr>
          <w:sz w:val="19"/>
          <w:szCs w:val="19"/>
        </w:rPr>
      </w:pPr>
      <w:r w:rsidRPr="00091F31">
        <w:rPr>
          <w:sz w:val="19"/>
          <w:szCs w:val="19"/>
          <w:vertAlign w:val="superscript"/>
        </w:rPr>
        <w:t>4</w:t>
      </w:r>
      <w:r w:rsidRPr="00091F31">
        <w:rPr>
          <w:sz w:val="19"/>
          <w:szCs w:val="19"/>
        </w:rPr>
        <w:t xml:space="preserve"> International Centre for Diarrhoeal Disease Research, Bangladesh (icddr,b), Dhaka 1212, Bangladesh</w:t>
      </w:r>
    </w:p>
    <w:p w:rsidR="00091F31" w:rsidRPr="00091F31" w:rsidRDefault="00091F31" w:rsidP="00091F31">
      <w:pPr>
        <w:ind w:left="540"/>
        <w:rPr>
          <w:sz w:val="19"/>
          <w:szCs w:val="19"/>
        </w:rPr>
      </w:pPr>
      <w:r w:rsidRPr="00091F31">
        <w:rPr>
          <w:sz w:val="19"/>
          <w:szCs w:val="19"/>
          <w:vertAlign w:val="superscript"/>
        </w:rPr>
        <w:t>5</w:t>
      </w:r>
      <w:r w:rsidRPr="00091F31">
        <w:rPr>
          <w:sz w:val="19"/>
          <w:szCs w:val="19"/>
        </w:rPr>
        <w:t xml:space="preserve"> Department of Epidemiology, Johns Hopkins Bloomberg School of Public Health, Baltimore, MD 21205, USA</w:t>
      </w:r>
    </w:p>
    <w:p w:rsidR="00225F3A" w:rsidRDefault="00091F31" w:rsidP="00091F31">
      <w:pPr>
        <w:pStyle w:val="BodyText"/>
        <w:spacing w:before="9"/>
        <w:ind w:left="630" w:hanging="90"/>
      </w:pPr>
      <w:r w:rsidRPr="00091F31">
        <w:rPr>
          <w:vertAlign w:val="superscript"/>
        </w:rPr>
        <w:t>6</w:t>
      </w:r>
      <w:r w:rsidRPr="00091F31">
        <w:t xml:space="preserve"> Bill and Melinda Gates Foundation, Seattle, Washington</w:t>
      </w:r>
    </w:p>
    <w:p w:rsidR="00225F3A" w:rsidRDefault="00225F3A">
      <w:pPr>
        <w:sectPr w:rsidR="00225F3A">
          <w:type w:val="continuous"/>
          <w:pgSz w:w="11910" w:h="16840"/>
          <w:pgMar w:top="600" w:right="180" w:bottom="280" w:left="140" w:header="720" w:footer="720" w:gutter="0"/>
          <w:cols w:space="720"/>
        </w:sectPr>
      </w:pPr>
    </w:p>
    <w:p w:rsidR="00225F3A" w:rsidRPr="00BD06FA" w:rsidRDefault="00B259F3" w:rsidP="00100B35">
      <w:pPr>
        <w:pStyle w:val="Heading3"/>
        <w:spacing w:before="114"/>
        <w:ind w:left="426" w:right="9" w:firstLine="0"/>
        <w:jc w:val="both"/>
        <w:rPr>
          <w:b w:val="0"/>
          <w:bCs w:val="0"/>
        </w:rPr>
      </w:pPr>
      <w:r>
        <w:rPr>
          <w:color w:val="585858"/>
        </w:rPr>
        <w:t xml:space="preserve">Keywords: </w:t>
      </w:r>
      <w:r w:rsidR="00100B35" w:rsidRPr="00BD06FA">
        <w:rPr>
          <w:b w:val="0"/>
          <w:bCs w:val="0"/>
          <w:color w:val="585858"/>
        </w:rPr>
        <w:t>Preterm births</w:t>
      </w:r>
      <w:r w:rsidR="00100B35" w:rsidRPr="00BD06FA">
        <w:rPr>
          <w:b w:val="0"/>
          <w:bCs w:val="0"/>
        </w:rPr>
        <w:t>, small for gestational age, maternal short stature, maternal underweight, adverse pregnancy outcomes, Bangladesh</w:t>
      </w:r>
    </w:p>
    <w:p w:rsidR="00225F3A" w:rsidRPr="00100B35" w:rsidRDefault="00225F3A">
      <w:pPr>
        <w:pStyle w:val="BodyText"/>
        <w:spacing w:before="10"/>
        <w:rPr>
          <w:b/>
        </w:rPr>
      </w:pPr>
    </w:p>
    <w:p w:rsidR="00225F3A" w:rsidRDefault="00B259F3">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232EB9" w:rsidRPr="00312BC9" w:rsidRDefault="00232EB9" w:rsidP="00232EB9">
      <w:pPr>
        <w:adjustRightInd w:val="0"/>
        <w:rPr>
          <w:sz w:val="19"/>
          <w:szCs w:val="19"/>
        </w:rPr>
      </w:pPr>
      <w:r w:rsidRPr="00312BC9">
        <w:rPr>
          <w:b/>
          <w:bCs/>
          <w:sz w:val="19"/>
          <w:szCs w:val="19"/>
        </w:rPr>
        <w:t xml:space="preserve">Background: </w:t>
      </w:r>
      <w:r w:rsidRPr="00312BC9">
        <w:rPr>
          <w:sz w:val="19"/>
          <w:szCs w:val="19"/>
        </w:rPr>
        <w:t xml:space="preserve">To estimate the risks of </w:t>
      </w:r>
      <w:r w:rsidRPr="00312BC9">
        <w:rPr>
          <w:sz w:val="19"/>
          <w:szCs w:val="19"/>
          <w:lang w:bidi="bn-BD"/>
        </w:rPr>
        <w:t xml:space="preserve">term-small for gestational age (SGA), preterm-appropriate for gestational age (AGA), and preterm-SGA </w:t>
      </w:r>
      <w:r w:rsidRPr="00312BC9">
        <w:rPr>
          <w:sz w:val="19"/>
          <w:szCs w:val="19"/>
        </w:rPr>
        <w:t xml:space="preserve">associated with maternal height and body mass index (BMI) and to calculate the population attributable fractions (PAF) of term-SGA, preterm-AGA and preterm-SGA associated with maternal short stature.  </w:t>
      </w:r>
    </w:p>
    <w:p w:rsidR="00232EB9" w:rsidRPr="00312BC9" w:rsidRDefault="00232EB9" w:rsidP="00232EB9">
      <w:pPr>
        <w:adjustRightInd w:val="0"/>
        <w:rPr>
          <w:sz w:val="19"/>
          <w:szCs w:val="19"/>
          <w:lang w:bidi="bn-BD"/>
        </w:rPr>
      </w:pPr>
      <w:r w:rsidRPr="00312BC9">
        <w:rPr>
          <w:b/>
          <w:bCs/>
          <w:sz w:val="19"/>
          <w:szCs w:val="19"/>
        </w:rPr>
        <w:t xml:space="preserve">Methods: </w:t>
      </w:r>
      <w:r w:rsidRPr="00312BC9">
        <w:rPr>
          <w:sz w:val="19"/>
          <w:szCs w:val="19"/>
        </w:rPr>
        <w:t>A population based cohort of 13,230 women with</w:t>
      </w:r>
      <w:r w:rsidRPr="00312BC9">
        <w:rPr>
          <w:b/>
          <w:bCs/>
          <w:sz w:val="19"/>
          <w:szCs w:val="19"/>
        </w:rPr>
        <w:t xml:space="preserve"> </w:t>
      </w:r>
      <w:r w:rsidRPr="00312BC9">
        <w:rPr>
          <w:sz w:val="19"/>
          <w:szCs w:val="19"/>
        </w:rPr>
        <w:t>pre-pregnancy height and weight followed from 2012 to 2016 in rural Sylhet, Bangladesh. We a</w:t>
      </w:r>
      <w:r w:rsidRPr="00312BC9">
        <w:rPr>
          <w:sz w:val="19"/>
          <w:szCs w:val="19"/>
          <w:lang w:bidi="bn-BD"/>
        </w:rPr>
        <w:t>nalyzed data of 2655 singleton live born infants</w:t>
      </w:r>
      <w:r w:rsidRPr="00312BC9">
        <w:rPr>
          <w:sz w:val="19"/>
          <w:szCs w:val="19"/>
        </w:rPr>
        <w:t xml:space="preserve">. The babies born before </w:t>
      </w:r>
      <w:r w:rsidRPr="00312BC9">
        <w:rPr>
          <w:sz w:val="19"/>
          <w:szCs w:val="19"/>
          <w:lang w:bidi="bn-BD"/>
        </w:rPr>
        <w:t xml:space="preserve">&lt;37 completed weeks of gestation were considered preterm and weight &lt;10th percentile of Intergrowth sex specific gestational age were considered SGA.  Risk factors for term-SGA, preterm-AGA, and preterm-SGA were examined using multivariate multinomial regression analysis that estimated relative risk ratios (RRR) after controlling for selected covariates. </w:t>
      </w:r>
    </w:p>
    <w:p w:rsidR="00232EB9" w:rsidRPr="00312BC9" w:rsidRDefault="00232EB9" w:rsidP="00232EB9">
      <w:pPr>
        <w:adjustRightInd w:val="0"/>
        <w:rPr>
          <w:b/>
          <w:bCs/>
          <w:sz w:val="19"/>
          <w:szCs w:val="19"/>
        </w:rPr>
      </w:pPr>
      <w:r w:rsidRPr="00312BC9">
        <w:rPr>
          <w:b/>
          <w:bCs/>
          <w:sz w:val="19"/>
          <w:szCs w:val="19"/>
        </w:rPr>
        <w:t>Results:</w:t>
      </w:r>
      <w:r w:rsidRPr="00312BC9">
        <w:rPr>
          <w:sz w:val="19"/>
          <w:szCs w:val="19"/>
        </w:rPr>
        <w:t xml:space="preserve"> Maternal</w:t>
      </w:r>
      <w:r w:rsidRPr="00312BC9">
        <w:rPr>
          <w:b/>
          <w:bCs/>
          <w:sz w:val="19"/>
          <w:szCs w:val="19"/>
        </w:rPr>
        <w:t xml:space="preserve"> </w:t>
      </w:r>
      <w:r w:rsidRPr="00312BC9">
        <w:rPr>
          <w:sz w:val="19"/>
          <w:szCs w:val="19"/>
          <w:lang w:bidi="bn-BD"/>
        </w:rPr>
        <w:t xml:space="preserve">short stature &lt;145 cm was significantly associated with term-SGA </w:t>
      </w:r>
      <w:r w:rsidRPr="00312BC9">
        <w:rPr>
          <w:color w:val="000000"/>
          <w:sz w:val="19"/>
          <w:szCs w:val="19"/>
          <w:lang w:bidi="bn-BD"/>
        </w:rPr>
        <w:t xml:space="preserve">(RRR </w:t>
      </w:r>
      <w:r w:rsidRPr="00312BC9">
        <w:rPr>
          <w:color w:val="000000"/>
          <w:sz w:val="19"/>
          <w:szCs w:val="19"/>
        </w:rPr>
        <w:t>1.88, 95% CI 1.37, 2.58; p &lt;0.001)</w:t>
      </w:r>
      <w:r w:rsidRPr="00312BC9">
        <w:rPr>
          <w:color w:val="000000"/>
          <w:sz w:val="19"/>
          <w:szCs w:val="19"/>
          <w:lang w:bidi="bn-BD"/>
        </w:rPr>
        <w:t>,</w:t>
      </w:r>
      <w:r w:rsidRPr="00312BC9">
        <w:rPr>
          <w:sz w:val="19"/>
          <w:szCs w:val="19"/>
          <w:lang w:bidi="bn-BD"/>
        </w:rPr>
        <w:t xml:space="preserve"> preterm-AGA </w:t>
      </w:r>
      <w:r w:rsidRPr="00312BC9">
        <w:rPr>
          <w:color w:val="000000"/>
          <w:sz w:val="19"/>
          <w:szCs w:val="19"/>
          <w:lang w:bidi="bn-BD"/>
        </w:rPr>
        <w:t xml:space="preserve">(RRR </w:t>
      </w:r>
      <w:r w:rsidRPr="00312BC9">
        <w:rPr>
          <w:color w:val="000000"/>
          <w:sz w:val="19"/>
          <w:szCs w:val="19"/>
        </w:rPr>
        <w:t>1.45, 95% CI 1.02, 2.05; p &lt; 0.05),</w:t>
      </w:r>
      <w:r w:rsidRPr="00312BC9">
        <w:rPr>
          <w:sz w:val="19"/>
          <w:szCs w:val="19"/>
          <w:lang w:bidi="bn-BD"/>
        </w:rPr>
        <w:t xml:space="preserve"> and preterm-SGA </w:t>
      </w:r>
      <w:r w:rsidRPr="00312BC9">
        <w:rPr>
          <w:color w:val="000000"/>
          <w:sz w:val="19"/>
          <w:szCs w:val="19"/>
          <w:lang w:bidi="bn-BD"/>
        </w:rPr>
        <w:t>(RRR 14</w:t>
      </w:r>
      <w:r w:rsidRPr="00312BC9">
        <w:rPr>
          <w:color w:val="000000"/>
          <w:sz w:val="19"/>
          <w:szCs w:val="19"/>
        </w:rPr>
        <w:t>.40, 95% CI 1.82, 113.85; p &lt;0.05).</w:t>
      </w:r>
      <w:r w:rsidRPr="00312BC9">
        <w:rPr>
          <w:sz w:val="19"/>
          <w:szCs w:val="19"/>
          <w:lang w:bidi="bn-BD"/>
        </w:rPr>
        <w:t xml:space="preserve"> Maternal underweight status (BMI &lt;18.5</w:t>
      </w:r>
      <w:r w:rsidRPr="00312BC9">
        <w:rPr>
          <w:bCs/>
          <w:color w:val="000000" w:themeColor="text1"/>
          <w:sz w:val="19"/>
          <w:szCs w:val="19"/>
          <w:shd w:val="clear" w:color="auto" w:fill="FFFFFF"/>
        </w:rPr>
        <w:t xml:space="preserve"> kg/m</w:t>
      </w:r>
      <w:r w:rsidRPr="00312BC9">
        <w:rPr>
          <w:bCs/>
          <w:color w:val="000000" w:themeColor="text1"/>
          <w:sz w:val="19"/>
          <w:szCs w:val="19"/>
          <w:shd w:val="clear" w:color="auto" w:fill="FFFFFF"/>
          <w:vertAlign w:val="superscript"/>
        </w:rPr>
        <w:t>2</w:t>
      </w:r>
      <w:r w:rsidRPr="00312BC9">
        <w:rPr>
          <w:sz w:val="19"/>
          <w:szCs w:val="19"/>
          <w:lang w:bidi="bn-BD"/>
        </w:rPr>
        <w:t xml:space="preserve">) was significant predictor of term-SGA </w:t>
      </w:r>
      <w:r w:rsidRPr="00312BC9">
        <w:rPr>
          <w:color w:val="000000"/>
          <w:sz w:val="19"/>
          <w:szCs w:val="19"/>
          <w:lang w:bidi="bn-BD"/>
        </w:rPr>
        <w:t xml:space="preserve">(RRR </w:t>
      </w:r>
      <w:r w:rsidRPr="00312BC9">
        <w:rPr>
          <w:color w:val="000000"/>
          <w:sz w:val="19"/>
          <w:szCs w:val="19"/>
        </w:rPr>
        <w:t>1.32, 95% CI 1.10, 1.59; p &lt;0.01)</w:t>
      </w:r>
      <w:r w:rsidRPr="00312BC9">
        <w:rPr>
          <w:color w:val="000000"/>
          <w:sz w:val="19"/>
          <w:szCs w:val="19"/>
          <w:lang w:bidi="bn-BD"/>
        </w:rPr>
        <w:t xml:space="preserve">, </w:t>
      </w:r>
      <w:r w:rsidRPr="00312BC9">
        <w:rPr>
          <w:sz w:val="19"/>
          <w:szCs w:val="19"/>
          <w:lang w:bidi="bn-BD"/>
        </w:rPr>
        <w:t xml:space="preserve">and preterm-AGA </w:t>
      </w:r>
      <w:r w:rsidRPr="00312BC9">
        <w:rPr>
          <w:color w:val="000000"/>
          <w:sz w:val="19"/>
          <w:szCs w:val="19"/>
          <w:lang w:bidi="bn-BD"/>
        </w:rPr>
        <w:t xml:space="preserve">(RRR </w:t>
      </w:r>
      <w:r w:rsidRPr="00312BC9">
        <w:rPr>
          <w:color w:val="000000"/>
          <w:sz w:val="19"/>
          <w:szCs w:val="19"/>
        </w:rPr>
        <w:t>1.39, 95% CI 1.12, 1.71; p &lt;0.01</w:t>
      </w:r>
      <w:r w:rsidRPr="00312BC9">
        <w:rPr>
          <w:color w:val="000000"/>
          <w:sz w:val="19"/>
          <w:szCs w:val="19"/>
          <w:lang w:bidi="bn-BD"/>
        </w:rPr>
        <w:t>)</w:t>
      </w:r>
      <w:r w:rsidRPr="00312BC9">
        <w:rPr>
          <w:sz w:val="19"/>
          <w:szCs w:val="19"/>
          <w:lang w:bidi="bn-BD"/>
        </w:rPr>
        <w:t xml:space="preserve">. </w:t>
      </w:r>
      <w:r w:rsidRPr="00312BC9">
        <w:rPr>
          <w:color w:val="131413"/>
          <w:sz w:val="19"/>
          <w:szCs w:val="19"/>
          <w:lang w:bidi="bn-BD"/>
        </w:rPr>
        <w:t xml:space="preserve">PAF for maternal short stature were 23.2%, 7.3%, and 73.9% for term-SGA, preterm-AGA and preterm-SGA, respectively.  </w:t>
      </w:r>
      <w:r w:rsidRPr="00312BC9">
        <w:rPr>
          <w:color w:val="000000"/>
          <w:sz w:val="19"/>
          <w:szCs w:val="19"/>
          <w:lang w:bidi="bn-BD"/>
        </w:rPr>
        <w:t xml:space="preserve"> </w:t>
      </w:r>
    </w:p>
    <w:p w:rsidR="009861FC" w:rsidRPr="00312BC9" w:rsidRDefault="00232EB9" w:rsidP="00232EB9">
      <w:pPr>
        <w:adjustRightInd w:val="0"/>
        <w:rPr>
          <w:b/>
          <w:bCs/>
          <w:sz w:val="19"/>
          <w:szCs w:val="19"/>
        </w:rPr>
      </w:pPr>
      <w:r w:rsidRPr="00312BC9">
        <w:rPr>
          <w:b/>
          <w:bCs/>
          <w:sz w:val="19"/>
          <w:szCs w:val="19"/>
        </w:rPr>
        <w:t>Conclusions:</w:t>
      </w:r>
      <w:r w:rsidRPr="00312BC9">
        <w:rPr>
          <w:sz w:val="19"/>
          <w:szCs w:val="19"/>
          <w:lang w:bidi="bn-BD"/>
        </w:rPr>
        <w:t xml:space="preserve"> Evidenced based interventions including </w:t>
      </w:r>
      <w:r w:rsidRPr="00312BC9">
        <w:rPr>
          <w:color w:val="000000"/>
          <w:sz w:val="19"/>
          <w:szCs w:val="19"/>
          <w:shd w:val="clear" w:color="auto" w:fill="FFFFFF"/>
        </w:rPr>
        <w:t xml:space="preserve">nutrition education and protein energy supplementation targeted to women with short stature and low BMI would reduce the </w:t>
      </w:r>
      <w:r w:rsidRPr="00312BC9">
        <w:rPr>
          <w:sz w:val="19"/>
          <w:szCs w:val="19"/>
          <w:lang w:bidi="bn-BD"/>
        </w:rPr>
        <w:t xml:space="preserve">burden of SGA and preterm birth in Bangladesh. </w:t>
      </w:r>
    </w:p>
    <w:p w:rsidR="00225F3A" w:rsidRPr="00430185" w:rsidRDefault="00B259F3">
      <w:pPr>
        <w:pStyle w:val="Heading3"/>
        <w:numPr>
          <w:ilvl w:val="0"/>
          <w:numId w:val="1"/>
        </w:numPr>
        <w:tabs>
          <w:tab w:val="left" w:pos="1914"/>
          <w:tab w:val="left" w:pos="1915"/>
        </w:tabs>
        <w:ind w:left="1914" w:hanging="494"/>
        <w:jc w:val="left"/>
      </w:pPr>
      <w:r>
        <w:rPr>
          <w:color w:val="585858"/>
        </w:rPr>
        <w:t>Image:</w:t>
      </w:r>
    </w:p>
    <w:p w:rsidR="00430185" w:rsidRPr="00A028AA" w:rsidRDefault="00430185" w:rsidP="00A86BA2">
      <w:pPr>
        <w:pStyle w:val="Heading3"/>
        <w:ind w:left="270" w:firstLine="0"/>
      </w:pPr>
      <w:r w:rsidRPr="000002A7">
        <w:rPr>
          <w:noProof/>
          <w:lang w:bidi="bn-BD"/>
        </w:rPr>
        <w:drawing>
          <wp:inline distT="0" distB="0" distL="0" distR="0" wp14:anchorId="2CB64571" wp14:editId="6792C356">
            <wp:extent cx="2381250" cy="2559050"/>
            <wp:effectExtent l="0" t="0" r="0" b="0"/>
            <wp:docPr id="1" name="Picture 1" descr="C:\Users\RKhanam\Desktop\IMG_0333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Khanam\Desktop\IMG_0333 (00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1250" cy="2559050"/>
                    </a:xfrm>
                    <a:prstGeom prst="rect">
                      <a:avLst/>
                    </a:prstGeom>
                    <a:noFill/>
                    <a:ln>
                      <a:noFill/>
                    </a:ln>
                  </pic:spPr>
                </pic:pic>
              </a:graphicData>
            </a:graphic>
          </wp:inline>
        </w:drawing>
      </w:r>
    </w:p>
    <w:p w:rsidR="00225F3A" w:rsidRPr="00BD06FA" w:rsidRDefault="00B259F3" w:rsidP="004B4449">
      <w:pPr>
        <w:tabs>
          <w:tab w:val="left" w:pos="540"/>
        </w:tabs>
        <w:spacing w:before="92"/>
        <w:ind w:left="2070" w:hanging="90"/>
        <w:rPr>
          <w:b/>
          <w:sz w:val="19"/>
        </w:rPr>
      </w:pPr>
      <w:r w:rsidRPr="00BD06FA">
        <w:rPr>
          <w:b/>
          <w:color w:val="585858"/>
          <w:w w:val="99"/>
          <w:sz w:val="19"/>
        </w:rPr>
        <w:br w:type="column"/>
      </w:r>
      <w:r w:rsidR="00BD06FA" w:rsidRPr="00BD06FA">
        <w:rPr>
          <w:b/>
          <w:color w:val="585858"/>
          <w:w w:val="99"/>
          <w:sz w:val="19"/>
        </w:rPr>
        <w:t xml:space="preserve">III. </w:t>
      </w:r>
      <w:r w:rsidRPr="00BD06FA">
        <w:rPr>
          <w:b/>
          <w:color w:val="585858"/>
          <w:sz w:val="19"/>
        </w:rPr>
        <w:t>Reference:</w:t>
      </w:r>
    </w:p>
    <w:p w:rsidR="00225F3A" w:rsidRDefault="00225F3A">
      <w:pPr>
        <w:pStyle w:val="BodyText"/>
        <w:spacing w:before="9"/>
        <w:rPr>
          <w:b/>
          <w:sz w:val="18"/>
        </w:rPr>
      </w:pPr>
    </w:p>
    <w:p w:rsidR="00232EB9" w:rsidRPr="00312BC9" w:rsidRDefault="00232EB9" w:rsidP="00232EB9">
      <w:pPr>
        <w:pStyle w:val="EndNoteBibliography"/>
        <w:spacing w:after="0"/>
        <w:rPr>
          <w:rFonts w:ascii="Times New Roman" w:hAnsi="Times New Roman" w:cs="Times New Roman"/>
          <w:sz w:val="19"/>
          <w:szCs w:val="19"/>
        </w:rPr>
      </w:pPr>
      <w:r w:rsidRPr="00312BC9">
        <w:rPr>
          <w:rFonts w:ascii="Times New Roman" w:hAnsi="Times New Roman" w:cs="Times New Roman"/>
          <w:sz w:val="19"/>
          <w:szCs w:val="19"/>
        </w:rPr>
        <w:t xml:space="preserve">1. UNICEF, WHO. Low Birth Weight: Country, Regional and GlobalEstimates. New York. </w:t>
      </w:r>
      <w:hyperlink r:id="rId8" w:history="1">
        <w:r w:rsidRPr="00312BC9">
          <w:rPr>
            <w:rStyle w:val="Hyperlink"/>
            <w:rFonts w:ascii="Times New Roman" w:hAnsi="Times New Roman" w:cs="Times New Roman"/>
            <w:sz w:val="19"/>
            <w:szCs w:val="19"/>
          </w:rPr>
          <w:t>http://www.unicef.org/publications/index_24840</w:t>
        </w:r>
      </w:hyperlink>
      <w:r w:rsidRPr="00312BC9">
        <w:rPr>
          <w:rFonts w:ascii="Times New Roman" w:hAnsi="Times New Roman" w:cs="Times New Roman"/>
          <w:sz w:val="19"/>
          <w:szCs w:val="19"/>
        </w:rPr>
        <w:t>. Accessed 12 Nov 2017; 2004.</w:t>
      </w:r>
    </w:p>
    <w:p w:rsidR="00232EB9" w:rsidRPr="00312BC9" w:rsidRDefault="00A86BA2" w:rsidP="00232EB9">
      <w:pPr>
        <w:pStyle w:val="EndNoteBibliography"/>
        <w:spacing w:after="0"/>
        <w:rPr>
          <w:rFonts w:ascii="Times New Roman" w:hAnsi="Times New Roman" w:cs="Times New Roman"/>
          <w:sz w:val="19"/>
          <w:szCs w:val="19"/>
        </w:rPr>
      </w:pPr>
      <w:r>
        <w:rPr>
          <w:rFonts w:ascii="Times New Roman" w:hAnsi="Times New Roman" w:cs="Times New Roman"/>
          <w:sz w:val="19"/>
          <w:szCs w:val="19"/>
        </w:rPr>
        <w:t xml:space="preserve">2. </w:t>
      </w:r>
      <w:r w:rsidR="00232EB9" w:rsidRPr="00312BC9">
        <w:rPr>
          <w:rFonts w:ascii="Times New Roman" w:hAnsi="Times New Roman" w:cs="Times New Roman"/>
          <w:sz w:val="19"/>
          <w:szCs w:val="19"/>
        </w:rPr>
        <w:t>Blencowe H, Cousens S, Oestergaard MZ, Chou D, Moller A-B, Narwal R, et al. National, regional, and worldwide estimates of preterm birth rates in the year 2010 with time trends since 1990 for selected countries: a systematic analysis and implications. The Lancet. 2012;379(9832):2162-72.</w:t>
      </w:r>
    </w:p>
    <w:p w:rsidR="00232EB9" w:rsidRPr="00312BC9" w:rsidRDefault="00A86BA2" w:rsidP="00232EB9">
      <w:pPr>
        <w:pStyle w:val="EndNoteBibliography"/>
        <w:spacing w:after="0"/>
        <w:rPr>
          <w:rFonts w:ascii="Times New Roman" w:hAnsi="Times New Roman" w:cs="Times New Roman"/>
          <w:sz w:val="19"/>
          <w:szCs w:val="19"/>
        </w:rPr>
      </w:pPr>
      <w:r>
        <w:rPr>
          <w:rFonts w:ascii="Times New Roman" w:hAnsi="Times New Roman" w:cs="Times New Roman"/>
          <w:sz w:val="19"/>
          <w:szCs w:val="19"/>
        </w:rPr>
        <w:t xml:space="preserve">3. </w:t>
      </w:r>
      <w:r w:rsidR="00232EB9" w:rsidRPr="00312BC9">
        <w:rPr>
          <w:rFonts w:ascii="Times New Roman" w:hAnsi="Times New Roman" w:cs="Times New Roman"/>
          <w:sz w:val="19"/>
          <w:szCs w:val="19"/>
        </w:rPr>
        <w:t>Schlaudecker EP, Munoz FM, Bardaji A, Boghossian NS, Khalil A, Mousa H, et al. Small for gestational age: Case definition &amp; guidelines for data collection, analysis, and presentation of maternal immunisation safety data. Vaccine. 2017;35(48 Pt A):6518-28.</w:t>
      </w:r>
    </w:p>
    <w:p w:rsidR="00232EB9" w:rsidRPr="00312BC9" w:rsidRDefault="00A86BA2" w:rsidP="00232EB9">
      <w:pPr>
        <w:pStyle w:val="EndNoteBibliography"/>
        <w:spacing w:after="0"/>
        <w:rPr>
          <w:rFonts w:ascii="Times New Roman" w:hAnsi="Times New Roman" w:cs="Times New Roman"/>
          <w:sz w:val="19"/>
          <w:szCs w:val="19"/>
        </w:rPr>
      </w:pPr>
      <w:r>
        <w:rPr>
          <w:rFonts w:ascii="Times New Roman" w:hAnsi="Times New Roman" w:cs="Times New Roman"/>
          <w:sz w:val="19"/>
          <w:szCs w:val="19"/>
        </w:rPr>
        <w:t xml:space="preserve">4. </w:t>
      </w:r>
      <w:r w:rsidR="00232EB9" w:rsidRPr="00312BC9">
        <w:rPr>
          <w:rFonts w:ascii="Times New Roman" w:hAnsi="Times New Roman" w:cs="Times New Roman"/>
          <w:sz w:val="19"/>
          <w:szCs w:val="19"/>
        </w:rPr>
        <w:t>Lee AC, Kozuki N, Cousens S, Stevens GA, Blencowe H, Silveira MF, et al. Estimates of burden and consequences of infants born small for gestational age in low and middle income countries with INTERGROWTH-21(st) standard: analysis of CHERG datasets. BMJ (Clinical research ed). 2017;358:j3677.</w:t>
      </w:r>
    </w:p>
    <w:p w:rsidR="00225F3A" w:rsidRDefault="00225F3A" w:rsidP="00232EB9">
      <w:pPr>
        <w:pStyle w:val="BodyText"/>
        <w:tabs>
          <w:tab w:val="left" w:pos="1037"/>
        </w:tabs>
        <w:ind w:left="1037" w:right="696" w:hanging="360"/>
      </w:pPr>
    </w:p>
    <w:p w:rsidR="00225F3A" w:rsidRDefault="004B4449" w:rsidP="004B4449">
      <w:pPr>
        <w:pStyle w:val="Heading3"/>
        <w:tabs>
          <w:tab w:val="left" w:pos="1758"/>
        </w:tabs>
        <w:ind w:left="1170" w:right="2581" w:firstLine="249"/>
        <w:jc w:val="right"/>
      </w:pPr>
      <w:r>
        <w:rPr>
          <w:color w:val="585858"/>
        </w:rPr>
        <w:t xml:space="preserve">Iv. </w:t>
      </w:r>
      <w:r w:rsidR="00B259F3">
        <w:rPr>
          <w:color w:val="585858"/>
        </w:rPr>
        <w:t>Biography:</w:t>
      </w:r>
    </w:p>
    <w:p w:rsidR="00225F3A" w:rsidRDefault="00232EB9">
      <w:pPr>
        <w:pStyle w:val="BodyText"/>
        <w:spacing w:before="1"/>
        <w:rPr>
          <w:rFonts w:cs="Arial"/>
        </w:rPr>
      </w:pPr>
      <w:r w:rsidRPr="00232EB9">
        <w:rPr>
          <w:bCs/>
        </w:rPr>
        <w:t>Dr. Rasheda Khanam is an Assistant Scientist</w:t>
      </w:r>
      <w:r w:rsidR="00A86BA2">
        <w:rPr>
          <w:bCs/>
        </w:rPr>
        <w:t>, Department</w:t>
      </w:r>
      <w:r w:rsidRPr="00232EB9">
        <w:rPr>
          <w:bCs/>
        </w:rPr>
        <w:t xml:space="preserve"> of International Health</w:t>
      </w:r>
      <w:r>
        <w:rPr>
          <w:bCs/>
        </w:rPr>
        <w:t xml:space="preserve"> </w:t>
      </w:r>
      <w:r w:rsidRPr="00232EB9">
        <w:rPr>
          <w:bCs/>
        </w:rPr>
        <w:t xml:space="preserve">and Associate Director of the International Center for Maternal and Newborn Health at Johns Hopkins University in USA. </w:t>
      </w:r>
      <w:r w:rsidR="00A86BA2">
        <w:rPr>
          <w:bCs/>
        </w:rPr>
        <w:t>Dr. Khanam</w:t>
      </w:r>
      <w:r w:rsidRPr="00232EB9">
        <w:rPr>
          <w:bCs/>
        </w:rPr>
        <w:t xml:space="preserve"> is trained in medicine, public health, and infe</w:t>
      </w:r>
      <w:r>
        <w:rPr>
          <w:bCs/>
        </w:rPr>
        <w:t xml:space="preserve">ctious diseases epidemiology. </w:t>
      </w:r>
      <w:r w:rsidR="00474C6B">
        <w:rPr>
          <w:bCs/>
        </w:rPr>
        <w:t>Her</w:t>
      </w:r>
      <w:r w:rsidRPr="00232EB9">
        <w:rPr>
          <w:bCs/>
        </w:rPr>
        <w:t xml:space="preserve"> current research interests include </w:t>
      </w:r>
      <w:r w:rsidRPr="00232EB9">
        <w:rPr>
          <w:rFonts w:cs="Arial"/>
          <w:bCs/>
        </w:rPr>
        <w:t>improvement of maternal, newborn and child health in low-middle-income countries</w:t>
      </w:r>
      <w:r w:rsidRPr="00232EB9">
        <w:rPr>
          <w:rFonts w:cs="Arial"/>
        </w:rPr>
        <w:t xml:space="preserve"> by enhancing the understanding of the major causes of maternal, neonatal, and child morbidity and mortality and by designing and testing cost-effective public health interventions against them</w:t>
      </w:r>
      <w:r w:rsidR="00D04920">
        <w:rPr>
          <w:rFonts w:cs="Arial"/>
        </w:rPr>
        <w:t>.</w:t>
      </w:r>
    </w:p>
    <w:p w:rsidR="009861FC" w:rsidRPr="00232EB9" w:rsidRDefault="009861FC">
      <w:pPr>
        <w:pStyle w:val="BodyText"/>
        <w:spacing w:before="1"/>
      </w:pPr>
    </w:p>
    <w:p w:rsidR="00225F3A" w:rsidRDefault="00B259F3" w:rsidP="004B4449">
      <w:pPr>
        <w:pStyle w:val="Heading3"/>
        <w:numPr>
          <w:ilvl w:val="0"/>
          <w:numId w:val="3"/>
        </w:numPr>
        <w:tabs>
          <w:tab w:val="left" w:pos="1757"/>
          <w:tab w:val="left" w:pos="1758"/>
        </w:tabs>
        <w:spacing w:before="1"/>
        <w:ind w:left="1350" w:right="1681" w:firstLine="69"/>
        <w:jc w:val="right"/>
      </w:pPr>
      <w:r>
        <w:rPr>
          <w:color w:val="585858"/>
        </w:rPr>
        <w:t>Presenting author</w:t>
      </w:r>
      <w:r>
        <w:rPr>
          <w:color w:val="585858"/>
          <w:spacing w:val="-7"/>
        </w:rPr>
        <w:t xml:space="preserve"> </w:t>
      </w:r>
      <w:r>
        <w:rPr>
          <w:color w:val="585858"/>
        </w:rPr>
        <w:t>details</w:t>
      </w:r>
    </w:p>
    <w:p w:rsidR="00A028AA" w:rsidRDefault="00A028AA" w:rsidP="00BD06FA">
      <w:pPr>
        <w:pStyle w:val="BodyText"/>
        <w:spacing w:before="172"/>
        <w:ind w:left="2970" w:right="1861"/>
        <w:rPr>
          <w:color w:val="585858"/>
        </w:rPr>
      </w:pPr>
      <w:r w:rsidRPr="007F017F">
        <w:rPr>
          <w:noProof/>
          <w:lang w:bidi="bn-BD"/>
        </w:rPr>
        <w:drawing>
          <wp:inline distT="0" distB="0" distL="0" distR="0" wp14:anchorId="114320C4" wp14:editId="574CCB1B">
            <wp:extent cx="1592580" cy="1771650"/>
            <wp:effectExtent l="0" t="0" r="7620" b="0"/>
            <wp:docPr id="12" name="Picture 12" descr="C:\Users\RKhanam\Desktop\Rasheda_con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Khanam\Desktop\Rasheda_conf.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92580" cy="1771650"/>
                    </a:xfrm>
                    <a:prstGeom prst="rect">
                      <a:avLst/>
                    </a:prstGeom>
                    <a:noFill/>
                    <a:ln>
                      <a:noFill/>
                    </a:ln>
                  </pic:spPr>
                </pic:pic>
              </a:graphicData>
            </a:graphic>
          </wp:inline>
        </w:drawing>
      </w:r>
    </w:p>
    <w:p w:rsidR="009861FC" w:rsidRDefault="009861FC" w:rsidP="00A028AA">
      <w:pPr>
        <w:pStyle w:val="BodyText"/>
        <w:ind w:left="316" w:right="1861"/>
      </w:pPr>
    </w:p>
    <w:p w:rsidR="00A028AA" w:rsidRPr="00A028AA" w:rsidRDefault="00A028AA" w:rsidP="00A028AA">
      <w:pPr>
        <w:pStyle w:val="BodyText"/>
        <w:ind w:left="316" w:right="1861"/>
      </w:pPr>
      <w:r w:rsidRPr="00A028AA">
        <w:t xml:space="preserve">Full Name: Rasheda Khanam </w:t>
      </w:r>
    </w:p>
    <w:p w:rsidR="00A028AA" w:rsidRPr="00A028AA" w:rsidRDefault="00A028AA" w:rsidP="00A028AA">
      <w:pPr>
        <w:pStyle w:val="BodyText"/>
        <w:ind w:left="316" w:right="1861"/>
      </w:pPr>
      <w:r w:rsidRPr="00A028AA">
        <w:t>Contact number: +1 443 362 0350</w:t>
      </w:r>
    </w:p>
    <w:p w:rsidR="00A028AA" w:rsidRPr="00A028AA" w:rsidRDefault="00A028AA" w:rsidP="00A028AA">
      <w:pPr>
        <w:pStyle w:val="BodyText"/>
        <w:ind w:left="316"/>
      </w:pPr>
      <w:r w:rsidRPr="00A028AA">
        <w:t>Session name/ number: Neonatal and Perinatal Medicine</w:t>
      </w:r>
    </w:p>
    <w:p w:rsidR="00225F3A" w:rsidRPr="00A028AA" w:rsidRDefault="00427B61" w:rsidP="00A028AA">
      <w:pPr>
        <w:pStyle w:val="BodyText"/>
        <w:ind w:left="270" w:right="1681"/>
        <w:rPr>
          <w:b/>
        </w:rPr>
      </w:pPr>
      <w:r>
        <w:t xml:space="preserve"> </w:t>
      </w:r>
      <w:r w:rsidR="00A028AA" w:rsidRPr="00A028AA">
        <w:t>Category: Oral pres</w:t>
      </w:r>
      <w:r w:rsidR="00BD06FA">
        <w:t>entation or Poster presentation</w:t>
      </w:r>
    </w:p>
    <w:p w:rsidR="00225F3A" w:rsidRPr="00A028AA" w:rsidRDefault="00B259F3" w:rsidP="00A028AA">
      <w:pPr>
        <w:pStyle w:val="BodyText"/>
        <w:ind w:left="316" w:right="1861"/>
        <w:sectPr w:rsidR="00225F3A" w:rsidRPr="00A028AA">
          <w:type w:val="continuous"/>
          <w:pgSz w:w="11910" w:h="16840"/>
          <w:pgMar w:top="600" w:right="180" w:bottom="280" w:left="140" w:header="720" w:footer="720" w:gutter="0"/>
          <w:cols w:num="2" w:space="720" w:equalWidth="0">
            <w:col w:w="5639" w:space="40"/>
            <w:col w:w="5911"/>
          </w:cols>
        </w:sectPr>
      </w:pPr>
      <w:r w:rsidRPr="00A028AA">
        <w:t>Passport Number:</w:t>
      </w:r>
      <w:r w:rsidR="00A028AA" w:rsidRPr="00A028AA">
        <w:t xml:space="preserve"> BF0800318</w:t>
      </w:r>
    </w:p>
    <w:p w:rsidR="00225F3A" w:rsidRDefault="00225F3A" w:rsidP="00A028AA">
      <w:pPr>
        <w:pStyle w:val="BodyText"/>
        <w:rPr>
          <w:sz w:val="20"/>
        </w:rPr>
      </w:pPr>
    </w:p>
    <w:p w:rsidR="00225F3A" w:rsidRDefault="00225F3A">
      <w:pPr>
        <w:pStyle w:val="BodyText"/>
        <w:rPr>
          <w:sz w:val="20"/>
        </w:rPr>
      </w:pPr>
    </w:p>
    <w:p w:rsidR="00225F3A" w:rsidRDefault="00225F3A">
      <w:pPr>
        <w:pStyle w:val="BodyText"/>
        <w:spacing w:before="1"/>
        <w:rPr>
          <w:sz w:val="27"/>
        </w:rPr>
      </w:pPr>
    </w:p>
    <w:p w:rsidR="00225F3A" w:rsidRDefault="00225F3A">
      <w:pPr>
        <w:pStyle w:val="BodyText"/>
        <w:spacing w:line="55" w:lineRule="exact"/>
        <w:ind w:left="107"/>
        <w:rPr>
          <w:sz w:val="5"/>
        </w:rPr>
      </w:pPr>
    </w:p>
    <w:sectPr w:rsidR="00225F3A">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683F" w:rsidRDefault="00BF683F" w:rsidP="002A3166">
      <w:r>
        <w:separator/>
      </w:r>
    </w:p>
  </w:endnote>
  <w:endnote w:type="continuationSeparator" w:id="0">
    <w:p w:rsidR="00BF683F" w:rsidRDefault="00BF683F"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683F" w:rsidRDefault="00BF683F" w:rsidP="002A3166">
      <w:r>
        <w:separator/>
      </w:r>
    </w:p>
  </w:footnote>
  <w:footnote w:type="continuationSeparator" w:id="0">
    <w:p w:rsidR="00BF683F" w:rsidRDefault="00BF683F" w:rsidP="002A31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15:restartNumberingAfterBreak="0">
    <w:nsid w:val="5A972E1C"/>
    <w:multiLevelType w:val="hybridMultilevel"/>
    <w:tmpl w:val="4F46B46E"/>
    <w:lvl w:ilvl="0" w:tplc="76807F8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abstractNum w:abstractNumId="2" w15:restartNumberingAfterBreak="0">
    <w:nsid w:val="74732B74"/>
    <w:multiLevelType w:val="hybridMultilevel"/>
    <w:tmpl w:val="72245E72"/>
    <w:lvl w:ilvl="0" w:tplc="A558B404">
      <w:start w:val="5"/>
      <w:numFmt w:val="upperRoman"/>
      <w:lvlText w:val="%1."/>
      <w:lvlJc w:val="left"/>
      <w:pPr>
        <w:ind w:left="2139" w:hanging="720"/>
      </w:pPr>
      <w:rPr>
        <w:rFonts w:hint="default"/>
        <w:color w:val="585858"/>
      </w:rPr>
    </w:lvl>
    <w:lvl w:ilvl="1" w:tplc="04090019" w:tentative="1">
      <w:start w:val="1"/>
      <w:numFmt w:val="lowerLetter"/>
      <w:lvlText w:val="%2."/>
      <w:lvlJc w:val="left"/>
      <w:pPr>
        <w:ind w:left="2499" w:hanging="360"/>
      </w:pPr>
    </w:lvl>
    <w:lvl w:ilvl="2" w:tplc="0409001B" w:tentative="1">
      <w:start w:val="1"/>
      <w:numFmt w:val="lowerRoman"/>
      <w:lvlText w:val="%3."/>
      <w:lvlJc w:val="right"/>
      <w:pPr>
        <w:ind w:left="3219" w:hanging="180"/>
      </w:pPr>
    </w:lvl>
    <w:lvl w:ilvl="3" w:tplc="0409000F" w:tentative="1">
      <w:start w:val="1"/>
      <w:numFmt w:val="decimal"/>
      <w:lvlText w:val="%4."/>
      <w:lvlJc w:val="left"/>
      <w:pPr>
        <w:ind w:left="3939" w:hanging="360"/>
      </w:pPr>
    </w:lvl>
    <w:lvl w:ilvl="4" w:tplc="04090019" w:tentative="1">
      <w:start w:val="1"/>
      <w:numFmt w:val="lowerLetter"/>
      <w:lvlText w:val="%5."/>
      <w:lvlJc w:val="left"/>
      <w:pPr>
        <w:ind w:left="4659" w:hanging="360"/>
      </w:pPr>
    </w:lvl>
    <w:lvl w:ilvl="5" w:tplc="0409001B" w:tentative="1">
      <w:start w:val="1"/>
      <w:numFmt w:val="lowerRoman"/>
      <w:lvlText w:val="%6."/>
      <w:lvlJc w:val="right"/>
      <w:pPr>
        <w:ind w:left="5379" w:hanging="180"/>
      </w:pPr>
    </w:lvl>
    <w:lvl w:ilvl="6" w:tplc="0409000F" w:tentative="1">
      <w:start w:val="1"/>
      <w:numFmt w:val="decimal"/>
      <w:lvlText w:val="%7."/>
      <w:lvlJc w:val="left"/>
      <w:pPr>
        <w:ind w:left="6099" w:hanging="360"/>
      </w:pPr>
    </w:lvl>
    <w:lvl w:ilvl="7" w:tplc="04090019" w:tentative="1">
      <w:start w:val="1"/>
      <w:numFmt w:val="lowerLetter"/>
      <w:lvlText w:val="%8."/>
      <w:lvlJc w:val="left"/>
      <w:pPr>
        <w:ind w:left="6819" w:hanging="360"/>
      </w:pPr>
    </w:lvl>
    <w:lvl w:ilvl="8" w:tplc="0409001B" w:tentative="1">
      <w:start w:val="1"/>
      <w:numFmt w:val="lowerRoman"/>
      <w:lvlText w:val="%9."/>
      <w:lvlJc w:val="right"/>
      <w:pPr>
        <w:ind w:left="7539"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F3A"/>
    <w:rsid w:val="00091F31"/>
    <w:rsid w:val="00100B35"/>
    <w:rsid w:val="001B5FFA"/>
    <w:rsid w:val="001F1B4F"/>
    <w:rsid w:val="00225F3A"/>
    <w:rsid w:val="00232EB9"/>
    <w:rsid w:val="002A3166"/>
    <w:rsid w:val="00427B61"/>
    <w:rsid w:val="00430185"/>
    <w:rsid w:val="00474C6B"/>
    <w:rsid w:val="004B4449"/>
    <w:rsid w:val="006B1FC2"/>
    <w:rsid w:val="00763F7A"/>
    <w:rsid w:val="00966364"/>
    <w:rsid w:val="00976372"/>
    <w:rsid w:val="009861FC"/>
    <w:rsid w:val="00A028AA"/>
    <w:rsid w:val="00A34E66"/>
    <w:rsid w:val="00A45BB4"/>
    <w:rsid w:val="00A86BA2"/>
    <w:rsid w:val="00B259F3"/>
    <w:rsid w:val="00BD06FA"/>
    <w:rsid w:val="00BF683F"/>
    <w:rsid w:val="00C649DC"/>
    <w:rsid w:val="00D04920"/>
    <w:rsid w:val="00D15CB0"/>
    <w:rsid w:val="00D62142"/>
    <w:rsid w:val="00FA2839"/>
  </w:rsids>
  <m:mathPr>
    <m:mathFont m:val="Cambria Math"/>
    <m:brkBin m:val="before"/>
    <m:brkBinSub m:val="--"/>
    <m:smallFrac m:val="0"/>
    <m:dispDef/>
    <m:lMargin m:val="0"/>
    <m:rMargin m:val="0"/>
    <m:defJc m:val="centerGroup"/>
    <m:wrapIndent m:val="1440"/>
    <m:intLim m:val="subSup"/>
    <m:naryLim m:val="undOvr"/>
  </m:mathPr>
  <w:themeFontLang w:val="en-IN"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FC9760F-E927-418D-AAAC-A4C321EB0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link w:val="Heading3Char"/>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customStyle="1" w:styleId="Heading3Char">
    <w:name w:val="Heading 3 Char"/>
    <w:basedOn w:val="DefaultParagraphFont"/>
    <w:link w:val="Heading3"/>
    <w:uiPriority w:val="1"/>
    <w:rsid w:val="00091F31"/>
    <w:rPr>
      <w:rFonts w:ascii="Times New Roman" w:eastAsia="Times New Roman" w:hAnsi="Times New Roman" w:cs="Times New Roman"/>
      <w:b/>
      <w:bCs/>
      <w:sz w:val="19"/>
      <w:szCs w:val="19"/>
    </w:rPr>
  </w:style>
  <w:style w:type="character" w:styleId="Hyperlink">
    <w:name w:val="Hyperlink"/>
    <w:basedOn w:val="DefaultParagraphFont"/>
    <w:uiPriority w:val="99"/>
    <w:unhideWhenUsed/>
    <w:rsid w:val="00232EB9"/>
    <w:rPr>
      <w:color w:val="0000FF"/>
      <w:u w:val="single"/>
    </w:rPr>
  </w:style>
  <w:style w:type="paragraph" w:customStyle="1" w:styleId="EndNoteBibliography">
    <w:name w:val="EndNote Bibliography"/>
    <w:basedOn w:val="Normal"/>
    <w:link w:val="EndNoteBibliographyChar"/>
    <w:rsid w:val="00232EB9"/>
    <w:pPr>
      <w:widowControl/>
      <w:autoSpaceDE/>
      <w:autoSpaceDN/>
      <w:spacing w:after="160"/>
    </w:pPr>
    <w:rPr>
      <w:rFonts w:ascii="Calibri" w:eastAsiaTheme="minorHAnsi" w:hAnsi="Calibri" w:cs="Calibri"/>
      <w:noProof/>
    </w:rPr>
  </w:style>
  <w:style w:type="character" w:customStyle="1" w:styleId="EndNoteBibliographyChar">
    <w:name w:val="EndNote Bibliography Char"/>
    <w:basedOn w:val="DefaultParagraphFont"/>
    <w:link w:val="EndNoteBibliography"/>
    <w:rsid w:val="00232EB9"/>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icef.org/publications/index_24840"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1</Pages>
  <Words>697</Words>
  <Characters>3977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4665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RKhanam</cp:lastModifiedBy>
  <cp:revision>15</cp:revision>
  <dcterms:created xsi:type="dcterms:W3CDTF">2018-04-05T23:43:00Z</dcterms:created>
  <dcterms:modified xsi:type="dcterms:W3CDTF">2018-04-06T14:32:00Z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