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0B3" w:rsidRPr="00EB70B3" w:rsidRDefault="00EB70B3" w:rsidP="00EB70B3">
      <w:pPr>
        <w:pStyle w:val="NormalWeb"/>
        <w:spacing w:before="0" w:after="0"/>
        <w:jc w:val="center"/>
        <w:rPr>
          <w:b/>
          <w:color w:val="000000"/>
          <w:sz w:val="16"/>
          <w:szCs w:val="16"/>
          <w:u w:color="494A44"/>
        </w:rPr>
      </w:pPr>
      <w:r w:rsidRPr="00EB70B3">
        <w:rPr>
          <w:b/>
          <w:color w:val="000000"/>
          <w:sz w:val="16"/>
          <w:szCs w:val="16"/>
          <w:u w:color="494A44"/>
        </w:rPr>
        <w:t>ABSTRACT</w:t>
      </w:r>
    </w:p>
    <w:p w:rsidR="00EB70B3" w:rsidRPr="00EB70B3" w:rsidRDefault="00EB70B3" w:rsidP="00EB70B3">
      <w:pPr>
        <w:pStyle w:val="ListParagraph"/>
        <w:spacing w:before="120" w:after="120" w:line="240" w:lineRule="auto"/>
        <w:ind w:left="0"/>
        <w:jc w:val="both"/>
        <w:rPr>
          <w:rFonts w:ascii="Times New Roman" w:hAnsi="Times New Roman"/>
          <w:sz w:val="16"/>
          <w:szCs w:val="16"/>
        </w:rPr>
      </w:pPr>
      <w:r w:rsidRPr="00EB70B3">
        <w:rPr>
          <w:rFonts w:ascii="Times New Roman" w:hAnsi="Times New Roman"/>
          <w:b/>
          <w:sz w:val="16"/>
          <w:szCs w:val="16"/>
          <w:lang w:val="en-IN"/>
        </w:rPr>
        <w:t>INTRODUCTION-</w:t>
      </w:r>
      <w:r w:rsidRPr="00EB70B3">
        <w:rPr>
          <w:rFonts w:ascii="Times New Roman" w:hAnsi="Times New Roman"/>
          <w:sz w:val="16"/>
          <w:szCs w:val="16"/>
        </w:rPr>
        <w:t>Bicytopenia is the reduction of any of the two cell lines of blood i.e. erythrocytes, leucocytes or platelets. Many studies are done on pancytopenia but very few studies exist in literature, evaluating the spectrum of etiologies of bicytopenia. Until this date, no study has been done on bicytopenia in this part of the country and no literature is available on bicytopenia in adults.</w:t>
      </w:r>
    </w:p>
    <w:p w:rsidR="00EB70B3" w:rsidRPr="00EB70B3" w:rsidRDefault="00EB70B3" w:rsidP="00EB70B3">
      <w:pPr>
        <w:pStyle w:val="ListParagraph"/>
        <w:spacing w:before="120" w:after="120" w:line="240" w:lineRule="auto"/>
        <w:ind w:left="0"/>
        <w:jc w:val="both"/>
        <w:rPr>
          <w:rFonts w:ascii="Times New Roman" w:hAnsi="Times New Roman"/>
          <w:sz w:val="16"/>
          <w:szCs w:val="16"/>
        </w:rPr>
      </w:pPr>
      <w:r w:rsidRPr="00EB70B3">
        <w:rPr>
          <w:rFonts w:ascii="Times New Roman" w:hAnsi="Times New Roman"/>
          <w:b/>
          <w:sz w:val="16"/>
          <w:szCs w:val="16"/>
          <w:lang w:val="en-IN"/>
        </w:rPr>
        <w:t>AIMS AND OBJECTIVES-</w:t>
      </w:r>
      <w:r w:rsidRPr="00EB70B3">
        <w:rPr>
          <w:rFonts w:ascii="Times New Roman" w:hAnsi="Times New Roman"/>
          <w:sz w:val="16"/>
          <w:szCs w:val="16"/>
        </w:rPr>
        <w:t xml:space="preserve"> To study the clinico-hematological profile of patients with bicytopenia and to find out the different etiologies of bicytopenia.</w:t>
      </w:r>
    </w:p>
    <w:p w:rsidR="00EB70B3" w:rsidRPr="00EB70B3" w:rsidRDefault="00EB70B3" w:rsidP="00EB70B3">
      <w:pPr>
        <w:pStyle w:val="ListParagraph"/>
        <w:spacing w:before="120" w:after="120" w:line="240" w:lineRule="auto"/>
        <w:ind w:left="0"/>
        <w:jc w:val="both"/>
        <w:rPr>
          <w:rFonts w:ascii="Times New Roman" w:hAnsi="Times New Roman"/>
          <w:sz w:val="16"/>
          <w:szCs w:val="16"/>
        </w:rPr>
      </w:pPr>
    </w:p>
    <w:p w:rsidR="00EB70B3" w:rsidRPr="00EB70B3" w:rsidRDefault="00EB70B3" w:rsidP="00EB70B3">
      <w:pPr>
        <w:pStyle w:val="ListParagraph"/>
        <w:spacing w:before="120" w:after="120" w:line="240" w:lineRule="auto"/>
        <w:ind w:left="0"/>
        <w:jc w:val="both"/>
        <w:rPr>
          <w:rFonts w:ascii="Times New Roman" w:hAnsi="Times New Roman"/>
          <w:sz w:val="16"/>
          <w:szCs w:val="16"/>
          <w:lang w:val="en-IN"/>
        </w:rPr>
      </w:pPr>
      <w:r w:rsidRPr="00EB70B3">
        <w:rPr>
          <w:rFonts w:ascii="Times New Roman" w:hAnsi="Times New Roman"/>
          <w:b/>
          <w:sz w:val="16"/>
          <w:szCs w:val="16"/>
          <w:lang w:val="en-IN"/>
        </w:rPr>
        <w:t>MATERIALS AND METHODS:</w:t>
      </w:r>
      <w:r w:rsidRPr="00EB70B3">
        <w:rPr>
          <w:rFonts w:ascii="Times New Roman" w:hAnsi="Times New Roman"/>
          <w:sz w:val="16"/>
          <w:szCs w:val="16"/>
        </w:rPr>
        <w:t xml:space="preserve"> Four hundred patients with bicytopenia admitted in KLE’S Dr. Prabhakar</w:t>
      </w:r>
      <w:r w:rsidR="007721E2">
        <w:rPr>
          <w:rFonts w:ascii="Times New Roman" w:hAnsi="Times New Roman"/>
          <w:sz w:val="16"/>
          <w:szCs w:val="16"/>
        </w:rPr>
        <w:t xml:space="preserve"> </w:t>
      </w:r>
      <w:r w:rsidRPr="00EB70B3">
        <w:rPr>
          <w:rFonts w:ascii="Times New Roman" w:hAnsi="Times New Roman"/>
          <w:sz w:val="16"/>
          <w:szCs w:val="16"/>
        </w:rPr>
        <w:t>Kore Charitable Hospital &amp; MRC were selected using systematic random sampling and included in the study.</w:t>
      </w:r>
      <w:r w:rsidRPr="00EB70B3">
        <w:rPr>
          <w:rFonts w:ascii="Times New Roman" w:hAnsi="Times New Roman"/>
          <w:sz w:val="16"/>
          <w:szCs w:val="16"/>
          <w:lang w:val="en-IN"/>
        </w:rPr>
        <w:t xml:space="preserve"> Their clinical profiles and their haematological parameters were evaluated.</w:t>
      </w:r>
    </w:p>
    <w:p w:rsidR="00EB70B3" w:rsidRPr="00EB70B3" w:rsidRDefault="00EB70B3" w:rsidP="00EB70B3">
      <w:pPr>
        <w:pStyle w:val="ListParagraph"/>
        <w:spacing w:before="120" w:after="120" w:line="240" w:lineRule="auto"/>
        <w:jc w:val="both"/>
        <w:rPr>
          <w:rFonts w:ascii="Times New Roman" w:hAnsi="Times New Roman"/>
          <w:sz w:val="16"/>
          <w:szCs w:val="16"/>
        </w:rPr>
      </w:pP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b/>
          <w:sz w:val="16"/>
          <w:szCs w:val="16"/>
          <w:lang w:val="en-IN"/>
        </w:rPr>
        <w:t xml:space="preserve">RESULTS/OBSERVATIONS: </w:t>
      </w:r>
      <w:r w:rsidRPr="00EB70B3">
        <w:rPr>
          <w:rFonts w:ascii="Times New Roman" w:hAnsi="Times New Roman"/>
          <w:sz w:val="16"/>
          <w:szCs w:val="16"/>
          <w:lang w:val="en-IN"/>
        </w:rPr>
        <w:t>The male to female ratio was 1.6:1. Bicytopenia was observed in all ages with the mean age being 30.7 years. The occurrence of bicytopenia studied in different age groups was 6% in neonates, 7% in infants, 25% in children, 17% in teenagers, 85% in adults and 11% in elderly (11%).  The commonest bicytopenia observed was anaemia with thrombocytopenia (</w:t>
      </w:r>
      <w:r w:rsidRPr="00EB70B3">
        <w:rPr>
          <w:rFonts w:ascii="Times New Roman" w:hAnsi="Times New Roman"/>
          <w:sz w:val="16"/>
          <w:szCs w:val="16"/>
        </w:rPr>
        <w:t xml:space="preserve">61%) </w:t>
      </w:r>
      <w:r w:rsidRPr="00EB70B3">
        <w:rPr>
          <w:rFonts w:ascii="Times New Roman" w:hAnsi="Times New Roman"/>
          <w:sz w:val="16"/>
          <w:szCs w:val="16"/>
          <w:lang w:val="en-IN"/>
        </w:rPr>
        <w:t xml:space="preserve">followed by anaemia with leucopoenia (26%) and leucopoenia with thrombocytopenia (13%). </w:t>
      </w:r>
      <w:r w:rsidRPr="00EB70B3">
        <w:rPr>
          <w:rFonts w:ascii="Times New Roman" w:hAnsi="Times New Roman"/>
          <w:sz w:val="16"/>
          <w:szCs w:val="16"/>
        </w:rPr>
        <w:t xml:space="preserve">The most common etiology of bicytopenia was found to be non-malignant (56%) followed by infectious (31.7%), malignant (8.3%) and drug induced (4%). Megaloblastic anemia was the predominant etiology </w:t>
      </w:r>
      <w:r w:rsidRPr="00EB70B3">
        <w:rPr>
          <w:rFonts w:ascii="Times New Roman" w:hAnsi="Times New Roman"/>
          <w:sz w:val="16"/>
          <w:szCs w:val="16"/>
          <w:lang w:val="en-IN"/>
        </w:rPr>
        <w:t xml:space="preserve">among the non-malignant group, closely followed by immume thrombocytopenic purpura and alcoholic liver disease. The commonest infectious disease was dengue (12%). </w:t>
      </w:r>
      <w:r w:rsidRPr="00EB70B3">
        <w:rPr>
          <w:rFonts w:ascii="Times New Roman" w:hAnsi="Times New Roman"/>
          <w:sz w:val="16"/>
          <w:szCs w:val="16"/>
        </w:rPr>
        <w:t>Signs like, lymphadenopathy, splenomegaly and hepatomegaly were most significantly associated with hematological malignancies (p &lt; 0.001). Pallor, bleeding, hepatomegaly and splenomegaly were most significant in non- malignant conditions (p &lt; 0.001). Fever and lymphadenopathy were the most significantly associated with infectious category (p &lt; 0.001). The most significant signs in drug-induced etiology were lymphadenopathy, hepatomegaly and splenomegaly (p &lt;0.001).</w:t>
      </w:r>
    </w:p>
    <w:p w:rsidR="00EB70B3" w:rsidRPr="00EB70B3" w:rsidRDefault="00EB70B3" w:rsidP="00EB70B3">
      <w:pPr>
        <w:pStyle w:val="ListParagraph"/>
        <w:spacing w:before="120" w:after="120" w:line="240" w:lineRule="auto"/>
        <w:ind w:left="0"/>
        <w:jc w:val="both"/>
        <w:rPr>
          <w:rFonts w:ascii="Times New Roman" w:hAnsi="Times New Roman"/>
          <w:b/>
          <w:sz w:val="16"/>
          <w:szCs w:val="16"/>
          <w:lang w:val="en-IN"/>
        </w:rPr>
      </w:pPr>
      <w:r w:rsidRPr="00EB70B3">
        <w:rPr>
          <w:rFonts w:ascii="Times New Roman" w:hAnsi="Times New Roman"/>
          <w:b/>
          <w:sz w:val="16"/>
          <w:szCs w:val="16"/>
          <w:lang w:val="en-IN"/>
        </w:rPr>
        <w:t xml:space="preserve">CONCLUSION: </w:t>
      </w:r>
      <w:r w:rsidRPr="00EB70B3">
        <w:rPr>
          <w:rFonts w:ascii="Times New Roman" w:hAnsi="Times New Roman"/>
          <w:sz w:val="16"/>
          <w:szCs w:val="16"/>
          <w:lang w:val="en-IN"/>
        </w:rPr>
        <w:t>Bicytopenia is a good hematological indicator for many non- malignant and malignant diseases. The knowledge of its etiologies can help in diagnosis and efficient management of patients.</w:t>
      </w:r>
    </w:p>
    <w:p w:rsidR="00EB70B3" w:rsidRPr="00EB70B3" w:rsidRDefault="00EB70B3" w:rsidP="00EB70B3">
      <w:pPr>
        <w:pStyle w:val="ListParagraph"/>
        <w:spacing w:before="120" w:after="120" w:line="240" w:lineRule="auto"/>
        <w:ind w:left="0"/>
        <w:jc w:val="both"/>
        <w:rPr>
          <w:rFonts w:ascii="Times New Roman" w:hAnsi="Times New Roman"/>
          <w:sz w:val="16"/>
          <w:szCs w:val="16"/>
          <w:lang w:val="en-IN"/>
        </w:rPr>
      </w:pPr>
      <w:r w:rsidRPr="00EB70B3">
        <w:rPr>
          <w:rFonts w:ascii="Times New Roman" w:hAnsi="Times New Roman"/>
          <w:b/>
          <w:sz w:val="16"/>
          <w:szCs w:val="16"/>
          <w:lang w:val="en-IN"/>
        </w:rPr>
        <w:t>KEY WORDS:</w:t>
      </w:r>
      <w:r w:rsidRPr="00EB70B3">
        <w:rPr>
          <w:rFonts w:ascii="Times New Roman" w:hAnsi="Times New Roman"/>
          <w:sz w:val="16"/>
          <w:szCs w:val="16"/>
          <w:lang w:val="en-IN"/>
        </w:rPr>
        <w:t xml:space="preserve"> Bicytopenia, Anaemia, Thrombocy</w:t>
      </w:r>
      <w:r>
        <w:rPr>
          <w:rFonts w:ascii="Times New Roman" w:hAnsi="Times New Roman"/>
          <w:sz w:val="16"/>
          <w:szCs w:val="16"/>
          <w:lang w:val="en-IN"/>
        </w:rPr>
        <w:t>topenia, Leucopoenia, Leukaemia</w:t>
      </w:r>
    </w:p>
    <w:p w:rsidR="00EB70B3" w:rsidRPr="00EB70B3" w:rsidRDefault="00EB70B3" w:rsidP="00EB70B3">
      <w:pPr>
        <w:spacing w:before="120" w:after="120" w:line="240" w:lineRule="auto"/>
        <w:jc w:val="center"/>
        <w:rPr>
          <w:rFonts w:ascii="Times New Roman" w:eastAsia="Times New Roman" w:hAnsi="Times New Roman"/>
          <w:b/>
          <w:sz w:val="16"/>
          <w:szCs w:val="16"/>
        </w:rPr>
      </w:pPr>
      <w:r w:rsidRPr="00EB70B3">
        <w:rPr>
          <w:rFonts w:ascii="Times New Roman" w:eastAsia="Times New Roman" w:hAnsi="Times New Roman"/>
          <w:b/>
          <w:sz w:val="16"/>
          <w:szCs w:val="16"/>
        </w:rPr>
        <w:t>INTRODUCTION</w:t>
      </w:r>
    </w:p>
    <w:p w:rsidR="00EB70B3" w:rsidRPr="00EB70B3" w:rsidRDefault="00EB70B3" w:rsidP="00EB70B3">
      <w:pPr>
        <w:spacing w:before="120" w:after="120" w:line="240" w:lineRule="auto"/>
        <w:jc w:val="both"/>
        <w:rPr>
          <w:rFonts w:ascii="Times New Roman" w:eastAsia="Times New Roman" w:hAnsi="Times New Roman"/>
          <w:sz w:val="16"/>
          <w:szCs w:val="16"/>
        </w:rPr>
      </w:pPr>
      <w:r w:rsidRPr="00EB70B3">
        <w:rPr>
          <w:rFonts w:ascii="Times New Roman" w:eastAsia="Times New Roman" w:hAnsi="Times New Roman"/>
          <w:sz w:val="16"/>
          <w:szCs w:val="16"/>
        </w:rPr>
        <w:t>The word ‘Blood’ is derived from the Old English word ‘</w:t>
      </w:r>
      <w:r w:rsidRPr="00EB70B3">
        <w:rPr>
          <w:rFonts w:ascii="Times New Roman" w:eastAsia="Times New Roman" w:hAnsi="Times New Roman"/>
          <w:i/>
          <w:sz w:val="16"/>
          <w:szCs w:val="16"/>
        </w:rPr>
        <w:t>Blod’</w:t>
      </w:r>
      <w:r w:rsidRPr="00EB70B3">
        <w:rPr>
          <w:rFonts w:ascii="Times New Roman" w:eastAsia="Times New Roman" w:hAnsi="Times New Roman"/>
          <w:sz w:val="16"/>
          <w:szCs w:val="16"/>
        </w:rPr>
        <w:t xml:space="preserve"> and dates back to 1000 AD. It is defined as the vital principle.</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&lt;EndNote&gt;&lt;Cite&gt;&lt;Author&gt;Douglas Harper&lt;/Author&gt;&lt;Year&gt;2015&lt;/Year&gt;&lt;RecNum&gt;47&lt;/RecNum&gt;&lt;DisplayText&gt;(1)&lt;/DisplayText&gt;&lt;record&gt;&lt;rec-number&gt;47&lt;/rec-number&gt;&lt;foreign-keys&gt;&lt;key app="EN" db-id="9ppaf9et390faresp52p22aveawx9ew2swv5"&gt;47&lt;/key&gt;&lt;/foreign-keys&gt;&lt;ref-type name="Web Page"&gt;12&lt;/ref-type&gt;&lt;contributors&gt;&lt;authors&gt;&lt;author&gt;Douglas Harper&lt;/author&gt;&lt;/authors&gt;&lt;/contributors&gt;&lt;titles&gt;&lt;title&gt; blood&lt;/title&gt;&lt;/titles&gt;&lt;volume&gt;2015&lt;/volume&gt;&lt;number&gt;27 August&lt;/number&gt;&lt;dates&gt;&lt;year&gt;2015&lt;/year&gt;&lt;/dates&gt;&lt;publisher&gt;Online Etymology Dictionary&lt;/publisher&gt;&lt;urls&gt;&lt;related-urls&gt;&lt;url&gt;http://dictionary.reference.com/browse/blood&lt;/url&gt;&lt;/related-urls&gt;&lt;/urls&gt;&lt;remote-database-name&gt;Dictionary.com website&lt;/remote-database-name&gt;&lt;/record&gt;&lt;/Cite&gt;&lt;/EndNote&gt;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(1)</w:t>
      </w:r>
      <w:r w:rsidR="00DA3B95" w:rsidRPr="00EB70B3">
        <w:rPr>
          <w:rFonts w:ascii="Times New Roman" w:eastAsia="Times New Roman" w:hAnsi="Times New Roman"/>
          <w:sz w:val="16"/>
          <w:szCs w:val="16"/>
          <w:vertAlign w:val="superscript"/>
        </w:rPr>
        <w:fldChar w:fldCharType="end"/>
      </w:r>
      <w:r w:rsidRPr="00EB70B3">
        <w:rPr>
          <w:rFonts w:ascii="Times New Roman" w:eastAsia="Times New Roman" w:hAnsi="Times New Roman"/>
          <w:sz w:val="16"/>
          <w:szCs w:val="16"/>
        </w:rPr>
        <w:t xml:space="preserve"> However, it is also a source of many diseases. The current technology allows us to assess blood counts and other parameters to monitor the health status of an individual. Thus, any change in blood counts could be used as an indicator of certain diseases.</w:t>
      </w:r>
    </w:p>
    <w:p w:rsidR="00EB70B3" w:rsidRPr="00EB70B3" w:rsidRDefault="00EB70B3" w:rsidP="00EB70B3">
      <w:pPr>
        <w:spacing w:before="120" w:after="120" w:line="240" w:lineRule="auto"/>
        <w:jc w:val="both"/>
        <w:rPr>
          <w:rFonts w:ascii="Times New Roman" w:eastAsia="Times New Roman" w:hAnsi="Times New Roman"/>
          <w:sz w:val="16"/>
          <w:szCs w:val="16"/>
        </w:rPr>
      </w:pPr>
      <w:r w:rsidRPr="00EB70B3">
        <w:rPr>
          <w:rFonts w:ascii="Times New Roman" w:eastAsia="Times New Roman" w:hAnsi="Times New Roman"/>
          <w:sz w:val="16"/>
          <w:szCs w:val="16"/>
        </w:rPr>
        <w:t>The different variations in the blood counts can be in the form of an increase or decrease in the individual cell lineages. An increase is referred to as cytosis and decrease as cytopenia. Pancytopenia is the decrease in all the cell lineages. If only two cell lineages are affected, it is referred to as Bicytopenia.</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&lt;EndNote&gt;&lt;Cite&gt;&lt;Author&gt;Bates&lt;/Author&gt;&lt;Year&gt;2012&lt;/Year&gt;&lt;RecNum&gt;5&lt;/RecNum&gt;&lt;DisplayText&gt;(2)&lt;/DisplayText&gt;&lt;record&gt;&lt;rec-number&gt;5&lt;/rec-number&gt;&lt;foreign-keys&gt;&lt;key app="EN" db-id="9ppaf9et390faresp52p22aveawx9ew2swv5"&gt;5&lt;/key&gt;&lt;/foreign-keys&gt;&lt;ref-type name="Book Section"&gt;5&lt;/ref-type&gt;&lt;contributors&gt;&lt;authors&gt;&lt;author&gt;I Bates&lt;/author&gt;&lt;author&gt;BJ Bain&lt;/author&gt;&lt;/authors&gt;&lt;secondary-authors&gt;&lt;author&gt;SM Lewis &lt;/author&gt;&lt;author&gt;BJ Bain&lt;/author&gt;&lt;author&gt;I Bates &lt;/author&gt;&lt;author&gt;MA Laffan &lt;/author&gt;&lt;/secondary-authors&gt;&lt;/contributors&gt;&lt;titles&gt;&lt;title&gt;Approach to diagnosis and classification of blood diseases&lt;/title&gt;&lt;secondary-title&gt;Dacie and Lewis Practical Haematology&lt;/secondary-title&gt;&lt;/titles&gt;&lt;pages&gt;549-62&lt;/pages&gt;&lt;edition&gt;11&lt;/edition&gt;&lt;section&gt;23&lt;/section&gt;&lt;dates&gt;&lt;year&gt;2012&lt;/year&gt;&lt;/dates&gt;&lt;pub-location&gt;Philadelphia&lt;/pub-location&gt;&lt;publisher&gt;Churchill Livingstone&lt;/publisher&gt;&lt;urls&gt;&lt;/urls&gt;&lt;/record&gt;&lt;/Cite&gt;&lt;/EndNote&gt;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(2)</w:t>
      </w:r>
      <w:r w:rsidR="00DA3B95" w:rsidRPr="00EB70B3">
        <w:rPr>
          <w:rFonts w:ascii="Times New Roman" w:eastAsia="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eastAsia="Times New Roman" w:hAnsi="Times New Roman"/>
          <w:sz w:val="16"/>
          <w:szCs w:val="16"/>
        </w:rPr>
      </w:pPr>
      <w:r w:rsidRPr="00EB70B3">
        <w:rPr>
          <w:rFonts w:ascii="Times New Roman" w:eastAsia="Times New Roman" w:hAnsi="Times New Roman"/>
          <w:sz w:val="16"/>
          <w:szCs w:val="16"/>
        </w:rPr>
        <w:t>Pancytopenia is an extensively studied subject. Many papers are published on the causes and outcomes of pancytopenia in different age groups. However, bicytopenia remains an unexplored territory. There are very few studies in literature evaluating the spectrum of etiologies of bicytopenia in different age groups. The awareness of these etiologies can caution the physician of an impending disease and help to diagnose the same. Even the management is different in different cytopenias, thus highlighting the significance of studying bicytopenia.</w:t>
      </w:r>
    </w:p>
    <w:p w:rsidR="00EB70B3" w:rsidRPr="00EB70B3" w:rsidRDefault="00EB70B3" w:rsidP="00EB70B3">
      <w:pPr>
        <w:spacing w:before="120" w:after="120" w:line="240" w:lineRule="auto"/>
        <w:jc w:val="both"/>
        <w:rPr>
          <w:rFonts w:ascii="Times New Roman" w:eastAsia="Times New Roman" w:hAnsi="Times New Roman"/>
          <w:sz w:val="16"/>
          <w:szCs w:val="16"/>
        </w:rPr>
      </w:pPr>
      <w:r w:rsidRPr="00EB70B3">
        <w:rPr>
          <w:rFonts w:ascii="Times New Roman" w:eastAsia="Times New Roman" w:hAnsi="Times New Roman"/>
          <w:sz w:val="16"/>
          <w:szCs w:val="16"/>
        </w:rPr>
        <w:t>To the best of our knowledge, no study has been done on bicytopenia in this part of the country and there is no literature on bicytopenia in adults.</w:t>
      </w:r>
    </w:p>
    <w:p w:rsidR="00EB70B3" w:rsidRPr="00EB70B3" w:rsidRDefault="00EB70B3" w:rsidP="00EB70B3">
      <w:pPr>
        <w:spacing w:before="120" w:after="120" w:line="240" w:lineRule="auto"/>
        <w:jc w:val="both"/>
        <w:rPr>
          <w:rFonts w:ascii="Times New Roman" w:eastAsia="Times New Roman" w:hAnsi="Times New Roman"/>
          <w:sz w:val="16"/>
          <w:szCs w:val="16"/>
        </w:rPr>
      </w:pPr>
      <w:r w:rsidRPr="00EB70B3">
        <w:rPr>
          <w:rFonts w:ascii="Times New Roman" w:eastAsia="Times New Roman" w:hAnsi="Times New Roman"/>
          <w:sz w:val="16"/>
          <w:szCs w:val="16"/>
        </w:rPr>
        <w:t>The etiology of bicytopenia varies in children, ranging from transient marrow viral suppression (0.3%) to marrow infiltration by life-threatening malignancies (69.5%).  These may be caused secondary to certain drugs (12.37%), chemotherapy or radiotherapy for some malignancies.</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(3)</w:t>
      </w:r>
      <w:r w:rsidR="00DA3B95" w:rsidRPr="00EB70B3">
        <w:rPr>
          <w:rFonts w:ascii="Times New Roman" w:eastAsia="Times New Roman" w:hAnsi="Times New Roman"/>
          <w:sz w:val="16"/>
          <w:szCs w:val="16"/>
          <w:vertAlign w:val="superscript"/>
        </w:rPr>
        <w:fldChar w:fldCharType="end"/>
      </w:r>
      <w:r w:rsidRPr="00EB70B3">
        <w:rPr>
          <w:rFonts w:ascii="Times New Roman" w:eastAsia="Times New Roman" w:hAnsi="Times New Roman"/>
          <w:sz w:val="16"/>
          <w:szCs w:val="16"/>
        </w:rPr>
        <w:t>Evaluating  the etiologies of bicytopenia can guide in diagnosis and efficient management of patients.</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(3)</w:t>
      </w:r>
      <w:r w:rsidR="00DA3B95" w:rsidRPr="00EB70B3">
        <w:rPr>
          <w:rFonts w:ascii="Times New Roman" w:eastAsia="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eastAsia="Times New Roman" w:hAnsi="Times New Roman"/>
          <w:sz w:val="16"/>
          <w:szCs w:val="16"/>
        </w:rPr>
      </w:pPr>
      <w:r w:rsidRPr="00EB70B3">
        <w:rPr>
          <w:rFonts w:ascii="Times New Roman" w:eastAsia="Times New Roman" w:hAnsi="Times New Roman"/>
          <w:sz w:val="16"/>
          <w:szCs w:val="16"/>
        </w:rPr>
        <w:t>The prevalence of bicytopenia in children, according to two studies was 40% and 45% respectively.</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&lt;EndNote&gt;&lt;Cite&gt;&lt;Author&gt;Naseem&lt;/Author&gt;&lt;Year&gt;2011&lt;/Year&gt;&lt;RecNum&gt;6&lt;/RecNum&gt;&lt;DisplayText&gt;(3, 4)&lt;/DisplayText&gt;&lt;record&gt;&lt;rec-number&gt;6&lt;/rec-number&gt;&lt;foreign-keys&gt;&lt;key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Cite&gt;&lt;Author&gt;Ayub&lt;/Author&gt;&lt;Year&gt;2009&lt;/Year&gt;&lt;RecNum&gt;8&lt;/RecNum&gt;&lt;record&gt;&lt;rec-number&gt;8&lt;/rec-number&gt;&lt;foreign-keys&gt;&lt;key app="EN" db-id="9ppaf9et390faresp52p22aveawx9ew2swv5"&gt;8&lt;/key&gt;&lt;/foreign-keys&gt;&lt;ref-type name="Journal Article"&gt;17&lt;/ref-type&gt;&lt;contributors&gt;&lt;authors&gt;&lt;author&gt;T Ayub &lt;/author&gt;&lt;author&gt;FR Khan &lt;/author&gt;&lt;/authors&gt;&lt;/contributors&gt;&lt;titles&gt;&lt;title&gt;Prevalence of megaloblastic anaemia in a paediatric unit&lt;/title&gt;&lt;secondary-title&gt;Gomal J Med Sci&lt;/secondary-title&gt;&lt;/titles&gt;&lt;pages&gt;62-4&lt;/pages&gt;&lt;volume&gt;7&lt;/volume&gt;&lt;dates&gt;&lt;year&gt;2009&lt;/year&gt;&lt;/dates&gt;&lt;urls&gt;&lt;/urls&gt;&lt;/record&gt;&lt;/Cite&gt;&lt;/EndNote&gt;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(3, 4)</w:t>
      </w:r>
      <w:r w:rsidR="00DA3B95" w:rsidRPr="00EB70B3">
        <w:rPr>
          <w:rFonts w:ascii="Times New Roman" w:eastAsia="Times New Roman" w:hAnsi="Times New Roman"/>
          <w:sz w:val="16"/>
          <w:szCs w:val="16"/>
          <w:vertAlign w:val="superscript"/>
        </w:rPr>
        <w:fldChar w:fldCharType="end"/>
      </w:r>
      <w:r w:rsidRPr="00EB70B3">
        <w:rPr>
          <w:rFonts w:ascii="Times New Roman" w:eastAsia="Times New Roman" w:hAnsi="Times New Roman"/>
          <w:sz w:val="16"/>
          <w:szCs w:val="16"/>
        </w:rPr>
        <w:t>The prevalence of bicytopenias in adults remains unknown. Also, there are very few studies on the etiologies, clinical features and hematological profile of bicytopenic patients of different age groups.</w:t>
      </w:r>
    </w:p>
    <w:p w:rsidR="00EB70B3" w:rsidRPr="00EB70B3" w:rsidRDefault="00EB70B3" w:rsidP="00EB70B3">
      <w:pPr>
        <w:spacing w:before="120" w:after="120" w:line="240" w:lineRule="auto"/>
        <w:jc w:val="both"/>
        <w:rPr>
          <w:rFonts w:ascii="Times New Roman" w:eastAsia="Times New Roman" w:hAnsi="Times New Roman"/>
          <w:sz w:val="16"/>
          <w:szCs w:val="16"/>
        </w:rPr>
      </w:pPr>
      <w:r w:rsidRPr="00EB70B3">
        <w:rPr>
          <w:rFonts w:ascii="Times New Roman" w:eastAsia="Times New Roman" w:hAnsi="Times New Roman"/>
          <w:sz w:val="16"/>
          <w:szCs w:val="16"/>
        </w:rPr>
        <w:t>Hence, there is a need to study the clinico-hematological profile of patients with bicytopenia in this part of the country. This thought prompted us to undertake the present study.</w:t>
      </w:r>
    </w:p>
    <w:p w:rsidR="00EB70B3" w:rsidRPr="00EB70B3" w:rsidRDefault="00EB70B3" w:rsidP="00EB70B3">
      <w:pPr>
        <w:spacing w:before="120" w:after="120" w:line="240" w:lineRule="auto"/>
        <w:ind w:right="476"/>
        <w:jc w:val="center"/>
        <w:rPr>
          <w:rFonts w:ascii="Times New Roman" w:hAnsi="Times New Roman"/>
          <w:b/>
          <w:sz w:val="16"/>
          <w:szCs w:val="16"/>
        </w:rPr>
      </w:pPr>
      <w:r w:rsidRPr="00EB70B3">
        <w:rPr>
          <w:rFonts w:ascii="Times New Roman" w:hAnsi="Times New Roman"/>
          <w:b/>
          <w:sz w:val="16"/>
          <w:szCs w:val="16"/>
        </w:rPr>
        <w:t>MATERIALS AND METHODS</w:t>
      </w:r>
    </w:p>
    <w:tbl>
      <w:tblPr>
        <w:tblW w:w="8478" w:type="dxa"/>
        <w:jc w:val="center"/>
        <w:tblLook w:val="01E0"/>
      </w:tblPr>
      <w:tblGrid>
        <w:gridCol w:w="8478"/>
      </w:tblGrid>
      <w:tr w:rsidR="00EB70B3" w:rsidRPr="00EB70B3" w:rsidTr="00E0324B">
        <w:trPr>
          <w:jc w:val="center"/>
        </w:trPr>
        <w:tc>
          <w:tcPr>
            <w:tcW w:w="8478" w:type="dxa"/>
          </w:tcPr>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sz w:val="16"/>
                <w:szCs w:val="16"/>
              </w:rPr>
              <w:t xml:space="preserve">This prospective cross-sectional study was carried out in the Department of Pathology, Jawaharlal Nehru medical college, Belgavi. </w:t>
            </w:r>
          </w:p>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sz w:val="16"/>
                <w:szCs w:val="16"/>
              </w:rPr>
              <w:t>All the inpatients with bicytopenia admitted at KLE’s Dr. PrabhakarKore Charitable Hospital &amp; MRC attached to Jawaharlal Nehru Medical College, Belgaum, during the period January 2014 to December 2014, were included in the study.</w:t>
            </w:r>
          </w:p>
          <w:p w:rsidR="00EB70B3" w:rsidRPr="00EB70B3" w:rsidRDefault="00EB70B3" w:rsidP="00EB70B3">
            <w:pPr>
              <w:spacing w:before="120" w:after="120" w:line="240" w:lineRule="auto"/>
              <w:ind w:right="94"/>
              <w:jc w:val="both"/>
              <w:rPr>
                <w:rFonts w:ascii="Times New Roman" w:hAnsi="Times New Roman"/>
                <w:b/>
                <w:bCs/>
                <w:sz w:val="16"/>
                <w:szCs w:val="16"/>
              </w:rPr>
            </w:pPr>
            <w:r w:rsidRPr="00EB70B3">
              <w:rPr>
                <w:rFonts w:ascii="Times New Roman" w:hAnsi="Times New Roman"/>
                <w:sz w:val="16"/>
                <w:szCs w:val="16"/>
              </w:rPr>
              <w:t>The sample size was calculated using the formula</w:t>
            </w:r>
            <w:r w:rsidRPr="00EB70B3">
              <w:rPr>
                <w:rFonts w:ascii="Times New Roman" w:hAnsi="Times New Roman"/>
                <w:b/>
                <w:bCs/>
                <w:sz w:val="16"/>
                <w:szCs w:val="16"/>
              </w:rPr>
              <w:t xml:space="preserve">: </w:t>
            </w:r>
          </w:p>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bCs/>
                <w:sz w:val="16"/>
                <w:szCs w:val="16"/>
              </w:rPr>
              <w:t xml:space="preserve">n= </w:t>
            </w:r>
            <w:r w:rsidRPr="00EB70B3">
              <w:rPr>
                <w:rFonts w:ascii="Times New Roman" w:hAnsi="Times New Roman"/>
                <w:bCs/>
                <w:sz w:val="16"/>
                <w:szCs w:val="16"/>
                <w:u w:val="single"/>
              </w:rPr>
              <w:t xml:space="preserve">4pq </w:t>
            </w:r>
          </w:p>
          <w:p w:rsidR="00EB70B3" w:rsidRPr="00EB70B3" w:rsidRDefault="00EB70B3" w:rsidP="00EB70B3">
            <w:pPr>
              <w:spacing w:before="120" w:after="120" w:line="240" w:lineRule="auto"/>
              <w:ind w:right="94"/>
              <w:jc w:val="both"/>
              <w:rPr>
                <w:rFonts w:ascii="Times New Roman" w:hAnsi="Times New Roman"/>
                <w:bCs/>
                <w:sz w:val="16"/>
                <w:szCs w:val="16"/>
                <w:vertAlign w:val="superscript"/>
              </w:rPr>
            </w:pPr>
            <w:r w:rsidRPr="00EB70B3">
              <w:rPr>
                <w:rFonts w:ascii="Times New Roman" w:hAnsi="Times New Roman"/>
                <w:bCs/>
                <w:sz w:val="16"/>
                <w:szCs w:val="16"/>
              </w:rPr>
              <w:t>d</w:t>
            </w:r>
            <w:r w:rsidRPr="00EB70B3">
              <w:rPr>
                <w:rFonts w:ascii="Times New Roman" w:hAnsi="Times New Roman"/>
                <w:bCs/>
                <w:sz w:val="16"/>
                <w:szCs w:val="16"/>
                <w:vertAlign w:val="superscript"/>
              </w:rPr>
              <w:t>2</w:t>
            </w:r>
          </w:p>
          <w:p w:rsidR="00EB70B3" w:rsidRPr="00EB70B3" w:rsidRDefault="00EB70B3" w:rsidP="00EB70B3">
            <w:pPr>
              <w:spacing w:before="120" w:after="120" w:line="240" w:lineRule="auto"/>
              <w:ind w:right="94"/>
              <w:jc w:val="both"/>
              <w:rPr>
                <w:rFonts w:ascii="Times New Roman" w:hAnsi="Times New Roman"/>
                <w:bCs/>
                <w:sz w:val="16"/>
                <w:szCs w:val="16"/>
              </w:rPr>
            </w:pPr>
            <w:r w:rsidRPr="00EB70B3">
              <w:rPr>
                <w:rFonts w:ascii="Times New Roman" w:hAnsi="Times New Roman"/>
                <w:bCs/>
                <w:sz w:val="16"/>
                <w:szCs w:val="16"/>
              </w:rPr>
              <w:t>where:</w:t>
            </w:r>
          </w:p>
          <w:p w:rsidR="00EB70B3" w:rsidRPr="00EB70B3" w:rsidRDefault="00EB70B3" w:rsidP="00EB70B3">
            <w:pPr>
              <w:pStyle w:val="BodyTextIndent2"/>
              <w:numPr>
                <w:ilvl w:val="0"/>
                <w:numId w:val="2"/>
              </w:numPr>
              <w:spacing w:before="120" w:after="120" w:line="240" w:lineRule="auto"/>
              <w:ind w:right="94"/>
              <w:rPr>
                <w:sz w:val="16"/>
                <w:szCs w:val="16"/>
                <w:lang w:val="en-GB"/>
              </w:rPr>
            </w:pPr>
            <w:r w:rsidRPr="00EB70B3">
              <w:rPr>
                <w:bCs/>
                <w:sz w:val="16"/>
                <w:szCs w:val="16"/>
              </w:rPr>
              <w:t>n</w:t>
            </w:r>
            <w:r w:rsidRPr="00EB70B3">
              <w:rPr>
                <w:sz w:val="16"/>
                <w:szCs w:val="16"/>
                <w:lang w:val="en-GB"/>
              </w:rPr>
              <w:t>– Sample size</w:t>
            </w:r>
          </w:p>
          <w:p w:rsidR="00EB70B3" w:rsidRPr="00EB70B3" w:rsidRDefault="00EB70B3" w:rsidP="00EB70B3">
            <w:pPr>
              <w:pStyle w:val="BodyTextIndent2"/>
              <w:numPr>
                <w:ilvl w:val="0"/>
                <w:numId w:val="2"/>
              </w:numPr>
              <w:spacing w:before="120" w:after="120" w:line="240" w:lineRule="auto"/>
              <w:ind w:right="94"/>
              <w:rPr>
                <w:sz w:val="16"/>
                <w:szCs w:val="16"/>
                <w:lang w:val="en-GB"/>
              </w:rPr>
            </w:pPr>
            <w:r w:rsidRPr="00EB70B3">
              <w:rPr>
                <w:sz w:val="16"/>
                <w:szCs w:val="16"/>
                <w:lang w:val="en-GB"/>
              </w:rPr>
              <w:t xml:space="preserve">p – Prevalence of anemia with thrombocytopenia, leucopenia with thrombocytopenia or anemia with leucopenia could not be found on extensive search of literature. Therefore, it was assumed to be 50%, to get a maximum </w:t>
            </w:r>
            <w:r w:rsidRPr="00EB70B3">
              <w:rPr>
                <w:sz w:val="16"/>
                <w:szCs w:val="16"/>
                <w:lang w:val="en-GB"/>
              </w:rPr>
              <w:lastRenderedPageBreak/>
              <w:t>sample size with minimum error.</w:t>
            </w:r>
          </w:p>
          <w:p w:rsidR="00EB70B3" w:rsidRPr="00EB70B3" w:rsidRDefault="00EB70B3" w:rsidP="00EB70B3">
            <w:pPr>
              <w:pStyle w:val="BodyTextIndent2"/>
              <w:numPr>
                <w:ilvl w:val="0"/>
                <w:numId w:val="2"/>
              </w:numPr>
              <w:spacing w:before="120" w:after="120" w:line="240" w:lineRule="auto"/>
              <w:ind w:right="94"/>
              <w:rPr>
                <w:sz w:val="16"/>
                <w:szCs w:val="16"/>
                <w:lang w:val="en-GB"/>
              </w:rPr>
            </w:pPr>
            <w:r w:rsidRPr="00EB70B3">
              <w:rPr>
                <w:sz w:val="16"/>
                <w:szCs w:val="16"/>
                <w:lang w:val="en-GB"/>
              </w:rPr>
              <w:t>q – 100-P</w:t>
            </w:r>
          </w:p>
          <w:p w:rsidR="00EB70B3" w:rsidRPr="00EB70B3" w:rsidRDefault="00EB70B3" w:rsidP="00EB70B3">
            <w:pPr>
              <w:pStyle w:val="BodyTextIndent2"/>
              <w:numPr>
                <w:ilvl w:val="0"/>
                <w:numId w:val="2"/>
              </w:numPr>
              <w:spacing w:before="120" w:after="120" w:line="240" w:lineRule="auto"/>
              <w:ind w:right="94"/>
              <w:rPr>
                <w:sz w:val="16"/>
                <w:szCs w:val="16"/>
                <w:lang w:val="en-GB"/>
              </w:rPr>
            </w:pPr>
            <w:r w:rsidRPr="00EB70B3">
              <w:rPr>
                <w:sz w:val="16"/>
                <w:szCs w:val="16"/>
                <w:lang w:val="en-GB"/>
              </w:rPr>
              <w:t>d – Absolute error taken as 5%</w:t>
            </w:r>
          </w:p>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sz w:val="16"/>
                <w:szCs w:val="16"/>
              </w:rPr>
              <w:t>n=</w:t>
            </w:r>
            <w:r w:rsidRPr="00EB70B3">
              <w:rPr>
                <w:rFonts w:ascii="Times New Roman" w:hAnsi="Times New Roman"/>
                <w:sz w:val="16"/>
                <w:szCs w:val="16"/>
                <w:u w:val="single"/>
              </w:rPr>
              <w:t xml:space="preserve">4x50x50 </w:t>
            </w:r>
            <w:r w:rsidRPr="00EB70B3">
              <w:rPr>
                <w:rFonts w:ascii="Times New Roman" w:hAnsi="Times New Roman"/>
                <w:sz w:val="16"/>
                <w:szCs w:val="16"/>
              </w:rPr>
              <w:t xml:space="preserve"> = 400</w:t>
            </w:r>
          </w:p>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sz w:val="16"/>
                <w:szCs w:val="16"/>
              </w:rPr>
              <w:t xml:space="preserve">                          25</w:t>
            </w:r>
          </w:p>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sz w:val="16"/>
                <w:szCs w:val="16"/>
              </w:rPr>
              <w:t xml:space="preserve">Thus, the sample size calculated was 400 patients. </w:t>
            </w: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According to 3-year data evaluation, average number of patients with bicytopenia admitted to KLE’s Dr. PrabhakarKore Hospital was 864 annually. Thus, every 2</w:t>
            </w:r>
            <w:r w:rsidRPr="00EB70B3">
              <w:rPr>
                <w:color w:val="auto"/>
                <w:sz w:val="16"/>
                <w:szCs w:val="16"/>
                <w:vertAlign w:val="superscript"/>
              </w:rPr>
              <w:t>nd</w:t>
            </w:r>
            <w:r w:rsidRPr="00EB70B3">
              <w:rPr>
                <w:color w:val="auto"/>
                <w:sz w:val="16"/>
                <w:szCs w:val="16"/>
              </w:rPr>
              <w:t xml:space="preserve"> patient with bicytopenia was selected for the present study to attain the calculated sample size. Systematic random sampling was used to select these patients.</w:t>
            </w:r>
          </w:p>
          <w:p w:rsidR="00EB70B3" w:rsidRPr="00EB70B3" w:rsidRDefault="00EB70B3" w:rsidP="00EB70B3">
            <w:pPr>
              <w:spacing w:before="120" w:after="120" w:line="240" w:lineRule="auto"/>
              <w:ind w:right="94"/>
              <w:jc w:val="both"/>
              <w:rPr>
                <w:rFonts w:ascii="Times New Roman" w:hAnsi="Times New Roman"/>
                <w:b/>
                <w:sz w:val="16"/>
                <w:szCs w:val="16"/>
              </w:rPr>
            </w:pPr>
            <w:r w:rsidRPr="00EB70B3">
              <w:rPr>
                <w:rFonts w:ascii="Times New Roman" w:hAnsi="Times New Roman"/>
                <w:b/>
                <w:sz w:val="16"/>
                <w:szCs w:val="16"/>
              </w:rPr>
              <w:t>METHOD OF COLLECTION OF DATA:</w:t>
            </w:r>
          </w:p>
          <w:p w:rsidR="00EB70B3" w:rsidRPr="00EB70B3" w:rsidRDefault="00EB70B3" w:rsidP="00EB70B3">
            <w:pPr>
              <w:spacing w:before="120" w:after="120" w:line="240" w:lineRule="auto"/>
              <w:ind w:right="94"/>
              <w:jc w:val="both"/>
              <w:rPr>
                <w:rFonts w:ascii="Times New Roman" w:hAnsi="Times New Roman"/>
                <w:b/>
                <w:sz w:val="16"/>
                <w:szCs w:val="16"/>
              </w:rPr>
            </w:pPr>
            <w:r w:rsidRPr="00EB70B3">
              <w:rPr>
                <w:rFonts w:ascii="Times New Roman" w:hAnsi="Times New Roman"/>
                <w:b/>
                <w:sz w:val="16"/>
                <w:szCs w:val="16"/>
              </w:rPr>
              <w:t>Selection criteria:</w:t>
            </w:r>
          </w:p>
        </w:tc>
      </w:tr>
      <w:tr w:rsidR="00EB70B3" w:rsidRPr="00EB70B3" w:rsidTr="00E0324B">
        <w:trPr>
          <w:jc w:val="center"/>
        </w:trPr>
        <w:tc>
          <w:tcPr>
            <w:tcW w:w="8478" w:type="dxa"/>
          </w:tcPr>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sz w:val="16"/>
                <w:szCs w:val="16"/>
              </w:rPr>
              <w:lastRenderedPageBreak/>
              <w:t xml:space="preserve">The inclusion criteria was: </w:t>
            </w:r>
          </w:p>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sz w:val="16"/>
                <w:szCs w:val="16"/>
              </w:rPr>
              <w:t>All the inpatients with bicytopenia admitted in KLE’s Dr. PrabhakarKore Charitable Hospital &amp; MRC during a period from January 2014 to December 2014.</w:t>
            </w:r>
          </w:p>
          <w:p w:rsidR="00EB70B3" w:rsidRPr="00EB70B3" w:rsidRDefault="00EB70B3" w:rsidP="00EB70B3">
            <w:pPr>
              <w:spacing w:before="120" w:after="120" w:line="240" w:lineRule="auto"/>
              <w:ind w:right="94"/>
              <w:jc w:val="both"/>
              <w:rPr>
                <w:rFonts w:ascii="Times New Roman" w:hAnsi="Times New Roman"/>
                <w:sz w:val="16"/>
                <w:szCs w:val="16"/>
              </w:rPr>
            </w:pPr>
            <w:r w:rsidRPr="00EB70B3">
              <w:rPr>
                <w:rFonts w:ascii="Times New Roman" w:hAnsi="Times New Roman"/>
                <w:sz w:val="16"/>
                <w:szCs w:val="16"/>
              </w:rPr>
              <w:t>The exclusion criteria were:</w:t>
            </w:r>
          </w:p>
          <w:p w:rsidR="00EB70B3" w:rsidRPr="00EB70B3" w:rsidRDefault="00EB70B3" w:rsidP="00EB70B3">
            <w:pPr>
              <w:pStyle w:val="Default"/>
              <w:numPr>
                <w:ilvl w:val="0"/>
                <w:numId w:val="3"/>
              </w:numPr>
              <w:spacing w:before="120" w:after="120"/>
              <w:ind w:right="94"/>
              <w:jc w:val="both"/>
              <w:rPr>
                <w:color w:val="auto"/>
                <w:sz w:val="16"/>
                <w:szCs w:val="16"/>
              </w:rPr>
            </w:pPr>
            <w:r w:rsidRPr="00EB70B3">
              <w:rPr>
                <w:color w:val="auto"/>
                <w:sz w:val="16"/>
                <w:szCs w:val="16"/>
              </w:rPr>
              <w:t xml:space="preserve">All the patients with pancytopenia. </w:t>
            </w:r>
          </w:p>
          <w:p w:rsidR="00EB70B3" w:rsidRPr="00EB70B3" w:rsidRDefault="00EB70B3" w:rsidP="00EB70B3">
            <w:pPr>
              <w:pStyle w:val="Default"/>
              <w:numPr>
                <w:ilvl w:val="0"/>
                <w:numId w:val="3"/>
              </w:numPr>
              <w:spacing w:before="120" w:after="120"/>
              <w:ind w:right="94"/>
              <w:jc w:val="both"/>
              <w:rPr>
                <w:color w:val="auto"/>
                <w:sz w:val="16"/>
                <w:szCs w:val="16"/>
              </w:rPr>
            </w:pPr>
            <w:r w:rsidRPr="00EB70B3">
              <w:rPr>
                <w:color w:val="auto"/>
                <w:sz w:val="16"/>
                <w:szCs w:val="16"/>
              </w:rPr>
              <w:t>All the patients with isolated cytopenia.</w:t>
            </w: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Written Informed consent was taken from all the patients participating in the study (Annexure I). Ethical clearance was obtained from the Institutional Ethics Committee on human subjects research.</w:t>
            </w: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 xml:space="preserve"> Detailed history, clinical examination was recorded either by personal interview or from medical records using a prestructuredproforma.</w:t>
            </w: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Peripheral smears were studied for cell morphology, to confirm the platelet counts and to look for hemoparasites like malaria. The smears were stained using Wright’s stain. Bone marrow aspiration and trephine biopsy was carried out as per the clinical indication.</w:t>
            </w:r>
          </w:p>
          <w:p w:rsidR="00EB70B3" w:rsidRPr="00EB70B3" w:rsidRDefault="00EB70B3" w:rsidP="00EB70B3">
            <w:pPr>
              <w:pStyle w:val="Default"/>
              <w:spacing w:before="120" w:after="120"/>
              <w:ind w:right="94"/>
              <w:jc w:val="both"/>
              <w:rPr>
                <w:color w:val="auto"/>
                <w:sz w:val="16"/>
                <w:szCs w:val="16"/>
              </w:rPr>
            </w:pP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All the bone marrow aspirate smears were stained with Wright’s stain and trephine biopsies were stained with hematoxylin and eosin stain.</w:t>
            </w:r>
            <w:r w:rsidRPr="00EB70B3">
              <w:rPr>
                <w:color w:val="auto"/>
                <w:sz w:val="16"/>
                <w:szCs w:val="16"/>
                <w:vertAlign w:val="superscript"/>
              </w:rPr>
              <w:t xml:space="preserve">[7][8][9]  </w:t>
            </w:r>
            <w:r w:rsidRPr="00EB70B3">
              <w:rPr>
                <w:color w:val="auto"/>
                <w:sz w:val="16"/>
                <w:szCs w:val="16"/>
              </w:rPr>
              <w:t>Special stains like myeloperoxidase, periodic acid Schiff (PAS) and Perl's stain on aspirate smears when indicated. Other relevant investigations were recorded from the medical records.</w:t>
            </w: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Bicytopenia was defined as decrease in the counts, i.e. less than normal for that age and sex, of any two cell lineages with either of the following combination:-</w:t>
            </w:r>
          </w:p>
          <w:p w:rsidR="00EB70B3" w:rsidRPr="00EB70B3" w:rsidRDefault="00EB70B3" w:rsidP="00EB70B3">
            <w:pPr>
              <w:pStyle w:val="Default"/>
              <w:numPr>
                <w:ilvl w:val="0"/>
                <w:numId w:val="1"/>
              </w:numPr>
              <w:spacing w:before="120" w:after="120"/>
              <w:ind w:right="94"/>
              <w:jc w:val="both"/>
              <w:rPr>
                <w:color w:val="auto"/>
                <w:sz w:val="16"/>
                <w:szCs w:val="16"/>
              </w:rPr>
            </w:pPr>
            <w:r w:rsidRPr="00EB70B3">
              <w:rPr>
                <w:color w:val="auto"/>
                <w:sz w:val="16"/>
                <w:szCs w:val="16"/>
              </w:rPr>
              <w:t>Anemia with thrombocytopenia</w:t>
            </w:r>
          </w:p>
          <w:p w:rsidR="00EB70B3" w:rsidRPr="00EB70B3" w:rsidRDefault="00EB70B3" w:rsidP="00EB70B3">
            <w:pPr>
              <w:pStyle w:val="Default"/>
              <w:numPr>
                <w:ilvl w:val="0"/>
                <w:numId w:val="1"/>
              </w:numPr>
              <w:spacing w:before="120" w:after="120"/>
              <w:ind w:right="94"/>
              <w:jc w:val="both"/>
              <w:rPr>
                <w:color w:val="auto"/>
                <w:sz w:val="16"/>
                <w:szCs w:val="16"/>
              </w:rPr>
            </w:pPr>
            <w:r w:rsidRPr="00EB70B3">
              <w:rPr>
                <w:color w:val="auto"/>
                <w:sz w:val="16"/>
                <w:szCs w:val="16"/>
              </w:rPr>
              <w:t>Anemia with leucopenia</w:t>
            </w:r>
          </w:p>
          <w:p w:rsidR="00EB70B3" w:rsidRPr="00EB70B3" w:rsidRDefault="00EB70B3" w:rsidP="00EB70B3">
            <w:pPr>
              <w:pStyle w:val="Default"/>
              <w:numPr>
                <w:ilvl w:val="0"/>
                <w:numId w:val="1"/>
              </w:numPr>
              <w:spacing w:before="120" w:after="120"/>
              <w:ind w:right="94"/>
              <w:jc w:val="both"/>
              <w:rPr>
                <w:color w:val="auto"/>
                <w:sz w:val="16"/>
                <w:szCs w:val="16"/>
              </w:rPr>
            </w:pPr>
            <w:r w:rsidRPr="00EB70B3">
              <w:rPr>
                <w:color w:val="auto"/>
                <w:sz w:val="16"/>
                <w:szCs w:val="16"/>
              </w:rPr>
              <w:t>Leucopenia with thrombocytopenia</w:t>
            </w:r>
          </w:p>
          <w:p w:rsidR="00EB70B3" w:rsidRPr="00EB70B3" w:rsidRDefault="00EB70B3" w:rsidP="00EB70B3">
            <w:pPr>
              <w:pStyle w:val="Default"/>
              <w:spacing w:before="120" w:after="120"/>
              <w:ind w:right="94"/>
              <w:jc w:val="both"/>
              <w:rPr>
                <w:color w:val="auto"/>
                <w:sz w:val="16"/>
                <w:szCs w:val="16"/>
              </w:rPr>
            </w:pP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 xml:space="preserve">Blood counts and peripheral smears were reviewed to study the prevalence of bicytopenia and to find out the most common combination of cytopenia. To find out the age distribution, the study subjects were divided into 5 groups of age &lt;1 year (infants), 1-12 years (children), 13-18 years (teenagers), 19- 59 years (adults) and &gt;60 years (elderly). </w:t>
            </w: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 xml:space="preserve">The etiologies were divided into four broad categories: Malignant, Non- malignant, Infectious and Drug-induced. </w:t>
            </w:r>
          </w:p>
          <w:p w:rsidR="00EB70B3" w:rsidRPr="00EB70B3" w:rsidRDefault="00EB70B3" w:rsidP="00EB70B3">
            <w:pPr>
              <w:pStyle w:val="Default"/>
              <w:spacing w:before="120" w:after="120"/>
              <w:ind w:right="94"/>
              <w:jc w:val="both"/>
              <w:rPr>
                <w:color w:val="auto"/>
                <w:sz w:val="16"/>
                <w:szCs w:val="16"/>
              </w:rPr>
            </w:pPr>
            <w:r w:rsidRPr="00EB70B3">
              <w:rPr>
                <w:color w:val="auto"/>
                <w:sz w:val="16"/>
                <w:szCs w:val="16"/>
              </w:rPr>
              <w:t>Malignant category was defined as all hematological malignancies presenting with bicytopenia. Non- malignant included all the non-malignant conditions except those due to active infections or drug-induced etiologies. Infectious category comprised of all the cases with active infection. Drug-induced category included all the cases who presented with bicytopenia post therapy. Fever, bleeding, hepatomegaly, splenomegaly, lymphadenopathy and pallor were the five clinical findings  evaluated.</w:t>
            </w:r>
          </w:p>
          <w:p w:rsidR="00EB70B3" w:rsidRPr="00EB70B3" w:rsidRDefault="00EB70B3" w:rsidP="00EB70B3">
            <w:pPr>
              <w:spacing w:before="120" w:after="120" w:line="240" w:lineRule="auto"/>
              <w:ind w:right="94"/>
              <w:jc w:val="both"/>
              <w:rPr>
                <w:rFonts w:ascii="Times New Roman" w:hAnsi="Times New Roman"/>
                <w:b/>
                <w:bCs/>
                <w:sz w:val="16"/>
                <w:szCs w:val="16"/>
              </w:rPr>
            </w:pPr>
            <w:r w:rsidRPr="00EB70B3">
              <w:rPr>
                <w:rFonts w:ascii="Times New Roman" w:hAnsi="Times New Roman"/>
                <w:b/>
                <w:sz w:val="16"/>
                <w:szCs w:val="16"/>
              </w:rPr>
              <w:t>STATISTICAL ANALYSIS:</w:t>
            </w:r>
          </w:p>
          <w:p w:rsidR="00EB70B3" w:rsidRPr="00EB70B3" w:rsidRDefault="00EB70B3" w:rsidP="00EB70B3">
            <w:pPr>
              <w:pStyle w:val="ListParagraph"/>
              <w:numPr>
                <w:ilvl w:val="0"/>
                <w:numId w:val="4"/>
              </w:numPr>
              <w:spacing w:before="120" w:after="120" w:line="240" w:lineRule="auto"/>
              <w:ind w:right="94"/>
              <w:jc w:val="both"/>
              <w:rPr>
                <w:rFonts w:ascii="Times New Roman" w:hAnsi="Times New Roman"/>
                <w:bCs/>
                <w:sz w:val="16"/>
                <w:szCs w:val="16"/>
              </w:rPr>
            </w:pPr>
            <w:r w:rsidRPr="00EB70B3">
              <w:rPr>
                <w:rFonts w:ascii="Times New Roman" w:hAnsi="Times New Roman"/>
                <w:bCs/>
                <w:sz w:val="16"/>
                <w:szCs w:val="16"/>
              </w:rPr>
              <w:t>The clinico-hematological profiles of bicytopenic patients were described using Descriptive Statistics  [Mean, Standard Deviation &amp; Percentage].</w:t>
            </w:r>
          </w:p>
          <w:p w:rsidR="00EB70B3" w:rsidRPr="00EB70B3" w:rsidRDefault="00EB70B3" w:rsidP="00EB70B3">
            <w:pPr>
              <w:pStyle w:val="ListParagraph"/>
              <w:numPr>
                <w:ilvl w:val="0"/>
                <w:numId w:val="4"/>
              </w:numPr>
              <w:spacing w:before="120" w:after="120" w:line="240" w:lineRule="auto"/>
              <w:ind w:right="94"/>
              <w:jc w:val="both"/>
              <w:rPr>
                <w:rFonts w:ascii="Times New Roman" w:hAnsi="Times New Roman"/>
                <w:bCs/>
                <w:sz w:val="16"/>
                <w:szCs w:val="16"/>
              </w:rPr>
            </w:pPr>
            <w:r w:rsidRPr="00EB70B3">
              <w:rPr>
                <w:rFonts w:ascii="Times New Roman" w:hAnsi="Times New Roman"/>
                <w:bCs/>
                <w:sz w:val="16"/>
                <w:szCs w:val="16"/>
              </w:rPr>
              <w:t>Chi square test was used to compare the categorical variables.</w:t>
            </w:r>
          </w:p>
          <w:p w:rsidR="00EB70B3" w:rsidRPr="00EB70B3" w:rsidRDefault="00EB70B3" w:rsidP="00EB70B3">
            <w:pPr>
              <w:pStyle w:val="ListParagraph"/>
              <w:numPr>
                <w:ilvl w:val="0"/>
                <w:numId w:val="4"/>
              </w:numPr>
              <w:spacing w:before="120" w:after="120" w:line="240" w:lineRule="auto"/>
              <w:ind w:right="94"/>
              <w:jc w:val="both"/>
              <w:rPr>
                <w:rFonts w:ascii="Times New Roman" w:hAnsi="Times New Roman"/>
                <w:bCs/>
                <w:sz w:val="16"/>
                <w:szCs w:val="16"/>
              </w:rPr>
            </w:pPr>
            <w:r w:rsidRPr="00EB70B3">
              <w:rPr>
                <w:rFonts w:ascii="Times New Roman" w:hAnsi="Times New Roman"/>
                <w:bCs/>
                <w:sz w:val="16"/>
                <w:szCs w:val="16"/>
              </w:rPr>
              <w:t>Probability (P) values &lt;0.05 was considered significant to know the association between various variables and bicytopenia.</w:t>
            </w:r>
          </w:p>
        </w:tc>
      </w:tr>
      <w:tr w:rsidR="00EB70B3" w:rsidRPr="00EB70B3" w:rsidTr="00E0324B">
        <w:trPr>
          <w:jc w:val="center"/>
        </w:trPr>
        <w:tc>
          <w:tcPr>
            <w:tcW w:w="8478" w:type="dxa"/>
          </w:tcPr>
          <w:p w:rsidR="00EB70B3" w:rsidRPr="00EB70B3" w:rsidRDefault="00EB70B3" w:rsidP="00EB70B3">
            <w:pPr>
              <w:pStyle w:val="Default"/>
              <w:spacing w:before="120" w:after="120"/>
              <w:ind w:right="94"/>
              <w:jc w:val="both"/>
              <w:rPr>
                <w:color w:val="auto"/>
                <w:sz w:val="16"/>
                <w:szCs w:val="16"/>
              </w:rPr>
            </w:pPr>
          </w:p>
        </w:tc>
      </w:tr>
    </w:tbl>
    <w:p w:rsidR="00EB70B3" w:rsidRPr="00EB70B3" w:rsidRDefault="00EB70B3" w:rsidP="00EB70B3">
      <w:pPr>
        <w:spacing w:before="120" w:after="120" w:line="240" w:lineRule="auto"/>
        <w:jc w:val="center"/>
        <w:rPr>
          <w:rFonts w:ascii="Times New Roman" w:hAnsi="Times New Roman"/>
          <w:b/>
          <w:sz w:val="16"/>
          <w:szCs w:val="16"/>
        </w:rPr>
        <w:sectPr w:rsidR="00EB70B3" w:rsidRPr="00EB70B3" w:rsidSect="003E7638">
          <w:footerReference w:type="default" r:id="rId7"/>
          <w:pgSz w:w="11907" w:h="16839" w:code="9"/>
          <w:pgMar w:top="1440" w:right="1440" w:bottom="1440" w:left="2160" w:header="1008" w:footer="720" w:gutter="0"/>
          <w:cols w:space="720"/>
          <w:docGrid w:linePitch="360"/>
        </w:sectPr>
      </w:pPr>
    </w:p>
    <w:p w:rsidR="00EB70B3" w:rsidRPr="00EB70B3" w:rsidRDefault="00EB70B3" w:rsidP="00EB70B3">
      <w:pPr>
        <w:spacing w:before="120" w:after="120" w:line="240" w:lineRule="auto"/>
        <w:jc w:val="center"/>
        <w:rPr>
          <w:rFonts w:ascii="Times New Roman" w:hAnsi="Times New Roman"/>
          <w:sz w:val="16"/>
          <w:szCs w:val="16"/>
        </w:rPr>
      </w:pPr>
      <w:r w:rsidRPr="00EB70B3">
        <w:rPr>
          <w:rFonts w:ascii="Times New Roman" w:hAnsi="Times New Roman"/>
          <w:b/>
          <w:sz w:val="16"/>
          <w:szCs w:val="16"/>
        </w:rPr>
        <w:lastRenderedPageBreak/>
        <w:t>RESULTS</w:t>
      </w:r>
    </w:p>
    <w:p w:rsidR="00EB70B3" w:rsidRPr="00EB70B3" w:rsidRDefault="00EB70B3" w:rsidP="00EB70B3">
      <w:pPr>
        <w:pStyle w:val="BodyA"/>
        <w:spacing w:before="120" w:after="120"/>
        <w:jc w:val="both"/>
        <w:rPr>
          <w:sz w:val="16"/>
          <w:szCs w:val="16"/>
        </w:rPr>
      </w:pPr>
      <w:r w:rsidRPr="00EB70B3">
        <w:rPr>
          <w:sz w:val="16"/>
          <w:szCs w:val="16"/>
        </w:rPr>
        <w:t>This cross-sectional study was conducted in the Department of Pathology, KLE’S Dr. PrabhakarKore Charitable Hospital and Medical Research Centre, attached to Jawaharlal Nehru Medical College, Belgaum.  All the inpatients with bicytopenia in the period of one year (Jan 2014 to Dec 2014) are included in the study.</w:t>
      </w:r>
    </w:p>
    <w:p w:rsidR="00EB70B3" w:rsidRPr="00EB70B3" w:rsidRDefault="00EB70B3" w:rsidP="00EB70B3">
      <w:pPr>
        <w:pStyle w:val="BodyA"/>
        <w:spacing w:before="120" w:after="120"/>
        <w:jc w:val="both"/>
        <w:rPr>
          <w:sz w:val="16"/>
          <w:szCs w:val="16"/>
        </w:rPr>
      </w:pPr>
      <w:r w:rsidRPr="00EB70B3">
        <w:rPr>
          <w:sz w:val="16"/>
          <w:szCs w:val="16"/>
        </w:rPr>
        <w:t>A sample size of 400 was calculated and every second case of bicytopenia was included through systematic random sampling.</w:t>
      </w:r>
    </w:p>
    <w:p w:rsidR="00EB70B3" w:rsidRPr="00EB70B3" w:rsidRDefault="00EB70B3" w:rsidP="00EB70B3">
      <w:pPr>
        <w:pStyle w:val="BodyA"/>
        <w:spacing w:before="120" w:after="120"/>
        <w:jc w:val="both"/>
        <w:rPr>
          <w:sz w:val="16"/>
          <w:szCs w:val="16"/>
        </w:rPr>
      </w:pPr>
      <w:r w:rsidRPr="00EB70B3">
        <w:rPr>
          <w:sz w:val="16"/>
          <w:szCs w:val="16"/>
        </w:rPr>
        <w:t xml:space="preserve">The data obtained was tabulated analysis was done. </w:t>
      </w:r>
    </w:p>
    <w:p w:rsidR="00EB70B3" w:rsidRPr="00EB70B3" w:rsidRDefault="00EB70B3" w:rsidP="00EB70B3">
      <w:pPr>
        <w:spacing w:before="120" w:after="120" w:line="240" w:lineRule="auto"/>
        <w:jc w:val="center"/>
        <w:rPr>
          <w:rFonts w:ascii="Times New Roman" w:hAnsi="Times New Roman"/>
          <w:sz w:val="16"/>
          <w:szCs w:val="16"/>
        </w:rPr>
      </w:pPr>
      <w:r w:rsidRPr="00EB70B3">
        <w:rPr>
          <w:rFonts w:ascii="Times New Roman" w:hAnsi="Times New Roman"/>
          <w:sz w:val="16"/>
          <w:szCs w:val="16"/>
        </w:rPr>
        <w:t>The total data collected was distributed among 5 age groups. They were &lt;1 year of age (infants) 8%, 1-12 years (children) 17.25%, 13- 18 years (teenagers) 8%, 19-59 years (adults) 55.5% and &gt;60 years of age (elderly) 11.25%. The mean age was 30.7 years with the range being 1 day to 90 years.  Standard deviation of age was 21.4 years.</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Sex distribution revealed that males accounted for 61.25% of the cases and females accounted for 38.75 % of the cases. The male to female ratio was 1.6:1.</w:t>
      </w:r>
    </w:p>
    <w:p w:rsidR="00EB70B3" w:rsidRPr="00EB70B3" w:rsidRDefault="00EB70B3" w:rsidP="00EB70B3">
      <w:pPr>
        <w:spacing w:before="120" w:after="120" w:line="240" w:lineRule="auto"/>
        <w:rPr>
          <w:rFonts w:ascii="Times New Roman" w:hAnsi="Times New Roman"/>
          <w:sz w:val="16"/>
          <w:szCs w:val="16"/>
        </w:rPr>
      </w:pPr>
      <w:r w:rsidRPr="00EB70B3">
        <w:rPr>
          <w:rFonts w:ascii="Times New Roman" w:hAnsi="Times New Roman"/>
          <w:sz w:val="16"/>
          <w:szCs w:val="16"/>
        </w:rPr>
        <w:t>Throughout all ages, it was observed that higher number of males presented with bicytopenia than females.</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Anemia with thrombocytopenia (244 cases, 61%) was found to be the most common bicytopenia (table 1) followed by anemia with leucopenia (104 cases, 26%). Leucopenia with thrombocytopenia (52 cases, 13%) was the least common bicytopenia.</w:t>
      </w:r>
    </w:p>
    <w:p w:rsidR="00EB70B3" w:rsidRPr="00EB70B3" w:rsidRDefault="00EB70B3" w:rsidP="00EB70B3">
      <w:pPr>
        <w:pStyle w:val="Default"/>
        <w:pBdr>
          <w:top w:val="nil"/>
          <w:left w:val="nil"/>
          <w:bottom w:val="nil"/>
          <w:right w:val="nil"/>
          <w:between w:val="nil"/>
          <w:bar w:val="nil"/>
        </w:pBdr>
        <w:autoSpaceDE/>
        <w:autoSpaceDN/>
        <w:adjustRightInd/>
        <w:spacing w:before="120" w:after="120"/>
        <w:jc w:val="both"/>
        <w:rPr>
          <w:sz w:val="16"/>
          <w:szCs w:val="16"/>
        </w:rPr>
      </w:pPr>
      <w:r w:rsidRPr="00EB70B3">
        <w:rPr>
          <w:sz w:val="16"/>
          <w:szCs w:val="16"/>
        </w:rPr>
        <w:t xml:space="preserve">The most common etiology of bicytopenia was found to be non- malignant (224 cases, 56%) followed by infectious (127 cases, 31.7%), malignant cases were 33 (8.3%) and drug induced were 16 cases (4%). Out of the Non-malignant cases, the most common etiology was found to be megaloblastic anemia (7.75%), closely followed by alcoholic liver disease(7%), Immune thrombocytopenia purpura (5.5%)  and preterm low birth weight  (4.75%). </w:t>
      </w:r>
    </w:p>
    <w:p w:rsidR="00EB70B3" w:rsidRPr="00EB70B3" w:rsidRDefault="00EB70B3" w:rsidP="00EB70B3">
      <w:pPr>
        <w:pStyle w:val="Default"/>
        <w:pBdr>
          <w:top w:val="nil"/>
          <w:left w:val="nil"/>
          <w:bottom w:val="nil"/>
          <w:right w:val="nil"/>
          <w:between w:val="nil"/>
          <w:bar w:val="nil"/>
        </w:pBdr>
        <w:autoSpaceDE/>
        <w:autoSpaceDN/>
        <w:adjustRightInd/>
        <w:spacing w:before="120" w:after="120"/>
        <w:jc w:val="both"/>
        <w:rPr>
          <w:sz w:val="16"/>
          <w:szCs w:val="16"/>
        </w:rPr>
      </w:pPr>
      <w:r w:rsidRPr="00EB70B3">
        <w:rPr>
          <w:sz w:val="16"/>
          <w:szCs w:val="16"/>
        </w:rPr>
        <w:t xml:space="preserve">Of the Malignant cases, the most common malignancy was found to be Acute myeloid leukemia (4.75%) followed by Acute lymphoid leukemia (2.5%).Other malignancies like multiple myeloma (0.5%), chronic lymphoid leukemia (0.75%), Hodgkin’s lymphoma (0.25%), Non- Hodgkin’s lymphoma (0.75%) also presented with bicytopenia. </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We observed that the most common infectious disease causing bicytopenia was dengue fever (49 cases) followed by malaria and tuberculosis (12 cases each). Eleven HIV positive cases were observed. Other infectious diseases in which patients presented with bicytopenia were enteric fever, lower respiratory tract infection (LRTI), pneumonia, bacterial pleural effusion, urinary tract infection (UTI), cystitis, pharyngitis, gastroenteritis, pancreatitis, measles, hepatitis, leprosy, mastoiditis, Rheumatic heart disease, meningitis, bacterial sepsis and pyrexia of unknown origin (PUO).</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Drug induced bicytopenia was observed most commonly in drugs for epilepsy, Anti-retroviral treatment (ATT) and after DOTS therapy in tuberculosis. </w:t>
      </w:r>
    </w:p>
    <w:p w:rsidR="00EB70B3" w:rsidRPr="00EB70B3" w:rsidRDefault="00EB70B3" w:rsidP="00EB70B3">
      <w:pPr>
        <w:spacing w:after="120" w:line="240" w:lineRule="auto"/>
        <w:ind w:right="27"/>
        <w:jc w:val="center"/>
        <w:rPr>
          <w:rFonts w:ascii="Times New Roman" w:hAnsi="Times New Roman"/>
          <w:b/>
          <w:sz w:val="16"/>
          <w:szCs w:val="16"/>
        </w:rPr>
      </w:pPr>
      <w:r w:rsidRPr="00EB70B3">
        <w:rPr>
          <w:rFonts w:ascii="Times New Roman" w:hAnsi="Times New Roman"/>
          <w:sz w:val="16"/>
          <w:szCs w:val="16"/>
        </w:rPr>
        <w:t>Anemia with thrombocytopenia (62.1%) was the most significant bicytopenia observed in non-malignant etiology. Leucopenia with thrombocytopenia and anemia with leucopenia (52%) were equally significant in infectious etiology. Anemia with thrombocytopenia (56.2%) was the predominant bicytopenia in drug induced etiology closely followed by anemia with leucopenia (37.5%).</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The most common etiology of bicytopenia in neonates and infants was non-malignant (85%). No malignancy or drug-induced bicytopenia was seen in this age group. In the age group 1-12 years the most common etiology observed was infectious (47.8%), closely followed by non-malignant (42%). In the age group 13-18 years, the most common etiology was non-malignant (40.6%) followed by infectious (34.4%). In the age group 19- 59 years, the most common etiology of bicytopenia was non- malignant (58.6%), followed by infectious (30.6%), malignant (14%) and drug induced (4.5%). In the elderly age group, the most common etiology of bicytopenia was non-malignant (53.3%), followed by infectious (22.2%), malignant (20%) and drug induced (4.4%). A statistically significant correlation was found between the age groups and the etiology (P value &lt; 0.001).</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Neonates who presented with bicytopenia were mostly pre-term low birth weight babies (13 cases). Other causes of bicytopenia in neonates were, LRTI, convulsions, hyperbilirubinemia, persistent pulmonary hypertension with intraventricular hemorrhage, ABO incompatibility, hydronephrosis and birth asphyxia. No malignant or drug induced bicytopenia were seen in this age group.</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Infants most commonly presented with megaloblastic anemia, wheeze associated lower respiratory tract infection (WALRI), pharyngitis, malaria, inborn error of metabolism, thalassemia, gastroduodenal perforation and failure to thrive. </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The most common non-malignant conditions in the age group of 1-12 years were ITP  (Figure 6,7, total  9 cases) and thalassemia (5 cases). Other diseases observed were cerebral palsy, Crouzon’s syndrome, febrile convulsions, Gaucher disease, rhabdomyosarcoma and megaloblastic anemia. ALL was the most common malignancy reported in this age group (5 cases).The most common infectious disease was dengue (12 cases); other infectious diseases observed in this age group were  malaria (3 cases), LRTI, enteric fever, measles hepatitis, pneumonia, tuberculosis, meningitis and rheumatic heart disease (RHD) with active carditis. </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A 3.5-year-old boy presented to the hospital with massive hepatosplenomegaly and failure to thrive (Figure 2-A &amp; B). Peripheral smear revealed anemia with thrombocytopenia. Bone marrow aspiration revealed Gaucher cells with wrinkled paper cytoplasm and eccentric nuclei (Figure 4). β-glucosidase levels confirmed the diagnosis to be Gaucher disease.</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Another case was of a 21-year-old female to presented to the hospital with bleeding gums and fever (Figure 4). Bicytopenia was observed on haemogram. On peripheral smear examination increased total count with predominance of monocytes and monoblasts was observed (Figure 5).</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The most common etiology in the age group 12- 18 years was non-malignant (14 cases), with maximum number of megaloblastic anemia cases. Nevertheless, dengue was the most common disease seen in this age group with 10 cases. The most common malignancy seen in this age group was AML followed by ALL. There were four drug-induced cases due to chemotherapy for AML and NHL, anti epileptic medication and anti tubercular medication. </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lastRenderedPageBreak/>
        <w:t>In the age group of 19-59 years, most common etiology was non-malignant which included alcoholic liver disease (24 cases), megaloblastic anemia (21 cases), ITP (11 cases), iron deficiency anemia (13 cases), pregnancy (10 cases) and ischemic heart disease (IHD) (4 cases). The second most common etiology in this age group was infectious; dengue (21 cases) being  the commonest followed by malaria (9 cases), tuberculosis (2 cases), RVD (9 cases), UTI, pneumonia and enteric fever. The most common  malignancy in this age group was AML (10 cases), followed by ALL (3 cases), CLL (1 case) and CML (1 case) (Figure 9.). The drug-induced cases were due to chemotherapy for leukemias, antipsychotic drugs, benzodiazepine abuse, anti depressants, anti epileptic drugs, Anti tubercular treatment and drugs against HIV infection. (Annexure IV)</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The most common etiology in the age group &gt;60 years was non-malignant. Diseases like COPD, IHD, IDA and megaloblastic anemia. The most common malignancy observed in this age group was AML (4 cases), multiple myeloma (2 cases) (Figure 9), Hodgkin’s lymphoma (1 case), NHL (2 cases) and CLL (1 case). The infectious diseases seen in this age group were dengue, bacterial pleural effusion, RVD and tuberculosis. Drug-induced causes are mainly due to chemotherapy, ATT, anti RVD drugs and anti epileptic drugs. </w:t>
      </w:r>
    </w:p>
    <w:p w:rsidR="00EB70B3" w:rsidRPr="00EB70B3" w:rsidRDefault="00EB70B3" w:rsidP="00EB70B3">
      <w:pPr>
        <w:spacing w:before="120" w:after="120" w:line="240" w:lineRule="auto"/>
        <w:jc w:val="both"/>
        <w:rPr>
          <w:rFonts w:ascii="Times New Roman" w:hAnsi="Times New Roman"/>
          <w:b/>
          <w:sz w:val="16"/>
          <w:szCs w:val="16"/>
        </w:rPr>
      </w:pPr>
      <w:r w:rsidRPr="00EB70B3">
        <w:rPr>
          <w:rFonts w:ascii="Times New Roman" w:hAnsi="Times New Roman"/>
          <w:sz w:val="16"/>
          <w:szCs w:val="16"/>
        </w:rPr>
        <w:t>The most common symptom at the time of presentation was fever (53.5%), followed by pallor (42.5%), bleeding/petechiae/purpura/ecchymosis (21.25%), splenomegaly (12.75%), hepatomegaly (12.25%) and lymphadenopathy (7.75%).</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Lymphadenopathy (41.9%), splenomegaly (21.6%) and hepatomegaly (20.4%) were the most significant clinical findings in hematological malignancies. Pallor (88.9%), bleeding (65.9%) , hepatomegaly (61.2%) and splenomegaly (49.1%) were most significant in non- malignant conditions. Fever (54.2%) and lymphadenopathy (34.1%) were the most significant clinical findings  observed in infectious category. The most significant signs in drug-induced etiology were lymphadenopathy (6.4%), hepatomegaly (6.1%) and splenomegaly (6.1%).</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Chi squaretest was applied to study the level of significance. There was a statistically significant relationship between the cause of cytopenia and the clinical findings (P value &lt; 0.001).</w:t>
      </w:r>
    </w:p>
    <w:p w:rsidR="00EB70B3" w:rsidRPr="00EB70B3" w:rsidRDefault="00EB70B3" w:rsidP="00EB70B3">
      <w:pPr>
        <w:spacing w:before="120" w:after="120" w:line="240" w:lineRule="auto"/>
        <w:rPr>
          <w:rFonts w:ascii="Times New Roman" w:hAnsi="Times New Roman"/>
          <w:b/>
          <w:sz w:val="16"/>
          <w:szCs w:val="16"/>
        </w:rPr>
      </w:pPr>
      <w:r w:rsidRPr="00EB70B3">
        <w:rPr>
          <w:rFonts w:ascii="Times New Roman" w:hAnsi="Times New Roman"/>
          <w:b/>
          <w:sz w:val="16"/>
          <w:szCs w:val="16"/>
        </w:rPr>
        <w:t>DISCUSSION</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The intriguing subject of cytopenia and the daily inflow of bicytopenic patient samples from different departments of the hospital led us to investigate the varied etiologies of bicytopenia in different age groups. </w:t>
      </w:r>
    </w:p>
    <w:p w:rsidR="00EB70B3" w:rsidRPr="00EB70B3" w:rsidRDefault="00EB70B3" w:rsidP="00EB70B3">
      <w:pPr>
        <w:tabs>
          <w:tab w:val="left" w:pos="0"/>
        </w:tabs>
        <w:spacing w:before="120" w:after="120" w:line="240" w:lineRule="auto"/>
        <w:jc w:val="both"/>
        <w:rPr>
          <w:rFonts w:ascii="Times New Roman" w:hAnsi="Times New Roman"/>
          <w:sz w:val="16"/>
          <w:szCs w:val="16"/>
        </w:rPr>
      </w:pPr>
      <w:r w:rsidRPr="00EB70B3">
        <w:rPr>
          <w:rFonts w:ascii="Times New Roman" w:hAnsi="Times New Roman"/>
          <w:sz w:val="16"/>
          <w:szCs w:val="16"/>
        </w:rPr>
        <w:t>Bicytopenia, as a feature has been observed in many studies and drug trials but very few individual studies exist in literature that have evaluated this topic alone. In this study, the clinico- hematological parameters of 400 patients were evaluated. These patients were selected through systematic random sampling. Their clinical features, peripheral smears, hematological parameters and bone marrow studies (wherever indicated) were taken into consideration to establish the final etiology.</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 According to a study done in Chandigarh the prevalence of bicytopenia in children is around 40%. Bone marrow studies done on children with cytopenias in Pakistan revealed the prevalence of bicytopenia to be 45%.</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&lt;EndNote&gt;&lt;Cite&gt;&lt;Author&gt;Ayub&lt;/Author&gt;&lt;Year&gt;2009&lt;/Year&gt;&lt;RecNum&gt;8&lt;/RecNum&gt;&lt;DisplayText&gt;(3, 4)&lt;/DisplayText&gt;&lt;record&gt;&lt;rec-number&gt;8&lt;/rec-number&gt;&lt;foreign-keys&gt;&lt;key app="EN" db-id="9ppaf9et390faresp52p22aveawx9ew2swv5"&gt;8&lt;/key&gt;&lt;/foreign-keys&gt;&lt;ref-type name="Journal Article"&gt;17&lt;/ref-type&gt;&lt;contributors&gt;&lt;authors&gt;&lt;author&gt;T Ayub &lt;/author&gt;&lt;author&gt;FR Khan &lt;/author&gt;&lt;/authors&gt;&lt;/contributors&gt;&lt;titles&gt;&lt;title&gt;Prevalence of megaloblastic anaemia in a paediatric unit&lt;/title&gt;&lt;secondary-title&gt;Gomal J Med Sci&lt;/secondary-title&gt;&lt;/titles&gt;&lt;pages&gt;62-4&lt;/pages&gt;&lt;volume&gt;7&lt;/volume&gt;&lt;dates&gt;&lt;year&gt;2009&lt;/year&gt;&lt;/dates&gt;&lt;urls&gt;&lt;/urls&gt;&lt;/record&gt;&lt;/Cite&gt;&lt;Cite&gt;&lt;Author&gt;Naseem&lt;/Author&gt;&lt;Year&gt;2011&lt;/Year&gt;&lt;RecNum&gt;6&lt;/RecNum&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(3, 4)</w:t>
      </w:r>
      <w:r w:rsidR="00DA3B95" w:rsidRPr="00EB70B3">
        <w:rPr>
          <w:rFonts w:ascii="Times New Roman" w:hAnsi="Times New Roman"/>
          <w:sz w:val="16"/>
          <w:szCs w:val="16"/>
          <w:vertAlign w:val="superscript"/>
        </w:rPr>
        <w:fldChar w:fldCharType="end"/>
      </w:r>
      <w:r w:rsidRPr="00EB70B3">
        <w:rPr>
          <w:rFonts w:ascii="Times New Roman" w:hAnsi="Times New Roman"/>
          <w:sz w:val="16"/>
          <w:szCs w:val="16"/>
        </w:rPr>
        <w:t xml:space="preserve"> To the best of our knowledge, the prevalence of bicytopenia in adults is not known.</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Thus, the aim was to find the various causes of bicytopenia and to study theclinico-hematological profile of patients in different age groups.</w:t>
      </w:r>
    </w:p>
    <w:p w:rsidR="00EB70B3" w:rsidRPr="00EB70B3" w:rsidRDefault="00EB70B3" w:rsidP="00EB70B3">
      <w:pPr>
        <w:spacing w:before="120" w:after="120" w:line="240" w:lineRule="auto"/>
        <w:ind w:left="90" w:hanging="90"/>
        <w:jc w:val="both"/>
        <w:rPr>
          <w:rFonts w:ascii="Times New Roman" w:hAnsi="Times New Roman"/>
          <w:sz w:val="16"/>
          <w:szCs w:val="16"/>
        </w:rPr>
      </w:pPr>
      <w:r w:rsidRPr="00EB70B3">
        <w:rPr>
          <w:rFonts w:ascii="Times New Roman" w:hAnsi="Times New Roman"/>
          <w:sz w:val="16"/>
          <w:szCs w:val="16"/>
        </w:rPr>
        <w:t xml:space="preserve">According to a study done by </w:t>
      </w:r>
      <w:hyperlink r:id="rId8" w:tgtFrame="_blank" w:history="1">
        <w:r w:rsidRPr="00EB70B3">
          <w:rPr>
            <w:rFonts w:ascii="Times New Roman" w:eastAsia="Times New Roman" w:hAnsi="Times New Roman"/>
            <w:sz w:val="16"/>
            <w:szCs w:val="16"/>
          </w:rPr>
          <w:t>Naseem</w:t>
        </w:r>
      </w:hyperlink>
      <w:r w:rsidRPr="00EB70B3">
        <w:rPr>
          <w:rFonts w:ascii="Times New Roman" w:hAnsi="Times New Roman"/>
          <w:sz w:val="16"/>
          <w:szCs w:val="16"/>
        </w:rPr>
        <w:t xml:space="preserve"> Set al, the spectrum of etiology of  bicytopenia/pancytopenia can be vast, ranging from mild viral marrow suppression to leukemia.</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(3)</w:t>
      </w:r>
      <w:r w:rsidR="00DA3B95" w:rsidRPr="00EB70B3">
        <w:rPr>
          <w:rFonts w:ascii="Times New Roman" w:hAnsi="Times New Roman"/>
          <w:sz w:val="16"/>
          <w:szCs w:val="16"/>
          <w:vertAlign w:val="superscript"/>
        </w:rPr>
        <w:fldChar w:fldCharType="end"/>
      </w:r>
      <w:r w:rsidRPr="00EB70B3">
        <w:rPr>
          <w:rFonts w:ascii="Times New Roman" w:hAnsi="Times New Roman"/>
          <w:sz w:val="16"/>
          <w:szCs w:val="16"/>
        </w:rPr>
        <w:t xml:space="preserve"> This variation in the diseases causing cytopenias has been attributed to the difference in age groups being studied, the diagnostic criteria being used and their stringency, the variation in geographic regions, period of observation, genetic differences, exposure to drugs and infectious agents and the nutritional status of that community.</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&lt;EndNote&gt;&lt;Cite&gt;&lt;Author&gt;study&lt;/Author&gt;&lt;Year&gt;1987&lt;/Year&gt;&lt;RecNum&gt;43&lt;/RecNum&gt;&lt;DisplayText&gt;(5)&lt;/DisplayText&gt;&lt;record&gt;&lt;rec-number&gt;43&lt;/rec-number&gt;&lt;foreign-keys&gt;&lt;key app="EN" db-id="9ppaf9et390faresp52p22aveawx9ew2swv5"&gt;43&lt;/key&gt;&lt;/foreign-keys&gt;&lt;ref-type name="Journal Article"&gt;17&lt;/ref-type&gt;&lt;contributors&gt;&lt;authors&gt;&lt;author&gt;International agranulocytosis and aplastic anemia study&lt;/author&gt;&lt;/authors&gt;&lt;/contributors&gt;&lt;titles&gt;&lt;title&gt;Incidence of aplastic anemia: The relevance of diagnostic criteria&lt;/title&gt;&lt;secondary-title&gt;Blood&lt;/secondary-title&gt;&lt;/titles&gt;&lt;periodical&gt;&lt;full-title&gt;Blood&lt;/full-title&gt;&lt;/periodical&gt;&lt;volume&gt;70&lt;/volume&gt;&lt;number&gt;1718-21&lt;/number&gt;&lt;dates&gt;&lt;year&gt;1987&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(5)</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Keeping these variations in mind, the data of bicytopenic patients was collected for the first time, in this region of the country. Out of the 400 patients, females accounted for 38.8 % of the cases and males for 61.2% of the cases. The male to female ratio was 1.6:1. According to a study done on bicytopenic children, the maleto female ratio was found to be 2.8:1.</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(3)</w:t>
      </w:r>
      <w:r w:rsidR="00DA3B95" w:rsidRPr="00EB70B3">
        <w:rPr>
          <w:rFonts w:ascii="Times New Roman" w:hAnsi="Times New Roman"/>
          <w:sz w:val="16"/>
          <w:szCs w:val="16"/>
          <w:vertAlign w:val="superscript"/>
        </w:rPr>
        <w:fldChar w:fldCharType="end"/>
      </w:r>
      <w:r w:rsidRPr="00EB70B3">
        <w:rPr>
          <w:rFonts w:ascii="Times New Roman" w:hAnsi="Times New Roman"/>
          <w:sz w:val="16"/>
          <w:szCs w:val="16"/>
        </w:rPr>
        <w:t xml:space="preserve"> Another study on children reported the male to female ratio to be 1.1:1.</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&lt;EndNote&gt;&lt;Cite&gt;&lt;Author&gt;Ayub&lt;/Author&gt;&lt;Year&gt;2009&lt;/Year&gt;&lt;RecNum&gt;8&lt;/RecNum&gt;&lt;DisplayText&gt;(4)&lt;/DisplayText&gt;&lt;record&gt;&lt;rec-number&gt;8&lt;/rec-number&gt;&lt;foreign-keys&gt;&lt;key app="EN" db-id="9ppaf9et390faresp52p22aveawx9ew2swv5"&gt;8&lt;/key&gt;&lt;/foreign-keys&gt;&lt;ref-type name="Journal Article"&gt;17&lt;/ref-type&gt;&lt;contributors&gt;&lt;authors&gt;&lt;author&gt;T Ayub &lt;/author&gt;&lt;author&gt;FR Khan &lt;/author&gt;&lt;/authors&gt;&lt;/contributors&gt;&lt;titles&gt;&lt;title&gt;Prevalence of megaloblastic anaemia in a paediatric unit&lt;/title&gt;&lt;secondary-title&gt;Gomal J Med Sci&lt;/secondary-title&gt;&lt;/titles&gt;&lt;pages&gt;62-4&lt;/pages&gt;&lt;volume&gt;7&lt;/volume&gt;&lt;dates&gt;&lt;year&gt;2009&lt;/year&gt;&lt;/dates&gt;&lt;urls&gt;&lt;/urls&gt;&lt;/record&gt;&lt;/Cite&gt;&lt;/EndNote&gt;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(4)</w:t>
      </w:r>
      <w:r w:rsidR="00DA3B95" w:rsidRPr="00EB70B3">
        <w:rPr>
          <w:rFonts w:ascii="Times New Roman" w:hAnsi="Times New Roman"/>
          <w:sz w:val="16"/>
          <w:szCs w:val="16"/>
          <w:vertAlign w:val="superscript"/>
        </w:rPr>
        <w:fldChar w:fldCharType="end"/>
      </w:r>
      <w:r w:rsidRPr="00EB70B3">
        <w:rPr>
          <w:rFonts w:ascii="Times New Roman" w:hAnsi="Times New Roman"/>
          <w:sz w:val="16"/>
          <w:szCs w:val="16"/>
        </w:rPr>
        <w:t xml:space="preserve"> The slight variation could be attributed to the fact that in the present study we included patients of all age groups.</w:t>
      </w:r>
    </w:p>
    <w:p w:rsidR="00EB70B3" w:rsidRPr="00EB70B3" w:rsidRDefault="00EB70B3" w:rsidP="00EB70B3">
      <w:pPr>
        <w:spacing w:before="120" w:after="120" w:line="240" w:lineRule="auto"/>
        <w:jc w:val="both"/>
        <w:rPr>
          <w:rFonts w:ascii="Times New Roman" w:hAnsi="Times New Roman"/>
          <w:sz w:val="16"/>
          <w:szCs w:val="16"/>
          <w:vertAlign w:val="superscript"/>
        </w:rPr>
      </w:pPr>
      <w:r w:rsidRPr="00EB70B3">
        <w:rPr>
          <w:rFonts w:ascii="Times New Roman" w:hAnsi="Times New Roman"/>
          <w:sz w:val="16"/>
          <w:szCs w:val="16"/>
        </w:rPr>
        <w:t>The total data collected was distributed among five age groups. They were &lt;1 year of age (infants), 1-12 years (children), 13- 18 years (teenagers), 19-59 years (adults), &gt;60 years of age (elderly). The spectrums of varied diseases were studied under these age groups. The frequency of bicytopenia in infants was 8%, 17.25% in children, 8% in teenagers, 55.5% in adults and 11.25% in elderly. Bicytopenia, being most common in adults followed by children, elderly and lastly teenagers and infants. Thus, bicytopenia was seen in all age groups ranging from 1 year to 90 years. The mean age was 30.52 years. Another study reported the prevalence of bicytopenia in children  as 7.5%  &lt; 1 year of age, 50% in 1-5 yrs of age and 32.5% in 6-12 yrs of age.</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&lt;EndNote&gt;&lt;Cite&gt;&lt;Author&gt;Ayub&lt;/Author&gt;&lt;Year&gt;2009&lt;/Year&gt;&lt;RecNum&gt;8&lt;/RecNum&gt;&lt;DisplayText&gt;(4)&lt;/DisplayText&gt;&lt;record&gt;&lt;rec-number&gt;8&lt;/rec-number&gt;&lt;foreign-keys&gt;&lt;key app="EN" db-id="9ppaf9et390faresp52p22aveawx9ew2swv5"&gt;8&lt;/key&gt;&lt;/foreign-keys&gt;&lt;ref-type name="Journal Article"&gt;17&lt;/ref-type&gt;&lt;contributors&gt;&lt;authors&gt;&lt;author&gt;T Ayub &lt;/author&gt;&lt;author&gt;FR Khan &lt;/author&gt;&lt;/authors&gt;&lt;/contributors&gt;&lt;titles&gt;&lt;title&gt;Prevalence of megaloblastic anaemia in a paediatric unit&lt;/title&gt;&lt;secondary-title&gt;Gomal J Med Sci&lt;/secondary-title&gt;&lt;/titles&gt;&lt;pages&gt;62-4&lt;/pages&gt;&lt;volume&gt;7&lt;/volume&gt;&lt;dates&gt;&lt;year&gt;2009&lt;/year&gt;&lt;/dates&gt;&lt;urls&gt;&lt;/urls&gt;&lt;/record&gt;&lt;/Cite&gt;&lt;/EndNote&gt;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(4)</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b/>
          <w:sz w:val="16"/>
          <w:szCs w:val="16"/>
        </w:rPr>
      </w:pPr>
      <w:r w:rsidRPr="00EB70B3">
        <w:rPr>
          <w:rFonts w:ascii="Times New Roman" w:hAnsi="Times New Roman"/>
          <w:b/>
          <w:sz w:val="16"/>
          <w:szCs w:val="16"/>
        </w:rPr>
        <w:t>Blood counts and Peripheral Smear findings:</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hAnsi="Times New Roman"/>
          <w:sz w:val="16"/>
          <w:szCs w:val="16"/>
        </w:rPr>
        <w:t xml:space="preserve">The most common bicytopenia in the present study was found to be anemia with thrombocytopenia (61% cases) followed by anemia with leucopenia (26% cases) and lastly leucopenia with thrombocytopenia (13% cases). This was in concordance with the study by Naseem S et al where the </w:t>
      </w:r>
      <w:r w:rsidRPr="00EB70B3">
        <w:rPr>
          <w:rFonts w:ascii="Times New Roman" w:eastAsia="Times New Roman" w:hAnsi="Times New Roman"/>
          <w:color w:val="000000"/>
          <w:sz w:val="16"/>
          <w:szCs w:val="16"/>
        </w:rPr>
        <w:t>commonest bicytopenia was anemia and thrombocytopenia in 77.5% cases, followed by anemia and leucopenia in 17.3% and leucopenia and thrombocytopenia in 5.5% cases.</w:t>
      </w:r>
      <w:r w:rsidR="00DA3B95" w:rsidRPr="00EB70B3">
        <w:rPr>
          <w:rFonts w:ascii="Times New Roman" w:eastAsia="Times New Roman" w:hAnsi="Times New Roman"/>
          <w:color w:val="000000"/>
          <w:sz w:val="16"/>
          <w:szCs w:val="16"/>
          <w:vertAlign w:val="superscript"/>
        </w:rPr>
        <w:fldChar w:fldCharType="begin"/>
      </w:r>
      <w:r w:rsidRPr="00EB70B3">
        <w:rPr>
          <w:rFonts w:ascii="Times New Roman" w:eastAsia="Times New Roman" w:hAnsi="Times New Roman"/>
          <w:color w:val="000000"/>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eastAsia="Times New Roman" w:hAnsi="Times New Roman"/>
          <w:color w:val="000000"/>
          <w:sz w:val="16"/>
          <w:szCs w:val="16"/>
          <w:vertAlign w:val="superscript"/>
        </w:rPr>
        <w:fldChar w:fldCharType="separate"/>
      </w:r>
      <w:r w:rsidRPr="00EB70B3">
        <w:rPr>
          <w:rFonts w:ascii="Times New Roman" w:eastAsia="Times New Roman" w:hAnsi="Times New Roman"/>
          <w:noProof/>
          <w:color w:val="000000"/>
          <w:sz w:val="16"/>
          <w:szCs w:val="16"/>
          <w:vertAlign w:val="superscript"/>
        </w:rPr>
        <w:t>(3)</w:t>
      </w:r>
      <w:r w:rsidR="00DA3B95" w:rsidRPr="00EB70B3">
        <w:rPr>
          <w:rFonts w:ascii="Times New Roman" w:eastAsia="Times New Roman" w:hAnsi="Times New Roman"/>
          <w:color w:val="000000"/>
          <w:sz w:val="16"/>
          <w:szCs w:val="16"/>
          <w:vertAlign w:val="superscript"/>
        </w:rPr>
        <w:fldChar w:fldCharType="end"/>
      </w:r>
      <w:r w:rsidRPr="00EB70B3">
        <w:rPr>
          <w:rFonts w:ascii="Times New Roman" w:eastAsia="Times New Roman" w:hAnsi="Times New Roman"/>
          <w:color w:val="000000"/>
          <w:sz w:val="16"/>
          <w:szCs w:val="16"/>
        </w:rPr>
        <w:t xml:space="preserve"> The erythrocytes and megakaryocytes originate from a common progenitor cell CFU-EMk (Colony Forming Unit Erythrocyte and Megakaryocyte).</w:t>
      </w:r>
      <w:r w:rsidR="00DA3B95" w:rsidRPr="00EB70B3">
        <w:rPr>
          <w:rFonts w:ascii="Times New Roman" w:eastAsia="Times New Roman" w:hAnsi="Times New Roman"/>
          <w:color w:val="000000"/>
          <w:sz w:val="16"/>
          <w:szCs w:val="16"/>
          <w:vertAlign w:val="superscript"/>
        </w:rPr>
        <w:fldChar w:fldCharType="begin"/>
      </w:r>
      <w:r w:rsidRPr="00EB70B3">
        <w:rPr>
          <w:rFonts w:ascii="Times New Roman" w:eastAsia="Times New Roman" w:hAnsi="Times New Roman"/>
          <w:color w:val="000000"/>
          <w:sz w:val="16"/>
          <w:szCs w:val="16"/>
          <w:vertAlign w:val="superscript"/>
        </w:rPr>
        <w:instrText xml:space="preserve"> ADDIN EN.CITE &lt;EndNote&gt;&lt;Cite&gt;&lt;Author&gt;Williams&lt;/Author&gt;&lt;Year&gt;2010&lt;/Year&gt;&lt;RecNum&gt;72&lt;/RecNum&gt;&lt;DisplayText&gt;(6, 7)&lt;/DisplayText&gt;&lt;record&gt;&lt;rec-number&gt;72&lt;/rec-number&gt;&lt;foreign-keys&gt;&lt;key app="EN" db-id="9ppaf9et390faresp52p22aveawx9ew2swv5"&gt;72&lt;/key&gt;&lt;/foreign-keys&gt;&lt;ref-type name="Book Section"&gt;5&lt;/ref-type&gt;&lt;contributors&gt;&lt;authors&gt;&lt;author&gt;J .Lynne Williams&lt;/author&gt;&lt;/authors&gt;&lt;secondary-authors&gt;&lt;author&gt;Shirlyn B. Mckenzie&lt;/author&gt;&lt;author&gt;J .Lynne Williams&lt;/author&gt;&lt;/secondary-authors&gt;&lt;/contributors&gt;&lt;titles&gt;&lt;title&gt;Hematopoesis&lt;/title&gt;&lt;secondary-title&gt;Clinical Laboratory Hematology&lt;/secondary-title&gt;&lt;/titles&gt;&lt;pages&gt;31-49&lt;/pages&gt;&lt;volume&gt;1&lt;/volume&gt;&lt;num-vols&gt;2&lt;/num-vols&gt;&lt;section&gt;3&lt;/section&gt;&lt;dates&gt;&lt;year&gt;2010&lt;/year&gt;&lt;/dates&gt;&lt;pub-location&gt;New Jersey&lt;/pub-location&gt;&lt;publisher&gt;Pearson Education INc.&lt;/publisher&gt;&lt;urls&gt;&lt;/urls&gt;&lt;/record&gt;&lt;/Cite&gt;&lt;Cite&gt;&lt;Author&gt;Debili&lt;/Author&gt;&lt;Year&gt;1996&lt;/Year&gt;&lt;RecNum&gt;77&lt;/RecNum&gt;&lt;record&gt;&lt;rec-number&gt;77&lt;/rec-number&gt;&lt;foreign-keys&gt;&lt;key app="EN" db-id="9ppaf9et390faresp52p22aveawx9ew2swv5"&gt;77&lt;/key&gt;&lt;/foreign-keys&gt;&lt;ref-type name="Journal Article"&gt;17&lt;/ref-type&gt;&lt;contributors&gt;&lt;authors&gt;&lt;author&gt;N Debili&lt;/author&gt;&lt;author&gt;L Coulombel&lt;/author&gt;&lt;author&gt;L Croisille&lt;/author&gt;&lt;author&gt;A Katz&lt;/author&gt;&lt;author&gt;J Guichard&lt;/author&gt;&lt;author&gt;J Breton-Gorius&lt;/author&gt;&lt;author&gt;W Vainchenker&lt;/author&gt;&lt;/authors&gt;&lt;/contributors&gt;&lt;titles&gt;&lt;title&gt;Characterization of a bipotent erythro-megakaryocytic progenitor in human bone marrow.&lt;/title&gt;&lt;secondary-title&gt;Blood&lt;/secondary-title&gt;&lt;/titles&gt;&lt;periodical&gt;&lt;full-title&gt;Blood&lt;/full-title&gt;&lt;/periodical&gt;&lt;pages&gt;1284-96&lt;/pages&gt;&lt;volume&gt;88&lt;/volume&gt;&lt;number&gt;4&lt;/number&gt;&lt;dates&gt;&lt;year&gt;1996&lt;/year&gt;&lt;pub-dates&gt;&lt;date&gt;Aug 15&lt;/date&gt;&lt;/pub-dates&gt;&lt;/dates&gt;&lt;urls&gt;&lt;/urls&gt;&lt;/record&gt;&lt;/Cite&gt;&lt;/EndNote&gt;</w:instrText>
      </w:r>
      <w:r w:rsidR="00DA3B95" w:rsidRPr="00EB70B3">
        <w:rPr>
          <w:rFonts w:ascii="Times New Roman" w:eastAsia="Times New Roman" w:hAnsi="Times New Roman"/>
          <w:color w:val="000000"/>
          <w:sz w:val="16"/>
          <w:szCs w:val="16"/>
          <w:vertAlign w:val="superscript"/>
        </w:rPr>
        <w:fldChar w:fldCharType="separate"/>
      </w:r>
      <w:r w:rsidRPr="00EB70B3">
        <w:rPr>
          <w:rFonts w:ascii="Times New Roman" w:eastAsia="Times New Roman" w:hAnsi="Times New Roman"/>
          <w:noProof/>
          <w:color w:val="000000"/>
          <w:sz w:val="16"/>
          <w:szCs w:val="16"/>
          <w:vertAlign w:val="superscript"/>
        </w:rPr>
        <w:t>(6, 7)</w:t>
      </w:r>
      <w:r w:rsidR="00DA3B95" w:rsidRPr="00EB70B3">
        <w:rPr>
          <w:rFonts w:ascii="Times New Roman" w:eastAsia="Times New Roman" w:hAnsi="Times New Roman"/>
          <w:color w:val="000000"/>
          <w:sz w:val="16"/>
          <w:szCs w:val="16"/>
          <w:vertAlign w:val="superscript"/>
        </w:rPr>
        <w:fldChar w:fldCharType="end"/>
      </w:r>
      <w:r w:rsidRPr="00EB70B3">
        <w:rPr>
          <w:rFonts w:ascii="Times New Roman" w:eastAsia="Times New Roman" w:hAnsi="Times New Roman"/>
          <w:color w:val="000000"/>
          <w:sz w:val="16"/>
          <w:szCs w:val="16"/>
        </w:rPr>
        <w:t xml:space="preserve"> Thus, any damage to this progenitor could lead to bicytopenia with anemia and thrombocytopenia. </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hAnsi="Times New Roman"/>
          <w:sz w:val="16"/>
          <w:szCs w:val="16"/>
        </w:rPr>
        <w:t>Acute leukemias can also present as normocytic hypochromic anemia with leucocytosis and thrombocytopenia. The neoplastic cell lineage that causes the leucocytosis, suppresses the other cell lines, leading to the anemia and thrombocytopenia.</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&lt;EndNote&gt;&lt;Cite&gt;&lt;Author&gt;Robert J. Arceci&lt;/Author&gt;&lt;Year&gt;2009&lt;/Year&gt;&lt;RecNum&gt;7&lt;/RecNum&gt;&lt;DisplayText&gt;(8)&lt;/DisplayText&gt;&lt;record&gt;&lt;rec-number&gt;7&lt;/rec-number&gt;&lt;foreign-keys&gt;&lt;key app="EN" db-id="9ppaf9et390faresp52p22aveawx9ew2swv5"&gt;7&lt;/key&gt;&lt;/foreign-keys&gt;&lt;ref-type name="Book Section"&gt;5&lt;/ref-type&gt;&lt;contributors&gt;&lt;authors&gt;&lt;author&gt;Robert J. Arceci&lt;/author&gt;&lt;author&gt;Richard Aplenc&lt;/author&gt;&lt;/authors&gt;&lt;secondary-authors&gt;&lt;author&gt;John P. Greer&lt;/author&gt;&lt;author&gt;John Foerster&lt;/author&gt;&lt;author&gt;George M. Rodgers&lt;/author&gt;&lt;author&gt;Frixos Paraskevas&lt;/author&gt;&lt;author&gt;Bertil Glader&lt;/author&gt;&lt;author&gt;Daniel A. Arber &lt;/author&gt;&lt;author&gt;Robert T. Means&lt;/author&gt;&lt;/secondary-authors&gt;&lt;/contributors&gt;&lt;titles&gt;&lt;title&gt;Acute Myelogenous Leukemia in Children&lt;/title&gt;&lt;secondary-title&gt;Wintrobe&amp;apos;s Clinical Hematology&lt;/secondary-title&gt;&lt;/titles&gt;&lt;pages&gt;1919-1937&lt;/pages&gt;&lt;volume&gt;2&lt;/volume&gt;&lt;num-vols&gt;2&lt;/num-vols&gt;&lt;section&gt;81&lt;/section&gt;&lt;dates&gt;&lt;year&gt;2009&lt;/year&gt;&lt;/dates&gt;&lt;pub-location&gt;Philadelphia&lt;/pub-location&gt;&lt;publisher&gt;Lippincott Williams &amp;amp; Wilkins&lt;/publisher&gt;&lt;urls&gt;&lt;/urls&gt;&lt;/record&gt;&lt;/Cite&gt;&lt;/EndNote&gt;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(8)</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hAnsi="Times New Roman"/>
          <w:sz w:val="16"/>
          <w:szCs w:val="16"/>
        </w:rPr>
        <w:t>When the peripheral smear findings were correlated with etiologies, it was observed that anemia with thrombocytopenia was most significant in non-malignant etiology (139 cases).</w:t>
      </w:r>
      <w:r w:rsidRPr="00EB70B3">
        <w:rPr>
          <w:rFonts w:ascii="Times New Roman" w:eastAsia="Times New Roman" w:hAnsi="Times New Roman"/>
          <w:color w:val="000000"/>
          <w:sz w:val="16"/>
          <w:szCs w:val="16"/>
        </w:rPr>
        <w:t xml:space="preserve">It could be hypothesized that CFU-EMk is more susceptible in non-malignant conditions like megaloblastic anemia, alcoholic liver disease, immune thrombocytopenic purpura rather than </w:t>
      </w:r>
      <w:r w:rsidRPr="00EB70B3">
        <w:rPr>
          <w:rFonts w:ascii="Times New Roman" w:eastAsia="Times New Roman" w:hAnsi="Times New Roman"/>
          <w:color w:val="000000"/>
          <w:sz w:val="16"/>
          <w:szCs w:val="16"/>
        </w:rPr>
        <w:lastRenderedPageBreak/>
        <w:t>infections, drugs or infiltration of marrow by malignant cells. However, this hypothesis needs to be tested with more number of studies.</w:t>
      </w:r>
    </w:p>
    <w:p w:rsidR="00EB70B3" w:rsidRPr="00EB70B3" w:rsidRDefault="00EB70B3" w:rsidP="00EB70B3">
      <w:pPr>
        <w:spacing w:before="120" w:after="120" w:line="240" w:lineRule="auto"/>
        <w:jc w:val="both"/>
        <w:rPr>
          <w:rFonts w:ascii="Times New Roman" w:hAnsi="Times New Roman"/>
          <w:sz w:val="16"/>
          <w:szCs w:val="16"/>
          <w:vertAlign w:val="superscript"/>
        </w:rPr>
      </w:pPr>
      <w:r w:rsidRPr="00EB70B3">
        <w:rPr>
          <w:rFonts w:ascii="Times New Roman" w:hAnsi="Times New Roman"/>
          <w:sz w:val="16"/>
          <w:szCs w:val="16"/>
        </w:rPr>
        <w:t>Leucopenia with thrombocytopenia and anemia with leucopenia (52%) were equally significant in infectious etiology. Many studies in literature have associated dengue infection with leucopenia and thrombocytopenia. They attribute this bicytopenia to viral destruction of myeloid progenitor cells and megakaryocytes in the bone marrow. In addition, the inhibition of myeloid progenitor cells and peripheral destruction of platelets can lead to the leucopenia with thrombocytopenia in dengue patients.</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&lt;EndNote&gt;&lt;Cite&gt;&lt;Author&gt;Luiz José de Souza&lt;/Author&gt;&lt;Year&gt;2013&lt;/Year&gt;&lt;RecNum&gt;76&lt;/RecNum&gt;&lt;DisplayText&gt;(9)&lt;/DisplayText&gt;&lt;record&gt;&lt;rec-number&gt;76&lt;/rec-number&gt;&lt;foreign-keys&gt;&lt;key app="EN" db-id="9ppaf9et390faresp52p22aveawx9ew2swv5"&gt;76&lt;/key&gt;&lt;/foreign-keys&gt;&lt;ref-type name="Journal Article"&gt;17&lt;/ref-type&gt;&lt;contributors&gt;&lt;authors&gt;&lt;author&gt;&lt;style face="normal" font="Times New Roman" size="100%"&gt;Luiz José de Souza&lt;/style&gt;&lt;/author&gt;&lt;author&gt;&lt;style face="normal" font="Times New Roman" size="100%"&gt;Laís Bastos Pessanha&lt;/style&gt;&lt;/author&gt;&lt;author&gt;&lt;style face="normal" font="Times New Roman" size="100%"&gt;Laura Carvalho Mansur&lt;/style&gt;&lt;/author&gt;&lt;author&gt;&lt;style face="normal" font="Times New Roman" size="100%"&gt;Luiza Assed de Souza&lt;/style&gt;&lt;/author&gt;&lt;author&gt;&lt;style face="normal" font="Times New Roman" size="100%"&gt;Mariana Barbosa Tâmega Ribeiro&lt;/style&gt;&lt;/author&gt;&lt;author&gt;&lt;style face="normal" font="Times New Roman" size="100%"&gt;Monique do Vale da Silveira&lt;/style&gt;&lt;/author&gt;&lt;author&gt;&lt;style face="normal" font="Times New Roman" size="100%"&gt;João Tadeu  Damian&lt;/style&gt;&lt;/author&gt;&lt;author&gt;&lt;style face="normal" font="Times New Roman" size="100%"&gt;Souto Filho&lt;/style&gt;&lt;/author&gt;&lt;/authors&gt;&lt;/contributors&gt;&lt;titles&gt;&lt;title&gt;&lt;style face="normal" font="Times New Roman" size="100%"&gt;Comparison of clinical and laboratory characteristics between children and adults with dengue&lt;/style&gt;&lt;/title&gt;&lt;secondary-title&gt;braz j infectdis &lt;/secondary-title&gt;&lt;/titles&gt;&lt;periodical&gt;&lt;full-title&gt;braz j infectdis&lt;/full-title&gt;&lt;/periodical&gt;&lt;pages&gt;27-31&lt;/pages&gt;&lt;volume&gt;17&lt;/volume&gt;&lt;number&gt;1&lt;/number&gt;&lt;dates&gt;&lt;year&gt;2013&lt;/year&gt;&lt;/dates&gt;&lt;urls&gt;&lt;/urls&gt;&lt;/record&gt;&lt;/Cite&gt;&lt;/EndNote&gt;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(9)</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b/>
          <w:sz w:val="16"/>
          <w:szCs w:val="16"/>
        </w:rPr>
      </w:pPr>
      <w:r w:rsidRPr="00EB70B3">
        <w:rPr>
          <w:rFonts w:ascii="Times New Roman" w:hAnsi="Times New Roman"/>
          <w:b/>
          <w:sz w:val="16"/>
          <w:szCs w:val="16"/>
        </w:rPr>
        <w:t>Etiologies:</w:t>
      </w:r>
    </w:p>
    <w:p w:rsidR="00EB70B3" w:rsidRPr="00EB70B3" w:rsidRDefault="00EB70B3" w:rsidP="00EB70B3">
      <w:pPr>
        <w:tabs>
          <w:tab w:val="left" w:pos="0"/>
        </w:tabs>
        <w:spacing w:before="120" w:after="120" w:line="240" w:lineRule="auto"/>
        <w:jc w:val="both"/>
        <w:rPr>
          <w:rFonts w:ascii="Times New Roman" w:eastAsia="Times New Roman" w:hAnsi="Times New Roman"/>
          <w:color w:val="000000"/>
          <w:sz w:val="16"/>
          <w:szCs w:val="16"/>
        </w:rPr>
      </w:pPr>
      <w:r w:rsidRPr="00EB70B3">
        <w:rPr>
          <w:rFonts w:ascii="Times New Roman" w:hAnsi="Times New Roman"/>
          <w:sz w:val="16"/>
          <w:szCs w:val="16"/>
        </w:rPr>
        <w:t xml:space="preserve">The etiologies were divided into Malignant, Non- malignant, Infectious and Drug induced. The most common etiology was found to be non-malignant 224 (31.75 %), followed by Infectious 127 cases (3.75%), Malignant 33 (8.25%), and Drug induced 16 cases (4%). Naseem S et al reported that the most common etiology of bicytopeniain children was </w:t>
      </w:r>
      <w:r w:rsidRPr="00EB70B3">
        <w:rPr>
          <w:rFonts w:ascii="Times New Roman" w:eastAsia="Times New Roman" w:hAnsi="Times New Roman"/>
          <w:color w:val="000000"/>
          <w:sz w:val="16"/>
          <w:szCs w:val="16"/>
        </w:rPr>
        <w:t>malignant 241 cases, followed by non-malignant 64 cases and 42 non-specific and 49 secondary to therapy.</w:t>
      </w:r>
      <w:r w:rsidR="00DA3B95" w:rsidRPr="00EB70B3">
        <w:rPr>
          <w:rFonts w:ascii="Times New Roman" w:eastAsia="Times New Roman" w:hAnsi="Times New Roman"/>
          <w:color w:val="000000"/>
          <w:sz w:val="16"/>
          <w:szCs w:val="16"/>
          <w:vertAlign w:val="superscript"/>
        </w:rPr>
        <w:fldChar w:fldCharType="begin"/>
      </w:r>
      <w:r w:rsidRPr="00EB70B3">
        <w:rPr>
          <w:rFonts w:ascii="Times New Roman" w:eastAsia="Times New Roman" w:hAnsi="Times New Roman"/>
          <w:color w:val="000000"/>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eastAsia="Times New Roman" w:hAnsi="Times New Roman"/>
          <w:color w:val="000000"/>
          <w:sz w:val="16"/>
          <w:szCs w:val="16"/>
          <w:vertAlign w:val="superscript"/>
        </w:rPr>
        <w:fldChar w:fldCharType="separate"/>
      </w:r>
      <w:r w:rsidRPr="00EB70B3">
        <w:rPr>
          <w:rFonts w:ascii="Times New Roman" w:eastAsia="Times New Roman" w:hAnsi="Times New Roman"/>
          <w:noProof/>
          <w:color w:val="000000"/>
          <w:sz w:val="16"/>
          <w:szCs w:val="16"/>
          <w:vertAlign w:val="superscript"/>
        </w:rPr>
        <w:t>(3)</w:t>
      </w:r>
      <w:r w:rsidR="00DA3B95" w:rsidRPr="00EB70B3">
        <w:rPr>
          <w:rFonts w:ascii="Times New Roman" w:eastAsia="Times New Roman" w:hAnsi="Times New Roman"/>
          <w:color w:val="000000"/>
          <w:sz w:val="16"/>
          <w:szCs w:val="16"/>
          <w:vertAlign w:val="superscript"/>
        </w:rPr>
        <w:fldChar w:fldCharType="end"/>
      </w:r>
      <w:r w:rsidRPr="00EB70B3">
        <w:rPr>
          <w:rFonts w:ascii="Times New Roman" w:eastAsia="Times New Roman" w:hAnsi="Times New Roman"/>
          <w:color w:val="000000"/>
          <w:sz w:val="16"/>
          <w:szCs w:val="16"/>
        </w:rPr>
        <w:t xml:space="preserve"> However, this study was done exceptionally on bone marrows of children; also bone marrow procedures are clinically indicated in malignancies.  The variations could be because the present study includes all age groups and all cases of bicytopenia irrespective of the severity of the disease.</w:t>
      </w:r>
    </w:p>
    <w:p w:rsidR="00EB70B3" w:rsidRPr="00EB70B3" w:rsidRDefault="00EB70B3" w:rsidP="00EB70B3">
      <w:pPr>
        <w:tabs>
          <w:tab w:val="left" w:pos="0"/>
        </w:tabs>
        <w:spacing w:before="120" w:after="120" w:line="240" w:lineRule="auto"/>
        <w:jc w:val="both"/>
        <w:rPr>
          <w:rFonts w:ascii="Times New Roman" w:hAnsi="Times New Roman"/>
          <w:b/>
          <w:sz w:val="16"/>
          <w:szCs w:val="16"/>
        </w:rPr>
      </w:pPr>
      <w:r w:rsidRPr="00EB70B3">
        <w:rPr>
          <w:rFonts w:ascii="Times New Roman" w:eastAsia="Times New Roman" w:hAnsi="Times New Roman"/>
          <w:b/>
          <w:color w:val="000000"/>
          <w:sz w:val="16"/>
          <w:szCs w:val="16"/>
        </w:rPr>
        <w:t>Non-Malignant:</w:t>
      </w:r>
    </w:p>
    <w:p w:rsidR="00EB70B3" w:rsidRPr="00EB70B3" w:rsidRDefault="00EB70B3" w:rsidP="00EB70B3">
      <w:pPr>
        <w:tabs>
          <w:tab w:val="left" w:pos="0"/>
        </w:tabs>
        <w:spacing w:before="120" w:after="120" w:line="240" w:lineRule="auto"/>
        <w:jc w:val="both"/>
        <w:rPr>
          <w:rFonts w:ascii="Times New Roman" w:hAnsi="Times New Roman"/>
          <w:sz w:val="16"/>
          <w:szCs w:val="16"/>
        </w:rPr>
      </w:pPr>
      <w:r w:rsidRPr="00EB70B3">
        <w:rPr>
          <w:rFonts w:ascii="Times New Roman" w:hAnsi="Times New Roman"/>
          <w:sz w:val="16"/>
          <w:szCs w:val="16"/>
        </w:rPr>
        <w:t>Out of the Non-malignant cases, the most common etiology was found to be megaloblastic anemia (7.8%), closely followed by alcoholic liver disease (7%), immune thrombocytopenia purpura (5.5%)  and  preterm low birth weight (4.8%). Ayub T et al also reported megaloblastic anemia (57.5%) to be the most common cause of bicytopenia in bone marrow studies of children. They suggested that megaloblastic anemia can be caused by malnutrition and frequent infections in low socio-economic sectors</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&lt;EndNote&gt;&lt;Cite&gt;&lt;Author&gt;Ayub&lt;/Author&gt;&lt;Year&gt;2009&lt;/Year&gt;&lt;RecNum&gt;8&lt;/RecNum&gt;&lt;DisplayText&gt;(4)&lt;/DisplayText&gt;&lt;record&gt;&lt;rec-number&gt;8&lt;/rec-number&gt;&lt;foreign-keys&gt;&lt;key app="EN" db-id="9ppaf9et390faresp52p22aveawx9ew2swv5"&gt;8&lt;/key&gt;&lt;/foreign-keys&gt;&lt;ref-type name="Journal Article"&gt;17&lt;/ref-type&gt;&lt;contributors&gt;&lt;authors&gt;&lt;author&gt;T Ayub &lt;/author&gt;&lt;author&gt;FR Khan &lt;/author&gt;&lt;/authors&gt;&lt;/contributors&gt;&lt;titles&gt;&lt;title&gt;Prevalence of megaloblastic anaemia in a paediatric unit&lt;/title&gt;&lt;secondary-title&gt;Gomal J Med Sci&lt;/secondary-title&gt;&lt;/titles&gt;&lt;pages&gt;62-4&lt;/pages&gt;&lt;volume&gt;7&lt;/volume&gt;&lt;dates&gt;&lt;year&gt;2009&lt;/year&gt;&lt;/dates&gt;&lt;urls&gt;&lt;/urls&gt;&lt;/record&gt;&lt;/Cite&gt;&lt;/EndNote&gt;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(4)</w:t>
      </w:r>
      <w:r w:rsidR="00DA3B95" w:rsidRPr="00EB70B3">
        <w:rPr>
          <w:rFonts w:ascii="Times New Roman" w:hAnsi="Times New Roman"/>
          <w:sz w:val="16"/>
          <w:szCs w:val="16"/>
          <w:vertAlign w:val="superscript"/>
        </w:rPr>
        <w:fldChar w:fldCharType="end"/>
      </w:r>
      <w:r w:rsidRPr="00EB70B3">
        <w:rPr>
          <w:rFonts w:ascii="Times New Roman" w:hAnsi="Times New Roman"/>
          <w:sz w:val="16"/>
          <w:szCs w:val="16"/>
        </w:rPr>
        <w:t>Vitamin B12 deficiency generally affects all three lineages as it affects nuclear maturation but anemia may not appear for years. In fact, macrocytosis precedes anemia.</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&lt;EndNote&gt;&lt;Cite&gt;&lt;Author&gt;Hubbard&lt;/Author&gt;&lt;Year&gt;2010&lt;/Year&gt;&lt;RecNum&gt;80&lt;/RecNum&gt;&lt;DisplayText&gt;(10)&lt;/DisplayText&gt;&lt;record&gt;&lt;rec-number&gt;80&lt;/rec-number&gt;&lt;foreign-keys&gt;&lt;key app="EN" db-id="9ppaf9et390faresp52p22aveawx9ew2swv5"&gt;80&lt;/key&gt;&lt;/foreign-keys&gt;&lt;ref-type name="Book Section"&gt;5&lt;/ref-type&gt;&lt;contributors&gt;&lt;authors&gt;&lt;author&gt;Joel Hubbard&lt;/author&gt;&lt;/authors&gt;&lt;secondary-authors&gt;&lt;author&gt;Shirlyn B. Mckenzie&lt;/author&gt;&lt;author&gt;J .Lynne Williams&lt;/author&gt;&lt;/secondary-authors&gt;&lt;/contributors&gt;&lt;titles&gt;&lt;title&gt;Megaloblastic and non-megaloblastic macrocytic anemias&lt;/title&gt;&lt;secondary-title&gt;Clinical Laboratory Hematology&lt;/secondary-title&gt;&lt;/titles&gt;&lt;pages&gt;31-49&lt;/pages&gt;&lt;volume&gt;1&lt;/volume&gt;&lt;num-vols&gt;2&lt;/num-vols&gt;&lt;section&gt;12&lt;/section&gt;&lt;dates&gt;&lt;year&gt;2010&lt;/year&gt;&lt;/dates&gt;&lt;pub-location&gt;New Jersey&lt;/pub-location&gt;&lt;publisher&gt;Pearson Education Inc.&lt;/publisher&gt;&lt;urls&gt;&lt;/urls&gt;&lt;/record&gt;&lt;/Cite&gt;&lt;/EndNote&gt;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(10)</w:t>
      </w:r>
      <w:r w:rsidR="00DA3B95" w:rsidRPr="00EB70B3">
        <w:rPr>
          <w:rFonts w:ascii="Times New Roman" w:hAnsi="Times New Roman"/>
          <w:sz w:val="16"/>
          <w:szCs w:val="16"/>
          <w:vertAlign w:val="superscript"/>
        </w:rPr>
        <w:fldChar w:fldCharType="end"/>
      </w:r>
    </w:p>
    <w:p w:rsidR="00EB70B3" w:rsidRPr="00EB70B3" w:rsidRDefault="00EB70B3" w:rsidP="00EB70B3">
      <w:pPr>
        <w:tabs>
          <w:tab w:val="left" w:pos="0"/>
        </w:tabs>
        <w:spacing w:before="120" w:after="120" w:line="240" w:lineRule="auto"/>
        <w:jc w:val="both"/>
        <w:rPr>
          <w:rFonts w:ascii="Times New Roman" w:hAnsi="Times New Roman"/>
          <w:sz w:val="16"/>
          <w:szCs w:val="16"/>
          <w:vertAlign w:val="superscript"/>
        </w:rPr>
      </w:pPr>
      <w:r w:rsidRPr="00EB70B3">
        <w:rPr>
          <w:rFonts w:ascii="Times New Roman" w:hAnsi="Times New Roman"/>
          <w:sz w:val="16"/>
          <w:szCs w:val="16"/>
        </w:rPr>
        <w:t>None of the studies done on bicytopenia, mention alcoholic liver disease as a cause of bicytopenia because they have studied exclusively pediatric population. Since, the present study included study subjects of all age groups, alcohol seemed to be a significant cause of bicytopenia. A study by Latvala J et al highlighted that t</w:t>
      </w:r>
      <w:r w:rsidRPr="00EB70B3">
        <w:rPr>
          <w:rFonts w:ascii="Times New Roman" w:hAnsi="Times New Roman"/>
          <w:color w:val="000000"/>
          <w:sz w:val="16"/>
          <w:szCs w:val="16"/>
          <w:shd w:val="clear" w:color="auto" w:fill="FFFFFF"/>
        </w:rPr>
        <w:t xml:space="preserve">he incidence of anemia was 51% in the alcohol abusers, as compared with 69% of the non-alcoholics (p &lt; 0.05). They pointed out that </w:t>
      </w:r>
      <w:r w:rsidRPr="00EB70B3">
        <w:rPr>
          <w:rStyle w:val="apple-converted-space"/>
          <w:rFonts w:ascii="Times New Roman" w:hAnsi="Times New Roman"/>
          <w:color w:val="000000"/>
          <w:sz w:val="16"/>
          <w:szCs w:val="16"/>
          <w:shd w:val="clear" w:color="auto" w:fill="FFFFFF"/>
        </w:rPr>
        <w:t> </w:t>
      </w:r>
      <w:r w:rsidRPr="00EB70B3">
        <w:rPr>
          <w:rFonts w:ascii="Times New Roman" w:hAnsi="Times New Roman"/>
          <w:color w:val="000000"/>
          <w:sz w:val="16"/>
          <w:szCs w:val="16"/>
          <w:shd w:val="clear" w:color="auto" w:fill="FFFFFF"/>
        </w:rPr>
        <w:t xml:space="preserve"> thrombocytopenia (41%), and combined cytopenias (34-38%) were a common finding in the</w:t>
      </w:r>
      <w:r w:rsidRPr="00EB70B3">
        <w:rPr>
          <w:rStyle w:val="apple-converted-space"/>
          <w:rFonts w:ascii="Times New Roman" w:hAnsi="Times New Roman"/>
          <w:color w:val="000000"/>
          <w:sz w:val="16"/>
          <w:szCs w:val="16"/>
          <w:shd w:val="clear" w:color="auto" w:fill="FFFFFF"/>
        </w:rPr>
        <w:t> </w:t>
      </w:r>
      <w:r w:rsidRPr="00EB70B3">
        <w:rPr>
          <w:rStyle w:val="highlight"/>
          <w:rFonts w:ascii="Times New Roman" w:hAnsi="Times New Roman"/>
          <w:color w:val="000000"/>
          <w:sz w:val="16"/>
          <w:szCs w:val="16"/>
          <w:shd w:val="clear" w:color="auto" w:fill="FFFFFF"/>
        </w:rPr>
        <w:t>alcoholic</w:t>
      </w:r>
      <w:r w:rsidRPr="00EB70B3">
        <w:rPr>
          <w:rStyle w:val="apple-converted-space"/>
          <w:rFonts w:ascii="Times New Roman" w:hAnsi="Times New Roman"/>
          <w:color w:val="000000"/>
          <w:sz w:val="16"/>
          <w:szCs w:val="16"/>
          <w:shd w:val="clear" w:color="auto" w:fill="FFFFFF"/>
        </w:rPr>
        <w:t> </w:t>
      </w:r>
      <w:r w:rsidRPr="00EB70B3">
        <w:rPr>
          <w:rFonts w:ascii="Times New Roman" w:hAnsi="Times New Roman"/>
          <w:color w:val="000000"/>
          <w:sz w:val="16"/>
          <w:szCs w:val="16"/>
          <w:shd w:val="clear" w:color="auto" w:fill="FFFFFF"/>
        </w:rPr>
        <w:t>patients.</w:t>
      </w:r>
      <w:r w:rsidR="00DA3B95" w:rsidRPr="00EB70B3">
        <w:rPr>
          <w:rFonts w:ascii="Times New Roman" w:hAnsi="Times New Roman"/>
          <w:color w:val="000000"/>
          <w:sz w:val="16"/>
          <w:szCs w:val="16"/>
          <w:shd w:val="clear" w:color="auto" w:fill="FFFFFF"/>
          <w:vertAlign w:val="superscript"/>
        </w:rPr>
        <w:fldChar w:fldCharType="begin"/>
      </w:r>
      <w:r w:rsidRPr="00EB70B3">
        <w:rPr>
          <w:rFonts w:ascii="Times New Roman" w:hAnsi="Times New Roman"/>
          <w:color w:val="000000"/>
          <w:sz w:val="16"/>
          <w:szCs w:val="16"/>
          <w:shd w:val="clear" w:color="auto" w:fill="FFFFFF"/>
          <w:vertAlign w:val="superscript"/>
        </w:rPr>
        <w:instrText xml:space="preserve"> ADDIN EN.CITE &lt;EndNote&gt;&lt;Cite&gt;&lt;Author&gt;Latvala&lt;/Author&gt;&lt;Year&gt;2004&lt;/Year&gt;&lt;RecNum&gt;68&lt;/RecNum&gt;&lt;DisplayText&gt;(11)&lt;/DisplayText&gt;&lt;record&gt;&lt;rec-number&gt;68&lt;/rec-number&gt;&lt;foreign-keys&gt;&lt;key app="EN" db-id="9ppaf9et390faresp52p22aveawx9ew2swv5"&gt;68&lt;/key&gt;&lt;/foreign-keys&gt;&lt;ref-type name="Journal Article"&gt;17&lt;/ref-type&gt;&lt;contributors&gt;&lt;authors&gt;&lt;author&gt;J Latvala&lt;/author&gt;&lt;author&gt;S Parkkila&lt;/author&gt;&lt;author&gt;O Niemelä&lt;/author&gt;&lt;/authors&gt;&lt;/contributors&gt;&lt;titles&gt;&lt;title&gt;Excess alcohol consumption is common in patients with cytopenia: studies in blood and bone marrow cells&lt;/title&gt;&lt;secondary-title&gt;Alcohol Clin Exp Res&lt;/secondary-title&gt;&lt;/titles&gt;&lt;periodical&gt;&lt;full-title&gt;Alcohol Clin Exp Res&lt;/full-title&gt;&lt;/periodical&gt;&lt;pages&gt;619-24&lt;/pages&gt;&lt;volume&gt;28&lt;/volume&gt;&lt;number&gt;4&lt;/number&gt;&lt;dates&gt;&lt;year&gt;2004&lt;/year&gt;&lt;/dates&gt;&lt;urls&gt;&lt;/urls&gt;&lt;/record&gt;&lt;/Cite&gt;&lt;/EndNote&gt;</w:instrText>
      </w:r>
      <w:r w:rsidR="00DA3B95" w:rsidRPr="00EB70B3">
        <w:rPr>
          <w:rFonts w:ascii="Times New Roman" w:hAnsi="Times New Roman"/>
          <w:color w:val="000000"/>
          <w:sz w:val="16"/>
          <w:szCs w:val="16"/>
          <w:shd w:val="clear" w:color="auto" w:fill="FFFFFF"/>
          <w:vertAlign w:val="superscript"/>
        </w:rPr>
        <w:fldChar w:fldCharType="separate"/>
      </w:r>
      <w:r w:rsidRPr="00EB70B3">
        <w:rPr>
          <w:rFonts w:ascii="Times New Roman" w:hAnsi="Times New Roman"/>
          <w:noProof/>
          <w:color w:val="000000"/>
          <w:sz w:val="16"/>
          <w:szCs w:val="16"/>
          <w:shd w:val="clear" w:color="auto" w:fill="FFFFFF"/>
          <w:vertAlign w:val="superscript"/>
        </w:rPr>
        <w:t>(11)</w:t>
      </w:r>
      <w:r w:rsidR="00DA3B95" w:rsidRPr="00EB70B3">
        <w:rPr>
          <w:rFonts w:ascii="Times New Roman" w:hAnsi="Times New Roman"/>
          <w:color w:val="000000"/>
          <w:sz w:val="16"/>
          <w:szCs w:val="16"/>
          <w:shd w:val="clear" w:color="auto" w:fill="FFFFFF"/>
          <w:vertAlign w:val="superscript"/>
        </w:rPr>
        <w:fldChar w:fldCharType="end"/>
      </w:r>
      <w:r w:rsidRPr="00EB70B3">
        <w:rPr>
          <w:rStyle w:val="apple-converted-space"/>
          <w:rFonts w:ascii="Times New Roman" w:hAnsi="Times New Roman"/>
          <w:color w:val="000000"/>
          <w:sz w:val="16"/>
          <w:szCs w:val="16"/>
          <w:shd w:val="clear" w:color="auto" w:fill="FFFFFF"/>
        </w:rPr>
        <w:t> </w:t>
      </w:r>
      <w:r w:rsidRPr="00EB70B3">
        <w:rPr>
          <w:rFonts w:ascii="Times New Roman" w:hAnsi="Times New Roman"/>
          <w:sz w:val="16"/>
          <w:szCs w:val="16"/>
        </w:rPr>
        <w:t xml:space="preserve"> Another study on hematologic anomalies in alcoholic cirrhosis postulated that </w:t>
      </w:r>
      <w:r w:rsidRPr="00EB70B3">
        <w:rPr>
          <w:rStyle w:val="highlight"/>
          <w:rFonts w:ascii="Times New Roman" w:hAnsi="Times New Roman"/>
          <w:color w:val="000000"/>
          <w:sz w:val="16"/>
          <w:szCs w:val="16"/>
          <w:shd w:val="clear" w:color="auto" w:fill="FFFFFF"/>
        </w:rPr>
        <w:t>Alcoholic</w:t>
      </w:r>
      <w:r w:rsidRPr="00EB70B3">
        <w:rPr>
          <w:rStyle w:val="apple-converted-space"/>
          <w:rFonts w:ascii="Times New Roman" w:hAnsi="Times New Roman"/>
          <w:color w:val="000000"/>
          <w:sz w:val="16"/>
          <w:szCs w:val="16"/>
          <w:shd w:val="clear" w:color="auto" w:fill="FFFFFF"/>
        </w:rPr>
        <w:t> </w:t>
      </w:r>
      <w:r w:rsidRPr="00EB70B3">
        <w:rPr>
          <w:rFonts w:ascii="Times New Roman" w:hAnsi="Times New Roman"/>
          <w:color w:val="000000"/>
          <w:sz w:val="16"/>
          <w:szCs w:val="16"/>
          <w:shd w:val="clear" w:color="auto" w:fill="FFFFFF"/>
        </w:rPr>
        <w:t>cirrhosis is frequently accompanied by hematologic abnormalities and that factors responsible for combined or isolated cytopenias were alcohol, hypersplenism, malnutrition and</w:t>
      </w:r>
      <w:r w:rsidRPr="00EB70B3">
        <w:rPr>
          <w:rStyle w:val="apple-converted-space"/>
          <w:rFonts w:ascii="Times New Roman" w:hAnsi="Times New Roman"/>
          <w:color w:val="000000"/>
          <w:sz w:val="16"/>
          <w:szCs w:val="16"/>
          <w:shd w:val="clear" w:color="auto" w:fill="FFFFFF"/>
        </w:rPr>
        <w:t> </w:t>
      </w:r>
      <w:r w:rsidRPr="00EB70B3">
        <w:rPr>
          <w:rStyle w:val="highlight"/>
          <w:rFonts w:ascii="Times New Roman" w:hAnsi="Times New Roman"/>
          <w:color w:val="000000"/>
          <w:sz w:val="16"/>
          <w:szCs w:val="16"/>
          <w:shd w:val="clear" w:color="auto" w:fill="FFFFFF"/>
        </w:rPr>
        <w:t>liver</w:t>
      </w:r>
      <w:r w:rsidRPr="00EB70B3">
        <w:rPr>
          <w:rStyle w:val="apple-converted-space"/>
          <w:rFonts w:ascii="Times New Roman" w:hAnsi="Times New Roman"/>
          <w:color w:val="000000"/>
          <w:sz w:val="16"/>
          <w:szCs w:val="16"/>
          <w:shd w:val="clear" w:color="auto" w:fill="FFFFFF"/>
        </w:rPr>
        <w:t> </w:t>
      </w:r>
      <w:r w:rsidRPr="00EB70B3">
        <w:rPr>
          <w:rFonts w:ascii="Times New Roman" w:hAnsi="Times New Roman"/>
          <w:color w:val="000000"/>
          <w:sz w:val="16"/>
          <w:szCs w:val="16"/>
          <w:shd w:val="clear" w:color="auto" w:fill="FFFFFF"/>
        </w:rPr>
        <w:t>dysfunction.</w:t>
      </w:r>
      <w:r w:rsidR="00DA3B95" w:rsidRPr="00EB70B3">
        <w:rPr>
          <w:rFonts w:ascii="Times New Roman" w:hAnsi="Times New Roman"/>
          <w:color w:val="000000"/>
          <w:sz w:val="16"/>
          <w:szCs w:val="16"/>
          <w:shd w:val="clear" w:color="auto" w:fill="FFFFFF"/>
          <w:vertAlign w:val="superscript"/>
        </w:rPr>
        <w:fldChar w:fldCharType="begin"/>
      </w:r>
      <w:r w:rsidRPr="00EB70B3">
        <w:rPr>
          <w:rFonts w:ascii="Times New Roman" w:hAnsi="Times New Roman"/>
          <w:color w:val="000000"/>
          <w:sz w:val="16"/>
          <w:szCs w:val="16"/>
          <w:shd w:val="clear" w:color="auto" w:fill="FFFFFF"/>
          <w:vertAlign w:val="superscript"/>
        </w:rPr>
        <w:instrText xml:space="preserve"> ADDIN EN.CITE &lt;EndNote&gt;&lt;Cite&gt;&lt;Author&gt;PM&lt;/Author&gt;&lt;Year&gt;1983&lt;/Year&gt;&lt;RecNum&gt;69&lt;/RecNum&gt;&lt;DisplayText&gt;(12)&lt;/DisplayText&gt;&lt;record&gt;&lt;rec-number&gt;69&lt;/rec-number&gt;&lt;foreign-keys&gt;&lt;key app="EN" db-id="9ppaf9et390faresp52p22aveawx9ew2swv5"&gt;69&lt;/key&gt;&lt;/foreign-keys&gt;&lt;ref-type name="Journal Article"&gt;17&lt;/ref-type&gt;&lt;contributors&gt;&lt;authors&gt;&lt;author&gt;PM Schmidt&lt;/author&gt;&lt;/authors&gt;&lt;/contributors&gt;&lt;titles&gt;&lt;title&gt;Hematologic anomalies in alcoholic cirrhosis&lt;/title&gt;&lt;secondary-title&gt;Schweiz Med Wochenschr&lt;/secondary-title&gt;&lt;/titles&gt;&lt;periodical&gt;&lt;full-title&gt;Schweiz Med Wochenschr&lt;/full-title&gt;&lt;/periodical&gt;&lt;pages&gt;1025-30&lt;/pages&gt;&lt;volume&gt;113&lt;/volume&gt;&lt;number&gt;29&lt;/number&gt;&lt;dates&gt;&lt;year&gt;1983&lt;/year&gt;&lt;pub-dates&gt;&lt;date&gt;Jul 23&lt;/date&gt;&lt;/pub-dates&gt;&lt;/dates&gt;&lt;urls&gt;&lt;/urls&gt;&lt;/record&gt;&lt;/Cite&gt;&lt;/EndNote&gt;</w:instrText>
      </w:r>
      <w:r w:rsidR="00DA3B95" w:rsidRPr="00EB70B3">
        <w:rPr>
          <w:rFonts w:ascii="Times New Roman" w:hAnsi="Times New Roman"/>
          <w:color w:val="000000"/>
          <w:sz w:val="16"/>
          <w:szCs w:val="16"/>
          <w:shd w:val="clear" w:color="auto" w:fill="FFFFFF"/>
          <w:vertAlign w:val="superscript"/>
        </w:rPr>
        <w:fldChar w:fldCharType="separate"/>
      </w:r>
      <w:r w:rsidRPr="00EB70B3">
        <w:rPr>
          <w:rFonts w:ascii="Times New Roman" w:hAnsi="Times New Roman"/>
          <w:noProof/>
          <w:color w:val="000000"/>
          <w:sz w:val="16"/>
          <w:szCs w:val="16"/>
          <w:shd w:val="clear" w:color="auto" w:fill="FFFFFF"/>
          <w:vertAlign w:val="superscript"/>
        </w:rPr>
        <w:t>(12)</w:t>
      </w:r>
      <w:r w:rsidR="00DA3B95" w:rsidRPr="00EB70B3">
        <w:rPr>
          <w:rFonts w:ascii="Times New Roman" w:hAnsi="Times New Roman"/>
          <w:color w:val="000000"/>
          <w:sz w:val="16"/>
          <w:szCs w:val="16"/>
          <w:shd w:val="clear" w:color="auto" w:fill="FFFFFF"/>
          <w:vertAlign w:val="superscript"/>
        </w:rPr>
        <w:fldChar w:fldCharType="end"/>
      </w:r>
      <w:r w:rsidRPr="00EB70B3">
        <w:rPr>
          <w:rFonts w:ascii="Times New Roman" w:hAnsi="Times New Roman"/>
          <w:sz w:val="16"/>
          <w:szCs w:val="16"/>
          <w:vertAlign w:val="superscript"/>
        </w:rPr>
        <w:t xml:space="preserve">  </w:t>
      </w:r>
    </w:p>
    <w:p w:rsidR="00EB70B3" w:rsidRPr="00EB70B3" w:rsidRDefault="00EB70B3" w:rsidP="00EB70B3">
      <w:pPr>
        <w:tabs>
          <w:tab w:val="left" w:pos="0"/>
        </w:tabs>
        <w:spacing w:before="120" w:after="120" w:line="240" w:lineRule="auto"/>
        <w:jc w:val="both"/>
        <w:rPr>
          <w:rFonts w:ascii="Times New Roman" w:eastAsia="Times New Roman" w:hAnsi="Times New Roman"/>
          <w:color w:val="000000"/>
          <w:sz w:val="16"/>
          <w:szCs w:val="16"/>
        </w:rPr>
      </w:pPr>
      <w:r w:rsidRPr="00EB70B3">
        <w:rPr>
          <w:rFonts w:ascii="Times New Roman" w:hAnsi="Times New Roman"/>
          <w:sz w:val="16"/>
          <w:szCs w:val="16"/>
        </w:rPr>
        <w:t xml:space="preserve">Twenty-two immune thrombocytopenic purpura (ITP) patients presented with anemia with thrombocytopenia. </w:t>
      </w:r>
      <w:r w:rsidRPr="00EB70B3">
        <w:rPr>
          <w:rFonts w:ascii="Times New Roman" w:eastAsia="Times New Roman" w:hAnsi="Times New Roman"/>
          <w:color w:val="000000"/>
          <w:sz w:val="16"/>
          <w:szCs w:val="16"/>
        </w:rPr>
        <w:t>ITP </w:t>
      </w:r>
      <w:r w:rsidRPr="00EB70B3">
        <w:rPr>
          <w:rFonts w:ascii="Times New Roman" w:eastAsia="Times New Roman" w:hAnsi="Times New Roman"/>
          <w:i/>
          <w:iCs/>
          <w:color w:val="000000"/>
          <w:sz w:val="16"/>
          <w:szCs w:val="16"/>
        </w:rPr>
        <w:t>per se</w:t>
      </w:r>
      <w:r w:rsidRPr="00EB70B3">
        <w:rPr>
          <w:rFonts w:ascii="Times New Roman" w:eastAsia="Times New Roman" w:hAnsi="Times New Roman"/>
          <w:color w:val="000000"/>
          <w:sz w:val="16"/>
          <w:szCs w:val="16"/>
        </w:rPr>
        <w:t> causes reduction only in platelet count, but accompanying anemia could be due to an additional nutritional deficiency, which is quite prevalent in this part of the world</w:t>
      </w:r>
      <w:r w:rsidRPr="00EB70B3">
        <w:rPr>
          <w:rFonts w:ascii="Times New Roman" w:hAnsi="Times New Roman"/>
          <w:sz w:val="16"/>
          <w:szCs w:val="16"/>
        </w:rPr>
        <w:t>.</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(3)</w:t>
      </w:r>
      <w:r w:rsidR="00DA3B95" w:rsidRPr="00EB70B3">
        <w:rPr>
          <w:rFonts w:ascii="Times New Roman" w:hAnsi="Times New Roman"/>
          <w:sz w:val="16"/>
          <w:szCs w:val="16"/>
          <w:vertAlign w:val="superscript"/>
        </w:rPr>
        <w:fldChar w:fldCharType="end"/>
      </w:r>
      <w:r w:rsidRPr="00EB70B3">
        <w:rPr>
          <w:rFonts w:ascii="Times New Roman" w:eastAsia="Times New Roman" w:hAnsi="Times New Roman"/>
          <w:color w:val="000000"/>
          <w:sz w:val="16"/>
          <w:szCs w:val="16"/>
        </w:rPr>
        <w:t>Out of non-malignant cases, Naseem S et al found ITP to be the most prevalent, followed by megaloblastic anemia and marrow hypocellularity.</w:t>
      </w:r>
      <w:r w:rsidR="00DA3B95" w:rsidRPr="00EB70B3">
        <w:rPr>
          <w:rFonts w:ascii="Times New Roman" w:eastAsia="Times New Roman" w:hAnsi="Times New Roman"/>
          <w:color w:val="000000"/>
          <w:sz w:val="16"/>
          <w:szCs w:val="16"/>
          <w:vertAlign w:val="superscript"/>
        </w:rPr>
        <w:fldChar w:fldCharType="begin"/>
      </w:r>
      <w:r w:rsidRPr="00EB70B3">
        <w:rPr>
          <w:rFonts w:ascii="Times New Roman" w:eastAsia="Times New Roman" w:hAnsi="Times New Roman"/>
          <w:color w:val="000000"/>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eastAsia="Times New Roman" w:hAnsi="Times New Roman"/>
          <w:color w:val="000000"/>
          <w:sz w:val="16"/>
          <w:szCs w:val="16"/>
          <w:vertAlign w:val="superscript"/>
        </w:rPr>
        <w:fldChar w:fldCharType="separate"/>
      </w:r>
      <w:r w:rsidRPr="00EB70B3">
        <w:rPr>
          <w:rFonts w:ascii="Times New Roman" w:eastAsia="Times New Roman" w:hAnsi="Times New Roman"/>
          <w:noProof/>
          <w:color w:val="000000"/>
          <w:sz w:val="16"/>
          <w:szCs w:val="16"/>
          <w:vertAlign w:val="superscript"/>
        </w:rPr>
        <w:t>(3)</w:t>
      </w:r>
      <w:r w:rsidR="00DA3B95" w:rsidRPr="00EB70B3">
        <w:rPr>
          <w:rFonts w:ascii="Times New Roman" w:eastAsia="Times New Roman" w:hAnsi="Times New Roman"/>
          <w:color w:val="000000"/>
          <w:sz w:val="16"/>
          <w:szCs w:val="16"/>
          <w:vertAlign w:val="superscript"/>
        </w:rPr>
        <w:fldChar w:fldCharType="end"/>
      </w:r>
    </w:p>
    <w:p w:rsidR="00EB70B3" w:rsidRPr="00EB70B3" w:rsidRDefault="00EB70B3" w:rsidP="00EB70B3">
      <w:pPr>
        <w:tabs>
          <w:tab w:val="left" w:pos="0"/>
        </w:tabs>
        <w:spacing w:before="120" w:after="120" w:line="240" w:lineRule="auto"/>
        <w:jc w:val="both"/>
        <w:rPr>
          <w:rFonts w:ascii="Times New Roman" w:eastAsia="Times New Roman" w:hAnsi="Times New Roman"/>
          <w:color w:val="000000"/>
          <w:sz w:val="16"/>
          <w:szCs w:val="16"/>
          <w:vertAlign w:val="superscript"/>
        </w:rPr>
      </w:pPr>
      <w:r w:rsidRPr="00EB70B3">
        <w:rPr>
          <w:rFonts w:ascii="Times New Roman" w:eastAsia="Times New Roman" w:hAnsi="Times New Roman"/>
          <w:color w:val="000000"/>
          <w:sz w:val="16"/>
          <w:szCs w:val="16"/>
        </w:rPr>
        <w:t>Out of the 19 cases of iron deficiency anemia that presented with bicytopenia, 84.2% of the patients presented with anemia with leucopenia. According to literature, iron deficiency leads to microcytic hypochromic anemia with reactive thrombocytosis in the peripheral blood. However, in later stages of iron deficiency anemia, there is mild granulocytopenia.</w:t>
      </w:r>
      <w:r w:rsidR="00DA3B95" w:rsidRPr="00EB70B3">
        <w:rPr>
          <w:rFonts w:ascii="Times New Roman" w:eastAsia="Times New Roman" w:hAnsi="Times New Roman"/>
          <w:color w:val="000000"/>
          <w:sz w:val="16"/>
          <w:szCs w:val="16"/>
          <w:vertAlign w:val="superscript"/>
        </w:rPr>
        <w:fldChar w:fldCharType="begin"/>
      </w:r>
      <w:r w:rsidRPr="00EB70B3">
        <w:rPr>
          <w:rFonts w:ascii="Times New Roman" w:eastAsia="Times New Roman" w:hAnsi="Times New Roman"/>
          <w:color w:val="000000"/>
          <w:sz w:val="16"/>
          <w:szCs w:val="16"/>
          <w:vertAlign w:val="superscript"/>
        </w:rPr>
        <w:instrText xml:space="preserve"> ADDIN EN.CITE &lt;EndNote&gt;&lt;Cite&gt;&lt;Author&gt;Andrews&lt;/Author&gt;&lt;Year&gt;2009&lt;/Year&gt;&lt;RecNum&gt;82&lt;/RecNum&gt;&lt;DisplayText&gt;(13)&lt;/DisplayText&gt;&lt;record&gt;&lt;rec-number&gt;82&lt;/rec-number&gt;&lt;foreign-keys&gt;&lt;key app="EN" db-id="9ppaf9et390faresp52p22aveawx9ew2swv5"&gt;82&lt;/key&gt;&lt;/foreign-keys&gt;&lt;ref-type name="Book Section"&gt;5&lt;/ref-type&gt;&lt;contributors&gt;&lt;authors&gt;&lt;author&gt;&lt;style face="normal" font="Times New Roman" size="100%"&gt;Nancy C. Andrews&lt;/style&gt;&lt;/author&gt;&lt;/authors&gt;&lt;secondary-authors&gt;&lt;author&gt;John P. Greer&lt;/author&gt;&lt;author&gt;John Foerster&lt;/author&gt;&lt;author&gt;George M. Rodgers&lt;/author&gt;&lt;author&gt;Frixos Paraskevas&lt;/author&gt;&lt;author&gt;Bertil Glader&lt;/author&gt;&lt;author&gt;Daniel A. Arber &lt;/author&gt;&lt;author&gt;Robert T. Means&lt;/author&gt;&lt;/secondary-authors&gt;&lt;/contributors&gt;&lt;titles&gt;&lt;title&gt;&lt;style face="normal" font="Times New Roman" size="100%"&gt;Iron Deficiency and Related Disorders&lt;/style&gt;&lt;/title&gt;&lt;secondary-title&gt;Wintrobe&amp;apos;s Clinical Hematology&lt;/secondary-title&gt;&lt;/titles&gt;&lt;pages&gt;810-834&lt;/pages&gt;&lt;volume&gt;1&lt;/volume&gt;&lt;num-vols&gt;2&lt;/num-vols&gt;&lt;section&gt;27&lt;/section&gt;&lt;dates&gt;&lt;year&gt;2009&lt;/year&gt;&lt;/dates&gt;&lt;pub-location&gt;Philadelphia&lt;/pub-location&gt;&lt;publisher&gt;Lippincott Williams &amp;amp; Wilkins&lt;/publisher&gt;&lt;urls&gt;&lt;/urls&gt;&lt;/record&gt;&lt;/Cite&gt;&lt;/EndNote&gt;</w:instrText>
      </w:r>
      <w:r w:rsidR="00DA3B95" w:rsidRPr="00EB70B3">
        <w:rPr>
          <w:rFonts w:ascii="Times New Roman" w:eastAsia="Times New Roman" w:hAnsi="Times New Roman"/>
          <w:color w:val="000000"/>
          <w:sz w:val="16"/>
          <w:szCs w:val="16"/>
          <w:vertAlign w:val="superscript"/>
        </w:rPr>
        <w:fldChar w:fldCharType="separate"/>
      </w:r>
      <w:r w:rsidRPr="00EB70B3">
        <w:rPr>
          <w:rFonts w:ascii="Times New Roman" w:eastAsia="Times New Roman" w:hAnsi="Times New Roman"/>
          <w:noProof/>
          <w:color w:val="000000"/>
          <w:sz w:val="16"/>
          <w:szCs w:val="16"/>
          <w:vertAlign w:val="superscript"/>
        </w:rPr>
        <w:t>(13)</w:t>
      </w:r>
      <w:r w:rsidR="00DA3B95" w:rsidRPr="00EB70B3">
        <w:rPr>
          <w:rFonts w:ascii="Times New Roman" w:eastAsia="Times New Roman" w:hAnsi="Times New Roman"/>
          <w:color w:val="000000"/>
          <w:sz w:val="16"/>
          <w:szCs w:val="16"/>
          <w:vertAlign w:val="superscript"/>
        </w:rPr>
        <w:fldChar w:fldCharType="end"/>
      </w:r>
    </w:p>
    <w:p w:rsidR="00EB70B3" w:rsidRPr="00EB70B3" w:rsidRDefault="00EB70B3" w:rsidP="00EB70B3">
      <w:pPr>
        <w:tabs>
          <w:tab w:val="left" w:pos="0"/>
        </w:tabs>
        <w:spacing w:before="120" w:after="120" w:line="240" w:lineRule="auto"/>
        <w:jc w:val="both"/>
        <w:rPr>
          <w:rFonts w:ascii="Times New Roman" w:eastAsia="Times New Roman" w:hAnsi="Times New Roman"/>
          <w:color w:val="000000"/>
          <w:sz w:val="16"/>
          <w:szCs w:val="16"/>
        </w:rPr>
      </w:pPr>
      <w:r w:rsidRPr="00EB70B3">
        <w:rPr>
          <w:rFonts w:ascii="Times New Roman" w:hAnsi="Times New Roman"/>
          <w:sz w:val="16"/>
          <w:szCs w:val="16"/>
        </w:rPr>
        <w:t xml:space="preserve">In the present study, eight thalassemia patients presented with anemia and thrombocytopenia. Mutations affecting the key erythroid transcription factor GATA-1 can cause </w:t>
      </w:r>
      <w:r w:rsidRPr="00EB70B3">
        <w:rPr>
          <w:rFonts w:ascii="Times New Roman" w:eastAsia="Times New Roman" w:hAnsi="Times New Roman"/>
          <w:color w:val="000000"/>
          <w:sz w:val="16"/>
          <w:szCs w:val="16"/>
        </w:rPr>
        <w:t>β thalassemia and thrombocytopenia. Hypersplenism can also cause associated leucopenia or thrombocytopenia.</w:t>
      </w:r>
      <w:r w:rsidR="00DA3B95" w:rsidRPr="00EB70B3">
        <w:rPr>
          <w:rFonts w:ascii="Times New Roman" w:eastAsia="Times New Roman" w:hAnsi="Times New Roman"/>
          <w:color w:val="000000"/>
          <w:sz w:val="16"/>
          <w:szCs w:val="16"/>
          <w:vertAlign w:val="superscript"/>
        </w:rPr>
        <w:fldChar w:fldCharType="begin"/>
      </w:r>
      <w:r w:rsidRPr="00EB70B3">
        <w:rPr>
          <w:rFonts w:ascii="Times New Roman" w:eastAsia="Times New Roman" w:hAnsi="Times New Roman"/>
          <w:color w:val="000000"/>
          <w:sz w:val="16"/>
          <w:szCs w:val="16"/>
          <w:vertAlign w:val="superscript"/>
        </w:rPr>
        <w:instrText xml:space="preserve"> ADDIN EN.CITE &lt;EndNote&gt;&lt;Cite&gt;&lt;Author&gt;Caterina Borgna-Pignatti&lt;/Author&gt;&lt;Year&gt;2009&lt;/Year&gt;&lt;RecNum&gt;83&lt;/RecNum&gt;&lt;DisplayText&gt;(14)&lt;/DisplayText&gt;&lt;record&gt;&lt;rec-number&gt;83&lt;/rec-number&gt;&lt;foreign-keys&gt;&lt;key app="EN" db-id="9ppaf9et390faresp52p22aveawx9ew2swv5"&gt;83&lt;/key&gt;&lt;/foreign-keys&gt;&lt;ref-type name="Book Section"&gt;5&lt;/ref-type&gt;&lt;contributors&gt;&lt;authors&gt;&lt;author&gt;Caterina Borgna-Pignatti&lt;/author&gt;&lt;author&gt;Renzo Galanello&lt;/author&gt;&lt;/authors&gt;&lt;secondary-authors&gt;&lt;author&gt;John P. Greer&lt;/author&gt;&lt;author&gt;John Foerster&lt;/author&gt;&lt;author&gt;George M. Rodgers&lt;/author&gt;&lt;author&gt;Frixos Paraskevas&lt;/author&gt;&lt;author&gt;Bertil Glader&lt;/author&gt;&lt;author&gt;Daniel A. Arber &lt;/author&gt;&lt;author&gt;Robert T. Means&lt;/author&gt;&lt;/secondary-authors&gt;&lt;/contributors&gt;&lt;titles&gt;&lt;title&gt;Thalassemias and Related Disorders: Quantitative Disorders of Hemoglobin Synthesis&lt;/title&gt;&lt;secondary-title&gt;Wintrobe&amp;apos;s Clinical Hematology&lt;/secondary-title&gt;&lt;/titles&gt;&lt;pages&gt;1084-1131&lt;/pages&gt;&lt;num-vols&gt;2&lt;/num-vols&gt;&lt;section&gt;48&lt;/section&gt;&lt;dates&gt;&lt;year&gt;2009&lt;/year&gt;&lt;/dates&gt;&lt;pub-location&gt;Philadelphia&lt;/pub-location&gt;&lt;publisher&gt;Lippincott Williams &amp;amp; Wilkins&lt;/publisher&gt;&lt;urls&gt;&lt;/urls&gt;&lt;/record&gt;&lt;/Cite&gt;&lt;/EndNote&gt;</w:instrText>
      </w:r>
      <w:r w:rsidR="00DA3B95" w:rsidRPr="00EB70B3">
        <w:rPr>
          <w:rFonts w:ascii="Times New Roman" w:eastAsia="Times New Roman" w:hAnsi="Times New Roman"/>
          <w:color w:val="000000"/>
          <w:sz w:val="16"/>
          <w:szCs w:val="16"/>
          <w:vertAlign w:val="superscript"/>
        </w:rPr>
        <w:fldChar w:fldCharType="separate"/>
      </w:r>
      <w:r w:rsidRPr="00EB70B3">
        <w:rPr>
          <w:rFonts w:ascii="Times New Roman" w:eastAsia="Times New Roman" w:hAnsi="Times New Roman"/>
          <w:noProof/>
          <w:color w:val="000000"/>
          <w:sz w:val="16"/>
          <w:szCs w:val="16"/>
          <w:vertAlign w:val="superscript"/>
        </w:rPr>
        <w:t>(14)</w:t>
      </w:r>
      <w:r w:rsidR="00DA3B95" w:rsidRPr="00EB70B3">
        <w:rPr>
          <w:rFonts w:ascii="Times New Roman" w:eastAsia="Times New Roman" w:hAnsi="Times New Roman"/>
          <w:color w:val="000000"/>
          <w:sz w:val="16"/>
          <w:szCs w:val="16"/>
          <w:vertAlign w:val="superscript"/>
        </w:rPr>
        <w:fldChar w:fldCharType="end"/>
      </w:r>
      <w:r w:rsidRPr="00EB70B3">
        <w:rPr>
          <w:rFonts w:ascii="Times New Roman" w:eastAsia="Times New Roman" w:hAnsi="Times New Roman"/>
          <w:color w:val="000000"/>
          <w:sz w:val="16"/>
          <w:szCs w:val="16"/>
        </w:rPr>
        <w:t>In addition, combined iron chelation therapy may lead to neutropenia or thrombocytopenia as a side effect.</w:t>
      </w:r>
      <w:r w:rsidR="00DA3B95" w:rsidRPr="00EB70B3">
        <w:rPr>
          <w:rFonts w:ascii="Times New Roman" w:eastAsia="Times New Roman" w:hAnsi="Times New Roman"/>
          <w:color w:val="000000"/>
          <w:sz w:val="16"/>
          <w:szCs w:val="16"/>
          <w:vertAlign w:val="superscript"/>
        </w:rPr>
        <w:fldChar w:fldCharType="begin"/>
      </w:r>
      <w:r w:rsidRPr="00EB70B3">
        <w:rPr>
          <w:rFonts w:ascii="Times New Roman" w:eastAsia="Times New Roman" w:hAnsi="Times New Roman"/>
          <w:color w:val="000000"/>
          <w:sz w:val="16"/>
          <w:szCs w:val="16"/>
          <w:vertAlign w:val="superscript"/>
        </w:rPr>
        <w:instrText xml:space="preserve"> ADDIN EN.CITE &lt;EndNote&gt;&lt;Cite&gt;&lt;Author&gt;Songdej&lt;/Author&gt;&lt;Year&gt;2015&lt;/Year&gt;&lt;RecNum&gt;84&lt;/RecNum&gt;&lt;DisplayText&gt;(15)&lt;/DisplayText&gt;&lt;record&gt;&lt;rec-number&gt;84&lt;/rec-number&gt;&lt;foreign-keys&gt;&lt;key app="EN" db-id="9ppaf9et390faresp52p22aveawx9ew2swv5"&gt;84&lt;/key&gt;&lt;/foreign-keys&gt;&lt;ref-type name="Journal Article"&gt;17&lt;/ref-type&gt;&lt;contributors&gt;&lt;authors&gt;&lt;author&gt;D Songdej&lt;/author&gt;&lt;author&gt;N Sirachainan&lt;/author&gt;&lt;author&gt;P Wongwerawattanakoon&lt;/author&gt;&lt;author&gt;W Sasanakul&lt;/author&gt;&lt;author&gt;P Kadegasem&lt;/author&gt;&lt;author&gt;W Sungkarat&lt;/author&gt;&lt;author&gt;A Chuansumrit &lt;/author&gt;&lt;/authors&gt;&lt;/contributors&gt;&lt;titles&gt;&lt;title&gt;&lt;style face="normal" font="default" size="100%"&gt;Combined Chelation Therapy with Daily Oral Deferiprone and Twice-Weekly Subcutaneous Infusion of Desferrioxamine in Children with &lt;/style&gt;&lt;style face="normal" font="default" charset="161" size="100%"&gt;β-Thalassemia: 3-Year Experience&lt;/style&gt;&lt;/title&gt;&lt;secondary-title&gt;Acta Haematol&lt;/secondary-title&gt;&lt;/titles&gt;&lt;periodical&gt;&lt;full-title&gt;Acta Haematol&lt;/full-title&gt;&lt;/periodical&gt;&lt;pages&gt;226-236&lt;/pages&gt;&lt;volume&gt;133&lt;/volume&gt;&lt;dates&gt;&lt;year&gt;2015&lt;/year&gt;&lt;/dates&gt;&lt;urls&gt;&lt;/urls&gt;&lt;/record&gt;&lt;/Cite&gt;&lt;/EndNote&gt;</w:instrText>
      </w:r>
      <w:r w:rsidR="00DA3B95" w:rsidRPr="00EB70B3">
        <w:rPr>
          <w:rFonts w:ascii="Times New Roman" w:eastAsia="Times New Roman" w:hAnsi="Times New Roman"/>
          <w:color w:val="000000"/>
          <w:sz w:val="16"/>
          <w:szCs w:val="16"/>
          <w:vertAlign w:val="superscript"/>
        </w:rPr>
        <w:fldChar w:fldCharType="separate"/>
      </w:r>
      <w:r w:rsidRPr="00EB70B3">
        <w:rPr>
          <w:rFonts w:ascii="Times New Roman" w:eastAsia="Times New Roman" w:hAnsi="Times New Roman"/>
          <w:noProof/>
          <w:color w:val="000000"/>
          <w:sz w:val="16"/>
          <w:szCs w:val="16"/>
          <w:vertAlign w:val="superscript"/>
        </w:rPr>
        <w:t>(15)</w:t>
      </w:r>
      <w:r w:rsidR="00DA3B95" w:rsidRPr="00EB70B3">
        <w:rPr>
          <w:rFonts w:ascii="Times New Roman" w:eastAsia="Times New Roman" w:hAnsi="Times New Roman"/>
          <w:color w:val="000000"/>
          <w:sz w:val="16"/>
          <w:szCs w:val="16"/>
          <w:vertAlign w:val="superscript"/>
        </w:rPr>
        <w:fldChar w:fldCharType="end"/>
      </w:r>
    </w:p>
    <w:p w:rsidR="00EB70B3" w:rsidRPr="00EB70B3" w:rsidRDefault="00EB70B3" w:rsidP="00EB70B3">
      <w:pPr>
        <w:tabs>
          <w:tab w:val="left" w:pos="0"/>
        </w:tabs>
        <w:spacing w:before="120" w:after="120" w:line="240" w:lineRule="auto"/>
        <w:jc w:val="both"/>
        <w:rPr>
          <w:rFonts w:ascii="Times New Roman" w:hAnsi="Times New Roman"/>
          <w:noProof/>
          <w:sz w:val="16"/>
          <w:szCs w:val="16"/>
        </w:rPr>
      </w:pPr>
      <w:r w:rsidRPr="00EB70B3">
        <w:rPr>
          <w:rFonts w:ascii="Times New Roman" w:eastAsia="Times New Roman" w:hAnsi="Times New Roman"/>
          <w:color w:val="000000"/>
          <w:sz w:val="16"/>
          <w:szCs w:val="16"/>
        </w:rPr>
        <w:t xml:space="preserve">In the present study, thirteen preterm low birth weight (LBW) neonates presented with anemia and thrombocytopenia. No study in literature mentioned bicytopenia presentation in neonates. </w:t>
      </w:r>
      <w:r w:rsidRPr="00EB70B3">
        <w:rPr>
          <w:rFonts w:ascii="Times New Roman" w:hAnsi="Times New Roman"/>
          <w:sz w:val="16"/>
          <w:szCs w:val="16"/>
        </w:rPr>
        <w:t xml:space="preserve">However, a study by Charoo et al </w:t>
      </w:r>
      <w:r w:rsidRPr="00EB70B3">
        <w:rPr>
          <w:rFonts w:ascii="Times New Roman" w:hAnsi="Times New Roman"/>
          <w:noProof/>
          <w:sz w:val="16"/>
          <w:szCs w:val="16"/>
        </w:rPr>
        <w:t>highlights that the incidence of thrombocytopenia was highest in preterm babies and low birth weight babies.</w:t>
      </w:r>
      <w:r w:rsidR="00DA3B95" w:rsidRPr="00EB70B3">
        <w:rPr>
          <w:rFonts w:ascii="Times New Roman" w:hAnsi="Times New Roman"/>
          <w:noProof/>
          <w:sz w:val="16"/>
          <w:szCs w:val="16"/>
          <w:vertAlign w:val="superscript"/>
        </w:rPr>
        <w:fldChar w:fldCharType="begin"/>
      </w:r>
      <w:r w:rsidRPr="00EB70B3">
        <w:rPr>
          <w:rFonts w:ascii="Times New Roman" w:hAnsi="Times New Roman"/>
          <w:noProof/>
          <w:sz w:val="16"/>
          <w:szCs w:val="16"/>
          <w:vertAlign w:val="superscript"/>
        </w:rPr>
        <w:instrText xml:space="preserve"> ADDIN EN.CITE &lt;EndNote&gt;&lt;Cite&gt;&lt;Author&gt;Charoo&lt;/Author&gt;&lt;Year&gt;2008&lt;/Year&gt;&lt;RecNum&gt;29&lt;/RecNum&gt;&lt;DisplayText&gt;(16)&lt;/DisplayText&gt;&lt;record&gt;&lt;rec-number&gt;29&lt;/rec-number&gt;&lt;foreign-keys&gt;&lt;key app="EN" db-id="9ppaf9et390faresp52p22aveawx9ew2swv5"&gt;29&lt;/key&gt;&lt;/foreign-keys&gt;&lt;ref-type name="Journal Article"&gt;17&lt;/ref-type&gt;&lt;contributors&gt;&lt;authors&gt;&lt;author&gt;BA Charoo&lt;/author&gt;&lt;author&gt;JI Iqbal&lt;/author&gt;&lt;author&gt;Q Iqbal&lt;/author&gt;&lt;author&gt;S Mushtaq&lt;/author&gt;&lt;author&gt;AW Bhat&lt;/author&gt;&lt;author&gt;I Nawaz&lt;/author&gt;&lt;/authors&gt;&lt;/contributors&gt;&lt;titles&gt;&lt;title&gt;Nosocomial sepsis-induced late onset thrombocytopenia in a neonatal tertiary care unit: a prospective study&lt;/title&gt;&lt;secondary-title&gt;An Pediatr (Barc)&lt;/secondary-title&gt;&lt;/titles&gt;&lt;pages&gt;533-43&lt;/pages&gt;&lt;volume&gt;69&lt;/volume&gt;&lt;number&gt;6&lt;/number&gt;&lt;dates&gt;&lt;year&gt;2008&lt;/year&gt;&lt;/dates&gt;&lt;urls&gt;&lt;/urls&gt;&lt;/record&gt;&lt;/Cite&gt;&lt;/EndNote&gt;</w:instrText>
      </w:r>
      <w:r w:rsidR="00DA3B95" w:rsidRPr="00EB70B3">
        <w:rPr>
          <w:rFonts w:ascii="Times New Roman" w:hAnsi="Times New Roman"/>
          <w:noProof/>
          <w:sz w:val="16"/>
          <w:szCs w:val="16"/>
          <w:vertAlign w:val="superscript"/>
        </w:rPr>
        <w:fldChar w:fldCharType="separate"/>
      </w:r>
      <w:r w:rsidRPr="00EB70B3">
        <w:rPr>
          <w:rFonts w:ascii="Times New Roman" w:hAnsi="Times New Roman"/>
          <w:noProof/>
          <w:sz w:val="16"/>
          <w:szCs w:val="16"/>
          <w:vertAlign w:val="superscript"/>
        </w:rPr>
        <w:t>(16)</w:t>
      </w:r>
      <w:r w:rsidR="00DA3B95" w:rsidRPr="00EB70B3">
        <w:rPr>
          <w:rFonts w:ascii="Times New Roman" w:hAnsi="Times New Roman"/>
          <w:noProof/>
          <w:sz w:val="16"/>
          <w:szCs w:val="16"/>
          <w:vertAlign w:val="superscript"/>
        </w:rPr>
        <w:fldChar w:fldCharType="end"/>
      </w:r>
      <w:r w:rsidRPr="00EB70B3">
        <w:rPr>
          <w:rFonts w:ascii="Times New Roman" w:hAnsi="Times New Roman"/>
          <w:noProof/>
          <w:sz w:val="16"/>
          <w:szCs w:val="16"/>
        </w:rPr>
        <w:t xml:space="preserve"> The accompanying anemia could be due to maternal anemia which is known to cause LBW and prematurity.</w:t>
      </w:r>
      <w:r w:rsidR="00DA3B95" w:rsidRPr="00EB70B3">
        <w:rPr>
          <w:rFonts w:ascii="Times New Roman" w:hAnsi="Times New Roman"/>
          <w:noProof/>
          <w:sz w:val="16"/>
          <w:szCs w:val="16"/>
          <w:vertAlign w:val="superscript"/>
        </w:rPr>
        <w:fldChar w:fldCharType="begin"/>
      </w:r>
      <w:r w:rsidRPr="00EB70B3">
        <w:rPr>
          <w:rFonts w:ascii="Times New Roman" w:hAnsi="Times New Roman"/>
          <w:noProof/>
          <w:sz w:val="16"/>
          <w:szCs w:val="16"/>
          <w:vertAlign w:val="superscript"/>
        </w:rPr>
        <w:instrText xml:space="preserve"> ADDIN EN.CITE &lt;EndNote&gt;&lt;Cite&gt;&lt;Author&gt;S. Sifakis&lt;/Author&gt;&lt;Year&gt;2000&lt;/Year&gt;&lt;RecNum&gt;52&lt;/RecNum&gt;&lt;DisplayText&gt;(17)&lt;/DisplayText&gt;&lt;record&gt;&lt;rec-number&gt;52&lt;/rec-number&gt;&lt;foreign-keys&gt;&lt;key app="EN" db-id="9ppaf9et390faresp52p22aveawx9ew2swv5"&gt;52&lt;/key&gt;&lt;/foreign-keys&gt;&lt;ref-type name="Journal Article"&gt;17&lt;/ref-type&gt;&lt;contributors&gt;&lt;authors&gt;&lt;author&gt;&lt;style face="normal" font="Times New Roman" size="100%"&gt;S. Sifakis&lt;/style&gt;&lt;/author&gt;&lt;author&gt;&lt;style face="normal" font="Times New Roman" size="100%"&gt;G. Pharmakides&lt;/style&gt;&lt;/author&gt;&lt;/authors&gt;&lt;/contributors&gt;&lt;titles&gt;&lt;title&gt;Anemia in Pregnancy&lt;/title&gt;&lt;secondary-title&gt;Annals of the New York Academy of Sciences&lt;/secondary-title&gt;&lt;/titles&gt;&lt;periodical&gt;&lt;full-title&gt;Annals of the New York Academy of Sciences&lt;/full-title&gt;&lt;/periodical&gt;&lt;pages&gt;125-136&lt;/pages&gt;&lt;volume&gt;900&lt;/volume&gt;&lt;dates&gt;&lt;year&gt;2000&lt;/year&gt;&lt;pub-dates&gt;&lt;date&gt;25 jan&lt;/date&gt;&lt;/pub-dates&gt;&lt;/dates&gt;&lt;urls&gt;&lt;/urls&gt;&lt;/record&gt;&lt;/Cite&gt;&lt;/EndNote&gt;</w:instrText>
      </w:r>
      <w:r w:rsidR="00DA3B95" w:rsidRPr="00EB70B3">
        <w:rPr>
          <w:rFonts w:ascii="Times New Roman" w:hAnsi="Times New Roman"/>
          <w:noProof/>
          <w:sz w:val="16"/>
          <w:szCs w:val="16"/>
          <w:vertAlign w:val="superscript"/>
        </w:rPr>
        <w:fldChar w:fldCharType="separate"/>
      </w:r>
      <w:r w:rsidRPr="00EB70B3">
        <w:rPr>
          <w:rFonts w:ascii="Times New Roman" w:hAnsi="Times New Roman"/>
          <w:noProof/>
          <w:sz w:val="16"/>
          <w:szCs w:val="16"/>
          <w:vertAlign w:val="superscript"/>
        </w:rPr>
        <w:t>(17)</w:t>
      </w:r>
      <w:r w:rsidR="00DA3B95" w:rsidRPr="00EB70B3">
        <w:rPr>
          <w:rFonts w:ascii="Times New Roman" w:hAnsi="Times New Roman"/>
          <w:noProof/>
          <w:sz w:val="16"/>
          <w:szCs w:val="16"/>
          <w:vertAlign w:val="superscript"/>
        </w:rPr>
        <w:fldChar w:fldCharType="end"/>
      </w:r>
      <w:r w:rsidRPr="00EB70B3">
        <w:rPr>
          <w:rFonts w:ascii="Times New Roman" w:hAnsi="Times New Roman"/>
          <w:noProof/>
          <w:sz w:val="16"/>
          <w:szCs w:val="16"/>
        </w:rPr>
        <w:t>In addition, anemia of pregnancy is quite common in our country.</w:t>
      </w:r>
    </w:p>
    <w:p w:rsidR="00EB70B3" w:rsidRPr="00EB70B3" w:rsidRDefault="00EB70B3" w:rsidP="00EB70B3">
      <w:pPr>
        <w:spacing w:before="120" w:after="120" w:line="240" w:lineRule="auto"/>
        <w:jc w:val="both"/>
        <w:rPr>
          <w:rFonts w:ascii="Times New Roman" w:eastAsia="Times New Roman" w:hAnsi="Times New Roman"/>
          <w:sz w:val="16"/>
          <w:szCs w:val="16"/>
        </w:rPr>
      </w:pPr>
      <w:r w:rsidRPr="00EB70B3">
        <w:rPr>
          <w:rFonts w:ascii="Times New Roman" w:hAnsi="Times New Roman"/>
          <w:sz w:val="16"/>
          <w:szCs w:val="16"/>
        </w:rPr>
        <w:t>A few interesting cases with non-malignant etiology emerged in the present study. One patient who presented with bicytopenia was diagnosed to have primary myelofibrosis after bone marrow examination. No such case could be found in literature.</w:t>
      </w:r>
      <w:r w:rsidRPr="00EB70B3">
        <w:rPr>
          <w:rFonts w:ascii="Times New Roman" w:eastAsia="Times New Roman" w:hAnsi="Times New Roman"/>
          <w:sz w:val="16"/>
          <w:szCs w:val="16"/>
        </w:rPr>
        <w:t>Myelofibrosis is characterized by excess collagen deposition in the marrow, tear drop cells, leucoerythroblastic blood picture and abnormally large platelets on peripheral smear.</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&lt;EndNote&gt;&lt;Cite&gt;&lt;Author&gt;Tefferi&lt;/Author&gt;&lt;Year&gt;2009&lt;/Year&gt;&lt;RecNum&gt;44&lt;/RecNum&gt;&lt;DisplayText&gt;(18)&lt;/DisplayText&gt;&lt;record&gt;&lt;rec-number&gt;44&lt;/rec-number&gt;&lt;foreign-keys&gt;&lt;key app="EN" db-id="9ppaf9et390faresp52p22aveawx9ew2swv5"&gt;44&lt;/key&gt;&lt;/foreign-keys&gt;&lt;ref-type name="Book Section"&gt;5&lt;/ref-type&gt;&lt;contributors&gt;&lt;authors&gt;&lt;author&gt;Ayalew Tefferi&lt;/author&gt;&lt;/authors&gt;&lt;secondary-authors&gt;&lt;author&gt;John P. Greer&lt;/author&gt;&lt;author&gt;John Foerster&lt;/author&gt;&lt;author&gt;George M. Rodgers&lt;/author&gt;&lt;author&gt;Frixos Paraskevas&lt;/author&gt;&lt;author&gt;Bertil Glader&lt;/author&gt;&lt;author&gt;Daniel A. Arber &lt;/author&gt;&lt;author&gt;Robert T. Means&lt;/author&gt;&lt;/secondary-authors&gt;&lt;/contributors&gt;&lt;titles&gt;&lt;title&gt;Primary Myelofibrosis&lt;/title&gt;&lt;secondary-title&gt;Wintrobe&amp;apos;s Clinical Hematology&lt;/secondary-title&gt;&lt;/titles&gt;&lt;pages&gt;4505-32&lt;/pages&gt;&lt;volume&gt;2&lt;/volume&gt;&lt;num-vols&gt;2&lt;/num-vols&gt;&lt;section&gt;87&lt;/section&gt;&lt;dates&gt;&lt;year&gt;2009&lt;/year&gt;&lt;/dates&gt;&lt;pub-location&gt;Philadelphia&lt;/pub-location&gt;&lt;publisher&gt;Lippincott Williams &amp;amp; Wilkins Publishers&lt;/publisher&gt;&lt;urls&gt;&lt;/urls&gt;&lt;/record&gt;&lt;/Cite&gt;&lt;/EndNote&gt;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(18)</w:t>
      </w:r>
      <w:r w:rsidR="00DA3B95" w:rsidRPr="00EB70B3">
        <w:rPr>
          <w:rFonts w:ascii="Times New Roman" w:eastAsia="Times New Roman" w:hAnsi="Times New Roman"/>
          <w:sz w:val="16"/>
          <w:szCs w:val="16"/>
          <w:vertAlign w:val="superscript"/>
        </w:rPr>
        <w:fldChar w:fldCharType="end"/>
      </w:r>
      <w:r w:rsidRPr="00EB70B3">
        <w:rPr>
          <w:rFonts w:ascii="Times New Roman" w:eastAsia="Times New Roman" w:hAnsi="Times New Roman"/>
          <w:sz w:val="16"/>
          <w:szCs w:val="16"/>
        </w:rPr>
        <w:t>Almost 60% of the patients present with anemia (Hb&lt; 10g/dl), 10-50% have leucopenia and 50% have thrombocytosis. Thrombocytopenia is encountered with disease progression.</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&lt;EndNote&gt;&lt;Cite&gt;&lt;Author&gt;Tefferi&lt;/Author&gt;&lt;Year&gt;2009&lt;/Year&gt;&lt;RecNum&gt;44&lt;/RecNum&gt;&lt;DisplayText&gt;(18)&lt;/DisplayText&gt;&lt;record&gt;&lt;rec-number&gt;44&lt;/rec-number&gt;&lt;foreign-keys&gt;&lt;key app="EN" db-id="9ppaf9et390faresp52p22aveawx9ew2swv5"&gt;44&lt;/key&gt;&lt;/foreign-keys&gt;&lt;ref-type name="Book Section"&gt;5&lt;/ref-type&gt;&lt;contributors&gt;&lt;authors&gt;&lt;author&gt;Ayalew Tefferi&lt;/author&gt;&lt;/authors&gt;&lt;secondary-authors&gt;&lt;author&gt;John P. Greer&lt;/author&gt;&lt;author&gt;John Foerster&lt;/author&gt;&lt;author&gt;George M. Rodgers&lt;/author&gt;&lt;author&gt;Frixos Paraskevas&lt;/author&gt;&lt;author&gt;Bertil Glader&lt;/author&gt;&lt;author&gt;Daniel A. Arber &lt;/author&gt;&lt;author&gt;Robert T. Means&lt;/author&gt;&lt;/secondary-authors&gt;&lt;/contributors&gt;&lt;titles&gt;&lt;title&gt;Primary Myelofibrosis&lt;/title&gt;&lt;secondary-title&gt;Wintrobe&amp;apos;s Clinical Hematology&lt;/secondary-title&gt;&lt;/titles&gt;&lt;pages&gt;4505-32&lt;/pages&gt;&lt;volume&gt;2&lt;/volume&gt;&lt;num-vols&gt;2&lt;/num-vols&gt;&lt;section&gt;87&lt;/section&gt;&lt;dates&gt;&lt;year&gt;2009&lt;/year&gt;&lt;/dates&gt;&lt;pub-location&gt;Philadelphia&lt;/pub-location&gt;&lt;publisher&gt;Lippincott Williams &amp;amp; Wilkins Publishers&lt;/publisher&gt;&lt;urls&gt;&lt;/urls&gt;&lt;/record&gt;&lt;/Cite&gt;&lt;/EndNote&gt;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(18)</w:t>
      </w:r>
      <w:r w:rsidR="00DA3B95" w:rsidRPr="00EB70B3">
        <w:rPr>
          <w:rFonts w:ascii="Times New Roman" w:eastAsia="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eastAsia="Times New Roman" w:hAnsi="Times New Roman"/>
          <w:sz w:val="16"/>
          <w:szCs w:val="16"/>
          <w:vertAlign w:val="superscript"/>
        </w:rPr>
      </w:pPr>
      <w:r w:rsidRPr="00EB70B3">
        <w:rPr>
          <w:rFonts w:ascii="Times New Roman" w:eastAsia="Times New Roman" w:hAnsi="Times New Roman"/>
          <w:sz w:val="16"/>
          <w:szCs w:val="16"/>
        </w:rPr>
        <w:t>We observed a case of a 3.5 year old child with Gaucher disease. His blood counts indicated bicytopenia with anemia and thrombocytopenia, which was confirmed on peripheral smear. Other studies by Binesh et al and Kaplan P et al also showed an association of Gaucher disease with anemia and thrombocytopenia.</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&lt;EndNote&gt;&lt;Cite&gt;&lt;Author&gt;Paige Kaplan&lt;/Author&gt;&lt;Year&gt;2006&lt;/Year&gt;&lt;RecNum&gt;79&lt;/RecNum&gt;&lt;DisplayText&gt;(19, 20)&lt;/DisplayText&gt;&lt;record&gt;&lt;rec-number&gt;79&lt;/rec-number&gt;&lt;foreign-keys&gt;&lt;key app="EN" db-id="9ppaf9et390faresp52p22aveawx9ew2swv5"&gt;79&lt;/key&gt;&lt;/foreign-keys&gt;&lt;ref-type name="Journal Article"&gt;17&lt;/ref-type&gt;&lt;contributors&gt;&lt;authors&gt;&lt;author&gt;Paige Kaplan&lt;/author&gt;&lt;author&gt;Hans C. Andersson&lt;/author&gt;&lt;author&gt;Katherine A. Kacena&lt;/author&gt;&lt;author&gt;John D. Yee&lt;/author&gt;&lt;/authors&gt;&lt;/contributors&gt;&lt;titles&gt;&lt;title&gt;The Clinical and Demographic Characteristics of Nonneuronopathic Gaucher Disease in 887 Children at Diagnosis&lt;/title&gt;&lt;secondary-title&gt;Arch Pediatr Adolesc Med&lt;/secondary-title&gt;&lt;/titles&gt;&lt;periodical&gt;&lt;full-title&gt;Arch Pediatr Adolesc Med&lt;/full-title&gt;&lt;/periodical&gt;&lt;pages&gt;603-608&lt;/pages&gt;&lt;volume&gt;160&lt;/volume&gt;&lt;number&gt;6&lt;/number&gt;&lt;dates&gt;&lt;year&gt;2006&lt;/year&gt;&lt;/dates&gt;&lt;urls&gt;&lt;/urls&gt;&lt;/record&gt;&lt;/Cite&gt;&lt;Cite&gt;&lt;Author&gt;F Binesh&lt;/Author&gt;&lt;Year&gt;2013&lt;/Year&gt;&lt;RecNum&gt;78&lt;/RecNum&gt;&lt;record&gt;&lt;rec-number&gt;78&lt;/rec-number&gt;&lt;foreign-keys&gt;&lt;key app="EN" db-id="9ppaf9et390faresp52p22aveawx9ew2swv5"&gt;78&lt;/key&gt;&lt;/foreign-keys&gt;&lt;ref-type name="Journal Article"&gt;17&lt;/ref-type&gt;&lt;contributors&gt;&lt;authors&gt;&lt;author&gt;F Binesh&lt;/author&gt;&lt;author&gt;A Yousefi&lt;/author&gt;&lt;author&gt;M Ordooei&lt;/author&gt;&lt;author&gt;MA Bagherinasab&lt;/author&gt;&lt;/authors&gt;&lt;/contributors&gt;&lt;titles&gt;&lt;title&gt;Gaucher’s Disease, an Unusual Cause of Massive Splenomegaly, a Case Report&lt;/title&gt;&lt;secondary-title&gt;Iran J Ped Hematol Oncol&lt;/secondary-title&gt;&lt;/titles&gt;&lt;periodical&gt;&lt;full-title&gt;Iran J Ped Hematol Oncol&lt;/full-title&gt;&lt;/periodical&gt;&lt;pages&gt;173-175&lt;/pages&gt;&lt;volume&gt;3&lt;/volume&gt;&lt;number&gt;4&lt;/number&gt;&lt;edition&gt;Oct 22&lt;/edition&gt;&lt;dates&gt;&lt;year&gt;2013&lt;/year&gt;&lt;/dates&gt;&lt;urls&gt;&lt;/urls&gt;&lt;/record&gt;&lt;/Cite&gt;&lt;/EndNote&gt;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(19, 20)</w:t>
      </w:r>
      <w:r w:rsidR="00DA3B95" w:rsidRPr="00EB70B3">
        <w:rPr>
          <w:rFonts w:ascii="Times New Roman" w:eastAsia="Times New Roman" w:hAnsi="Times New Roman"/>
          <w:sz w:val="16"/>
          <w:szCs w:val="16"/>
          <w:vertAlign w:val="superscript"/>
        </w:rPr>
        <w:fldChar w:fldCharType="end"/>
      </w:r>
      <w:r w:rsidRPr="00EB70B3">
        <w:rPr>
          <w:rFonts w:ascii="Times New Roman" w:eastAsia="Times New Roman" w:hAnsi="Times New Roman"/>
          <w:sz w:val="16"/>
          <w:szCs w:val="16"/>
        </w:rPr>
        <w:t xml:space="preserve"> Anemia with thrombocytopenia is the commonest hematological presentation in patients less than six years of age.</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&lt;EndNote&gt;&lt;Cite&gt;&lt;Author&gt;Paige Kaplan&lt;/Author&gt;&lt;Year&gt;2006&lt;/Year&gt;&lt;RecNum&gt;79&lt;/RecNum&gt;&lt;DisplayText&gt;(19)&lt;/DisplayText&gt;&lt;record&gt;&lt;rec-number&gt;79&lt;/rec-number&gt;&lt;foreign-keys&gt;&lt;key app="EN" db-id="9ppaf9et390faresp52p22aveawx9ew2swv5"&gt;79&lt;/key&gt;&lt;/foreign-keys&gt;&lt;ref-type name="Journal Article"&gt;17&lt;/ref-type&gt;&lt;contributors&gt;&lt;authors&gt;&lt;author&gt;Paige Kaplan&lt;/author&gt;&lt;author&gt;Hans C. Andersson&lt;/author&gt;&lt;author&gt;Katherine A. Kacena&lt;/author&gt;&lt;author&gt;John D. Yee&lt;/author&gt;&lt;/authors&gt;&lt;/contributors&gt;&lt;titles&gt;&lt;title&gt;The Clinical and Demographic Characteristics of Nonneuronopathic Gaucher Disease in 887 Children at Diagnosis&lt;/title&gt;&lt;secondary-title&gt;Arch Pediatr Adolesc Med&lt;/secondary-title&gt;&lt;/titles&gt;&lt;periodical&gt;&lt;full-title&gt;Arch Pediatr Adolesc Med&lt;/full-title&gt;&lt;/periodical&gt;&lt;pages&gt;603-608&lt;/pages&gt;&lt;volume&gt;160&lt;/volume&gt;&lt;number&gt;6&lt;/number&gt;&lt;dates&gt;&lt;year&gt;2006&lt;/year&gt;&lt;/dates&gt;&lt;urls&gt;&lt;/urls&gt;&lt;/record&gt;&lt;/Cite&gt;&lt;/EndNote&gt;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(19)</w:t>
      </w:r>
      <w:r w:rsidR="00DA3B95" w:rsidRPr="00EB70B3">
        <w:rPr>
          <w:rFonts w:ascii="Times New Roman" w:eastAsia="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eastAsia="Times New Roman" w:hAnsi="Times New Roman"/>
          <w:sz w:val="16"/>
          <w:szCs w:val="16"/>
          <w:vertAlign w:val="superscript"/>
        </w:rPr>
      </w:pPr>
      <w:r w:rsidRPr="00EB70B3">
        <w:rPr>
          <w:rFonts w:ascii="Times New Roman" w:eastAsia="Times New Roman" w:hAnsi="Times New Roman"/>
          <w:sz w:val="16"/>
          <w:szCs w:val="16"/>
        </w:rPr>
        <w:t xml:space="preserve">A pregnant female presented with anemia and thrombocytopenia. She was diagnosed with </w:t>
      </w:r>
      <w:r w:rsidRPr="00EB70B3">
        <w:rPr>
          <w:rFonts w:ascii="Times New Roman" w:hAnsi="Times New Roman"/>
          <w:sz w:val="16"/>
          <w:szCs w:val="16"/>
        </w:rPr>
        <w:t>HELLP syndrome</w:t>
      </w:r>
      <w:r w:rsidRPr="00EB70B3">
        <w:rPr>
          <w:rFonts w:ascii="Times New Roman" w:eastAsia="Times New Roman" w:hAnsi="Times New Roman"/>
          <w:sz w:val="16"/>
          <w:szCs w:val="16"/>
        </w:rPr>
        <w:t>. There is an established association of HELLP syndrome with bicytopenia especially anemia with thrombocytopenia. The pathophysiology behind development of bicytopenia in this syndrome is that excessive vasoconstriction due to hypertension (eclampsia /preeclampsia) leads to endothelial damage and RBC fragmentation. Associated thrombocytopenia results from chronic intravascular coagulation syndrome and decrease in platelet life span.</w:t>
      </w:r>
      <w:r w:rsidR="00DA3B95" w:rsidRPr="00EB70B3">
        <w:rPr>
          <w:rFonts w:ascii="Times New Roman" w:eastAsia="Times New Roman" w:hAnsi="Times New Roman"/>
          <w:sz w:val="16"/>
          <w:szCs w:val="16"/>
          <w:vertAlign w:val="superscript"/>
        </w:rPr>
        <w:fldChar w:fldCharType="begin"/>
      </w:r>
      <w:r w:rsidRPr="00EB70B3">
        <w:rPr>
          <w:rFonts w:ascii="Times New Roman" w:eastAsia="Times New Roman" w:hAnsi="Times New Roman"/>
          <w:sz w:val="16"/>
          <w:szCs w:val="16"/>
          <w:vertAlign w:val="superscript"/>
        </w:rPr>
        <w:instrText xml:space="preserve"> ADDIN EN.CITE &lt;EndNote&gt;&lt;Cite&gt;&lt;Author&gt;Means&lt;/Author&gt;&lt;Year&gt;2009&lt;/Year&gt;&lt;RecNum&gt;81&lt;/RecNum&gt;&lt;DisplayText&gt;(21)&lt;/DisplayText&gt;&lt;record&gt;&lt;rec-number&gt;81&lt;/rec-number&gt;&lt;foreign-keys&gt;&lt;key app="EN" db-id="9ppaf9et390faresp52p22aveawx9ew2swv5"&gt;81&lt;/key&gt;&lt;/foreign-keys&gt;&lt;ref-type name="Book Section"&gt;5&lt;/ref-type&gt;&lt;contributors&gt;&lt;authors&gt;&lt;author&gt;&lt;style face="normal" font="Times New Roman" size="100%"&gt;Robert T. Means&lt;/style&gt;&lt;/author&gt;&lt;/authors&gt;&lt;secondary-authors&gt;&lt;author&gt;John P. Greer&lt;/author&gt;&lt;author&gt;John Foerster&lt;/author&gt;&lt;author&gt;George M. Rodgers&lt;/author&gt;&lt;author&gt;Frixos Paraskevas&lt;/author&gt;&lt;author&gt;Bertil Glader&lt;/author&gt;&lt;author&gt;Daniel A. Arber &lt;/author&gt;&lt;author&gt;Robert T. Means&lt;/author&gt;&lt;/secondary-authors&gt;&lt;/contributors&gt;&lt;titles&gt;&lt;title&gt;Anemias During Pregnancy and the Postpartum Period&lt;/title&gt;&lt;secondary-title&gt;Wintrobe&amp;apos;s Clinical Hematology&lt;/secondary-title&gt;&lt;/titles&gt;&lt;pages&gt;1241-1246&lt;/pages&gt;&lt;num-vols&gt;2&lt;/num-vols&gt;&lt;section&gt;46&lt;/section&gt;&lt;dates&gt;&lt;year&gt;2009&lt;/year&gt;&lt;/dates&gt;&lt;pub-location&gt;Philadelphia&lt;/pub-location&gt;&lt;publisher&gt;Lippincott Williams &amp;amp; Wilkins&lt;/publisher&gt;&lt;urls&gt;&lt;/urls&gt;&lt;/record&gt;&lt;/Cite&gt;&lt;/EndNote&gt;</w:instrText>
      </w:r>
      <w:r w:rsidR="00DA3B95" w:rsidRPr="00EB70B3">
        <w:rPr>
          <w:rFonts w:ascii="Times New Roman" w:eastAsia="Times New Roman" w:hAnsi="Times New Roman"/>
          <w:sz w:val="16"/>
          <w:szCs w:val="16"/>
          <w:vertAlign w:val="superscript"/>
        </w:rPr>
        <w:fldChar w:fldCharType="separate"/>
      </w:r>
      <w:r w:rsidRPr="00EB70B3">
        <w:rPr>
          <w:rFonts w:ascii="Times New Roman" w:eastAsia="Times New Roman" w:hAnsi="Times New Roman"/>
          <w:noProof/>
          <w:sz w:val="16"/>
          <w:szCs w:val="16"/>
          <w:vertAlign w:val="superscript"/>
        </w:rPr>
        <w:t>(21)</w:t>
      </w:r>
      <w:r w:rsidR="00DA3B95" w:rsidRPr="00EB70B3">
        <w:rPr>
          <w:rFonts w:ascii="Times New Roman" w:eastAsia="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eastAsia="Times New Roman" w:hAnsi="Times New Roman"/>
          <w:sz w:val="16"/>
          <w:szCs w:val="16"/>
          <w:vertAlign w:val="superscript"/>
        </w:rPr>
      </w:pPr>
    </w:p>
    <w:p w:rsidR="00EB70B3" w:rsidRPr="00EB70B3" w:rsidRDefault="00EB70B3" w:rsidP="00EB70B3">
      <w:pPr>
        <w:tabs>
          <w:tab w:val="left" w:pos="0"/>
        </w:tabs>
        <w:spacing w:before="120" w:after="120" w:line="240" w:lineRule="auto"/>
        <w:jc w:val="both"/>
        <w:rPr>
          <w:rFonts w:ascii="Times New Roman" w:hAnsi="Times New Roman"/>
          <w:b/>
          <w:sz w:val="16"/>
          <w:szCs w:val="16"/>
        </w:rPr>
      </w:pPr>
      <w:r w:rsidRPr="00EB70B3">
        <w:rPr>
          <w:rFonts w:ascii="Times New Roman" w:eastAsia="Times New Roman" w:hAnsi="Times New Roman"/>
          <w:b/>
          <w:color w:val="000000"/>
          <w:sz w:val="16"/>
          <w:szCs w:val="16"/>
        </w:rPr>
        <w:t>Malignant:</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Of the Malignant cases, the most common malignancy was found to be acute myeloid leukemia (4.75%) followed by acute lymphoid leukemia (2.5%). Other malignancies like multiple myeloma (0.5%), chronic lymphoid leukemia (0.75%), Hodgkin’s lymphoma (0.25%), Non- Hodgkin’s lymphoma (0.75%) also presented with bicytopenia. The study done in Chandigarh on </w:t>
      </w:r>
      <w:r w:rsidRPr="00EB70B3">
        <w:rPr>
          <w:rFonts w:ascii="Times New Roman" w:hAnsi="Times New Roman"/>
          <w:sz w:val="16"/>
          <w:szCs w:val="16"/>
        </w:rPr>
        <w:lastRenderedPageBreak/>
        <w:t>bicytopenia/pancytopenia in pediatric population pointed out that the most common etiology was acute leukemia (66.9%)</w:t>
      </w:r>
      <w:r w:rsidRPr="00EB70B3">
        <w:rPr>
          <w:rFonts w:ascii="Times New Roman" w:eastAsia="Times New Roman" w:hAnsi="Times New Roman"/>
          <w:color w:val="000000"/>
          <w:sz w:val="16"/>
          <w:szCs w:val="16"/>
        </w:rPr>
        <w:t xml:space="preserve"> Of the acute leukemias, acute lymphoblastic leukemia (ALL) was the most common, followed by acute myeloid leukemia (AML) which was seen in 41 cases.</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(3)</w:t>
      </w:r>
      <w:r w:rsidR="00DA3B95" w:rsidRPr="00EB70B3">
        <w:rPr>
          <w:rFonts w:ascii="Times New Roman" w:hAnsi="Times New Roman"/>
          <w:sz w:val="16"/>
          <w:szCs w:val="16"/>
          <w:vertAlign w:val="superscript"/>
        </w:rPr>
        <w:fldChar w:fldCharType="end"/>
      </w:r>
      <w:r w:rsidRPr="00EB70B3">
        <w:rPr>
          <w:rFonts w:ascii="Times New Roman" w:hAnsi="Times New Roman"/>
          <w:sz w:val="16"/>
          <w:szCs w:val="16"/>
        </w:rPr>
        <w:t xml:space="preserve"> The occurrence of ALL higher than AML could be because their study was done specifically in pediatric age group and ALL is the most common leukemia in that age group.</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&lt;EndNote&gt;&lt;Cite&gt;&lt;Author&gt;Robert J. Arceci&lt;/Author&gt;&lt;Year&gt;2009&lt;/Year&gt;&lt;RecNum&gt;7&lt;/RecNum&gt;&lt;DisplayText&gt;(8)&lt;/DisplayText&gt;&lt;record&gt;&lt;rec-number&gt;7&lt;/rec-number&gt;&lt;foreign-keys&gt;&lt;key app="EN" db-id="9ppaf9et390faresp52p22aveawx9ew2swv5"&gt;7&lt;/key&gt;&lt;/foreign-keys&gt;&lt;ref-type name="Book Section"&gt;5&lt;/ref-type&gt;&lt;contributors&gt;&lt;authors&gt;&lt;author&gt;Robert J. Arceci&lt;/author&gt;&lt;author&gt;Richard Aplenc&lt;/author&gt;&lt;/authors&gt;&lt;secondary-authors&gt;&lt;author&gt;John P. Greer&lt;/author&gt;&lt;author&gt;John Foerster&lt;/author&gt;&lt;author&gt;George M. Rodgers&lt;/author&gt;&lt;author&gt;Frixos Paraskevas&lt;/author&gt;&lt;author&gt;Bertil Glader&lt;/author&gt;&lt;author&gt;Daniel A. Arber &lt;/author&gt;&lt;author&gt;Robert T. Means&lt;/author&gt;&lt;/secondary-authors&gt;&lt;/contributors&gt;&lt;titles&gt;&lt;title&gt;Acute Myelogenous Leukemia in Children&lt;/title&gt;&lt;secondary-title&gt;Wintrobe&amp;apos;s Clinical Hematology&lt;/secondary-title&gt;&lt;/titles&gt;&lt;pages&gt;1919-1937&lt;/pages&gt;&lt;volume&gt;2&lt;/volume&gt;&lt;num-vols&gt;2&lt;/num-vols&gt;&lt;section&gt;81&lt;/section&gt;&lt;dates&gt;&lt;year&gt;2009&lt;/year&gt;&lt;/dates&gt;&lt;pub-location&gt;Philadelphia&lt;/pub-location&gt;&lt;publisher&gt;Lippincott Williams &amp;amp; Wilkins&lt;/publisher&gt;&lt;urls&gt;&lt;/urls&gt;&lt;/record&gt;&lt;/Cite&gt;&lt;/EndNote&gt;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(8)</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We observed that leukemia at presentation involved hemoglobin and platelet count, whereas leukemic patients on chemotherapy presented with bicytopenia of hemoglobin and total leukocyte count. Naseem et al made similar observations; they attributed this observation to the leukocyte specific targeting of the newer chemotherapy drugs. Also, in leukemia the proliferating leukemic cells suppress the erythrocytic and megakaryocytic lineages.</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(3)</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Two cases of Chronic lymphoid leukemia (CLL) presented with anemia and thrombocytopenia in the present study. Many studies acknowledge the prevalence and prognostic significance of anemia and thrombocytopenia in CLL. The bicytopenia can be attributed to the autoimmune hemolytic anemia and immune thrombocytopenic purpura that are known to be associated with CLL.</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&lt;EndNote&gt;&lt;Cite&gt;&lt;Author&gt;Shvidel&lt;/Author&gt;&lt;Year&gt;2013&lt;/Year&gt;&lt;RecNum&gt;34&lt;/RecNum&gt;&lt;DisplayText&gt;(22)&lt;/DisplayText&gt;&lt;record&gt;&lt;rec-number&gt;34&lt;/rec-number&gt;&lt;foreign-keys&gt;&lt;key app="EN" db-id="9ppaf9et390faresp52p22aveawx9ew2swv5"&gt;34&lt;/key&gt;&lt;/foreign-keys&gt;&lt;ref-type name="Journal Article"&gt;17&lt;/ref-type&gt;&lt;contributors&gt;&lt;authors&gt;&lt;author&gt;L Shvidel&lt;/author&gt;&lt;author&gt;T Tadmor&lt;/author&gt;&lt;author&gt;A Braester&lt;/author&gt;&lt;/authors&gt;&lt;/contributors&gt;&lt;titles&gt;&lt;title&gt;Pathogenesis, prevalence, and prognostic significance of cytopenias in chronic lymphocytic leukemia (CLL): a retrospective comparative study of 213 patients from a national CLL database of 1,518 cases.&lt;/title&gt;&lt;secondary-title&gt;Ann Hematol&lt;/secondary-title&gt;&lt;/titles&gt;&lt;pages&gt;661-7&lt;/pages&gt;&lt;volume&gt;92&lt;/volume&gt;&lt;number&gt;5&lt;/number&gt;&lt;dates&gt;&lt;year&gt;2013&lt;/year&gt;&lt;/dates&gt;&lt;urls&gt;&lt;/urls&gt;&lt;/record&gt;&lt;/Cite&gt;&lt;/EndNote&gt;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(22)</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b/>
          <w:sz w:val="16"/>
          <w:szCs w:val="16"/>
        </w:rPr>
      </w:pPr>
      <w:r w:rsidRPr="00EB70B3">
        <w:rPr>
          <w:rFonts w:ascii="Times New Roman" w:hAnsi="Times New Roman"/>
          <w:b/>
          <w:sz w:val="16"/>
          <w:szCs w:val="16"/>
        </w:rPr>
        <w:t>Infectious:</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We observed that the most common infectious disease causing bicytopenia was dengue fever (49 cases) followed by malaria and tuberculosis (12 cases each), 11 cases were HIV positive. Other infectious diseases in which patients presented with bicytopenia were enteric fever, LRTI, pneumonia, bacterial pleural effusion, UTI, cystitis, pharyngitis, gastroenteritis, pancreatitis, measles, hepatitis, leprosy, mastoiditis, rheumatic heart disease, meningitis, bacterial sepsis and pyrexia of unknown origin(PUO). Few case reports mention bicytopenia in patients serologically positive for dengue virus. The cytopenias are transient and are reversed on treatment of the disease. </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&lt;EndNote&gt;&lt;Cite&gt;&lt;Author&gt;Zoilo Morela&lt;/Author&gt;&lt;Year&gt;2014&lt;/Year&gt;&lt;RecNum&gt;67&lt;/RecNum&gt;&lt;DisplayText&gt;(23, 24)&lt;/DisplayText&gt;&lt;record&gt;&lt;rec-number&gt;67&lt;/rec-number&gt;&lt;foreign-keys&gt;&lt;key app="EN" db-id="9ppaf9et390faresp52p22aveawx9ew2swv5"&gt;67&lt;/key&gt;&lt;/foreign-keys&gt;&lt;ref-type name="Journal Article"&gt;17&lt;/ref-type&gt;&lt;contributors&gt;&lt;authors&gt;&lt;author&gt;Zoilo Morela&lt;/author&gt;&lt;author&gt;Andrea Ramírez&lt;/author&gt;&lt;/authors&gt;&lt;/contributors&gt;&lt;titles&gt;&lt;title&gt;Autoimmune Response in Children With Dengue. Case Reports&lt;/title&gt;&lt;secondary-title&gt;Reumatol Clin&lt;/secondary-title&gt;&lt;/titles&gt;&lt;periodical&gt;&lt;full-title&gt;Reumatol Clin&lt;/full-title&gt;&lt;/periodical&gt;&lt;pages&gt;257-9&lt;/pages&gt;&lt;volume&gt;10&lt;/volume&gt;&lt;number&gt;4&lt;/number&gt;&lt;dates&gt;&lt;year&gt;2014&lt;/year&gt;&lt;/dates&gt;&lt;urls&gt;&lt;/urls&gt;&lt;/record&gt;&lt;/Cite&gt;&lt;Cite&gt;&lt;Author&gt;Garg&lt;/Author&gt;&lt;Year&gt;2007&lt;/Year&gt;&lt;RecNum&gt;66&lt;/RecNum&gt;&lt;record&gt;&lt;rec-number&gt;66&lt;/rec-number&gt;&lt;foreign-keys&gt;&lt;key app="EN" db-id="9ppaf9et390faresp52p22aveawx9ew2swv5"&gt;66&lt;/key&gt;&lt;/foreign-keys&gt;&lt;ref-type name="Journal Article"&gt;17&lt;/ref-type&gt;&lt;contributors&gt;&lt;authors&gt;&lt;author&gt;S Garg&lt;/author&gt;&lt;author&gt;R Arora&lt;/author&gt;&lt;author&gt;N Kakkar&lt;/author&gt;&lt;/authors&gt;&lt;/contributors&gt;&lt;titles&gt;&lt;title&gt;Fever and Petechiae in a Middle Aged Male&lt;/title&gt;&lt;secondary-title&gt;LABMEDICINE&lt;/secondary-title&gt;&lt;/titles&gt;&lt;periodical&gt;&lt;full-title&gt;LABMEDICINE&lt;/full-title&gt;&lt;/periodical&gt;&lt;pages&gt;23-25&lt;/pages&gt;&lt;volume&gt;38&lt;/volume&gt;&lt;number&gt;1&lt;/number&gt;&lt;dates&gt;&lt;year&gt;2007&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(23, 24)</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eastAsia="Arial Unicode MS" w:hAnsi="Times New Roman"/>
          <w:sz w:val="16"/>
          <w:szCs w:val="16"/>
          <w:shd w:val="clear" w:color="auto" w:fill="FFFFFF"/>
        </w:rPr>
      </w:pPr>
      <w:r w:rsidRPr="00EB70B3">
        <w:rPr>
          <w:rFonts w:ascii="Times New Roman" w:hAnsi="Times New Roman"/>
          <w:sz w:val="16"/>
          <w:szCs w:val="16"/>
        </w:rPr>
        <w:t xml:space="preserve">Out of the twelve cases of malaria, 75% presented with anemia with thrombocytopenia. A study reports the occurrence of  thrombocytopenia to be </w:t>
      </w:r>
      <w:r w:rsidRPr="00EB70B3">
        <w:rPr>
          <w:rStyle w:val="elsevierstylesup"/>
          <w:rFonts w:ascii="Times New Roman" w:eastAsia="Arial Unicode MS" w:hAnsi="Times New Roman"/>
          <w:sz w:val="16"/>
          <w:szCs w:val="16"/>
          <w:shd w:val="clear" w:color="auto" w:fill="FFFFFF"/>
        </w:rPr>
        <w:t>87% in malaria positive patients, anemia in 71% of the cases and normal total leucocyte count in 79% of the cases.</w:t>
      </w:r>
      <w:r w:rsidR="00DA3B95" w:rsidRPr="00EB70B3">
        <w:rPr>
          <w:rStyle w:val="elsevierstylesup"/>
          <w:rFonts w:ascii="Times New Roman" w:eastAsia="Arial Unicode MS" w:hAnsi="Times New Roman"/>
          <w:sz w:val="16"/>
          <w:szCs w:val="16"/>
          <w:shd w:val="clear" w:color="auto" w:fill="FFFFFF"/>
          <w:vertAlign w:val="superscript"/>
        </w:rPr>
        <w:fldChar w:fldCharType="begin"/>
      </w:r>
      <w:r w:rsidRPr="00EB70B3">
        <w:rPr>
          <w:rStyle w:val="elsevierstylesup"/>
          <w:rFonts w:ascii="Times New Roman" w:eastAsia="Arial Unicode MS" w:hAnsi="Times New Roman"/>
          <w:sz w:val="16"/>
          <w:szCs w:val="16"/>
          <w:shd w:val="clear" w:color="auto" w:fill="FFFFFF"/>
          <w:vertAlign w:val="superscript"/>
        </w:rPr>
        <w:instrText xml:space="preserve"> ADDIN EN.CITE &lt;EndNote&gt;&lt;Cite&gt;&lt;Author&gt;Hussain Haroon&lt;/Author&gt;&lt;Year&gt;2013&lt;/Year&gt;&lt;RecNum&gt;88&lt;/RecNum&gt;&lt;DisplayText&gt;(25)&lt;/DisplayText&gt;&lt;record&gt;&lt;rec-number&gt;88&lt;/rec-number&gt;&lt;foreign-keys&gt;&lt;key app="EN" db-id="9ppaf9et390faresp52p22aveawx9ew2swv5"&gt;88&lt;/key&gt;&lt;/foreign-keys&gt;&lt;ref-type name="Journal Article"&gt;17&lt;/ref-type&gt;&lt;contributors&gt;&lt;authors&gt;&lt;author&gt;Hussain Haroon&lt;/author&gt;&lt;author&gt;Pyar Ali Fazel&lt;/author&gt;&lt;author&gt;Muhammad Naeem&lt;/author&gt;&lt;author&gt;Ahsan Mobin&lt;/author&gt;&lt;author&gt;Ali Haider Naqvi&lt;/author&gt;&lt;author&gt;Karimullah Makki&lt;/author&gt;&lt;/authors&gt;&lt;/contributors&gt;&lt;titles&gt;&lt;title&gt;Hide and seek: hematological aspects of malaria – a developing country perspective&lt;/title&gt;&lt;secondary-title&gt;J Infect Dev Ctries&lt;/secondary-title&gt;&lt;/titles&gt;&lt;periodical&gt;&lt;full-title&gt;J Infect Dev Ctries&lt;/full-title&gt;&lt;/periodical&gt;&lt;pages&gt;273-9&lt;/pages&gt;&lt;volume&gt;7&lt;/volume&gt;&lt;number&gt;3&lt;/number&gt;&lt;dates&gt;&lt;year&gt;2013&lt;/year&gt;&lt;/dates&gt;&lt;urls&gt;&lt;/urls&gt;&lt;/record&gt;&lt;/Cite&gt;&lt;/EndNote&gt;</w:instrText>
      </w:r>
      <w:r w:rsidR="00DA3B95" w:rsidRPr="00EB70B3">
        <w:rPr>
          <w:rStyle w:val="elsevierstylesup"/>
          <w:rFonts w:ascii="Times New Roman" w:eastAsia="Arial Unicode MS" w:hAnsi="Times New Roman"/>
          <w:sz w:val="16"/>
          <w:szCs w:val="16"/>
          <w:shd w:val="clear" w:color="auto" w:fill="FFFFFF"/>
          <w:vertAlign w:val="superscript"/>
        </w:rPr>
        <w:fldChar w:fldCharType="separate"/>
      </w:r>
      <w:r w:rsidRPr="00EB70B3">
        <w:rPr>
          <w:rStyle w:val="elsevierstylesup"/>
          <w:rFonts w:ascii="Times New Roman" w:eastAsia="Arial Unicode MS" w:hAnsi="Times New Roman"/>
          <w:noProof/>
          <w:sz w:val="16"/>
          <w:szCs w:val="16"/>
          <w:shd w:val="clear" w:color="auto" w:fill="FFFFFF"/>
          <w:vertAlign w:val="superscript"/>
        </w:rPr>
        <w:t>(25)</w:t>
      </w:r>
      <w:r w:rsidR="00DA3B95" w:rsidRPr="00EB70B3">
        <w:rPr>
          <w:rStyle w:val="elsevierstylesup"/>
          <w:rFonts w:ascii="Times New Roman" w:eastAsia="Arial Unicode MS" w:hAnsi="Times New Roman"/>
          <w:sz w:val="16"/>
          <w:szCs w:val="16"/>
          <w:shd w:val="clear" w:color="auto" w:fill="FFFFFF"/>
          <w:vertAlign w:val="superscript"/>
        </w:rPr>
        <w:fldChar w:fldCharType="end"/>
      </w:r>
      <w:r w:rsidRPr="00EB70B3">
        <w:rPr>
          <w:rStyle w:val="elsevierstylesup"/>
          <w:rFonts w:ascii="Times New Roman" w:eastAsia="Arial Unicode MS" w:hAnsi="Times New Roman"/>
          <w:sz w:val="16"/>
          <w:szCs w:val="16"/>
          <w:shd w:val="clear" w:color="auto" w:fill="FFFFFF"/>
        </w:rPr>
        <w:t>RBC destruction by the malarial parasite results in anemiaand platelet phagocytosis may cause thrombocytopenia.</w:t>
      </w:r>
      <w:r w:rsidR="00DA3B95" w:rsidRPr="00EB70B3">
        <w:rPr>
          <w:rStyle w:val="elsevierstylesup"/>
          <w:rFonts w:ascii="Times New Roman" w:eastAsia="Arial Unicode MS" w:hAnsi="Times New Roman"/>
          <w:sz w:val="16"/>
          <w:szCs w:val="16"/>
          <w:shd w:val="clear" w:color="auto" w:fill="FFFFFF"/>
          <w:vertAlign w:val="superscript"/>
        </w:rPr>
        <w:fldChar w:fldCharType="begin"/>
      </w:r>
      <w:r w:rsidRPr="00EB70B3">
        <w:rPr>
          <w:rStyle w:val="elsevierstylesup"/>
          <w:rFonts w:ascii="Times New Roman" w:eastAsia="Arial Unicode MS" w:hAnsi="Times New Roman"/>
          <w:sz w:val="16"/>
          <w:szCs w:val="16"/>
          <w:shd w:val="clear" w:color="auto" w:fill="FFFFFF"/>
          <w:vertAlign w:val="superscript"/>
        </w:rPr>
        <w:instrText xml:space="preserve"> ADDIN EN.CITE &lt;EndNote&gt;&lt;Cite&gt;&lt;Author&gt;Helena Cristina C. Coelho&lt;/Author&gt;&lt;Year&gt;2013&lt;/Year&gt;&lt;RecNum&gt;89&lt;/RecNum&gt;&lt;DisplayText&gt;(26)&lt;/DisplayText&gt;&lt;record&gt;&lt;rec-number&gt;89&lt;/rec-number&gt;&lt;foreign-keys&gt;&lt;key app="EN" db-id="9ppaf9et390faresp52p22aveawx9ew2swv5"&gt;89&lt;/key&gt;&lt;/foreign-keys&gt;&lt;ref-type name="Journal Article"&gt;17&lt;/ref-type&gt;&lt;contributors&gt;&lt;authors&gt;&lt;author&gt;Helena Cristina C. Coelho&lt;/author&gt;&lt;author&gt;Stefanie C. P. Lopes&lt;/author&gt;&lt;author&gt;João Paulo D. Pimentel&lt;/author&gt;&lt;author&gt;Paulo A. Nogueira&lt;/author&gt;&lt;author&gt;Fábio T. M. Costa&lt;/author&gt;&lt;author&gt;André M. Siqueira&lt;/author&gt;&lt;author&gt;Gisely C. Melo&lt;/author&gt;&lt;author&gt;Wuelton M. Monteiro&lt;/author&gt;&lt;author&gt;Adriana Malheiro&lt;/author&gt;&lt;author&gt;Marcus V. G. Lacerda&lt;/author&gt;&lt;/authors&gt;&lt;/contributors&gt;&lt;titles&gt;&lt;title&gt;Thrombocytopenia in Plasmodium vivax Malaria Is Related to Platelets Phagocytosis&lt;/title&gt;&lt;secondary-title&gt;PLoS One&lt;/secondary-title&gt;&lt;/titles&gt;&lt;periodical&gt;&lt;full-title&gt;PLoS One&lt;/full-title&gt;&lt;/periodical&gt;&lt;volume&gt;8&lt;/volume&gt;&lt;number&gt;5&lt;/number&gt;&lt;dates&gt;&lt;year&gt;2013&lt;/year&gt;&lt;/dates&gt;&lt;urls&gt;&lt;/urls&gt;&lt;/record&gt;&lt;/Cite&gt;&lt;/EndNote&gt;</w:instrText>
      </w:r>
      <w:r w:rsidR="00DA3B95" w:rsidRPr="00EB70B3">
        <w:rPr>
          <w:rStyle w:val="elsevierstylesup"/>
          <w:rFonts w:ascii="Times New Roman" w:eastAsia="Arial Unicode MS" w:hAnsi="Times New Roman"/>
          <w:sz w:val="16"/>
          <w:szCs w:val="16"/>
          <w:shd w:val="clear" w:color="auto" w:fill="FFFFFF"/>
          <w:vertAlign w:val="superscript"/>
        </w:rPr>
        <w:fldChar w:fldCharType="separate"/>
      </w:r>
      <w:r w:rsidRPr="00EB70B3">
        <w:rPr>
          <w:rStyle w:val="elsevierstylesup"/>
          <w:rFonts w:ascii="Times New Roman" w:eastAsia="Arial Unicode MS" w:hAnsi="Times New Roman"/>
          <w:noProof/>
          <w:sz w:val="16"/>
          <w:szCs w:val="16"/>
          <w:shd w:val="clear" w:color="auto" w:fill="FFFFFF"/>
          <w:vertAlign w:val="superscript"/>
        </w:rPr>
        <w:t>(26)</w:t>
      </w:r>
      <w:r w:rsidR="00DA3B95" w:rsidRPr="00EB70B3">
        <w:rPr>
          <w:rStyle w:val="elsevierstylesup"/>
          <w:rFonts w:ascii="Times New Roman" w:eastAsia="Arial Unicode MS" w:hAnsi="Times New Roman"/>
          <w:sz w:val="16"/>
          <w:szCs w:val="16"/>
          <w:shd w:val="clear" w:color="auto" w:fill="FFFFFF"/>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Leucopenia with thrombocytopenia was a significant bicytopenia observed in infectious category. Dengue which was the commonest infection encountered in the present study is known to have viremia induced destruction of myeloid and megakaryocytic lineages in the bone marrow along with peripheral depletion due to antibodies.</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&lt;EndNote&gt;&lt;Cite&gt;&lt;Author&gt;Luiz José de Souza&lt;/Author&gt;&lt;Year&gt;2013&lt;/Year&gt;&lt;RecNum&gt;76&lt;/RecNum&gt;&lt;DisplayText&gt;(9)&lt;/DisplayText&gt;&lt;record&gt;&lt;rec-number&gt;76&lt;/rec-number&gt;&lt;foreign-keys&gt;&lt;key app="EN" db-id="9ppaf9et390faresp52p22aveawx9ew2swv5"&gt;76&lt;/key&gt;&lt;/foreign-keys&gt;&lt;ref-type name="Journal Article"&gt;17&lt;/ref-type&gt;&lt;contributors&gt;&lt;authors&gt;&lt;author&gt;&lt;style face="normal" font="Times New Roman" size="100%"&gt;Luiz José de Souza&lt;/style&gt;&lt;/author&gt;&lt;author&gt;&lt;style face="normal" font="Times New Roman" size="100%"&gt;Laís Bastos Pessanha&lt;/style&gt;&lt;/author&gt;&lt;author&gt;&lt;style face="normal" font="Times New Roman" size="100%"&gt;Laura Carvalho Mansur&lt;/style&gt;&lt;/author&gt;&lt;author&gt;&lt;style face="normal" font="Times New Roman" size="100%"&gt;Luiza Assed de Souza&lt;/style&gt;&lt;/author&gt;&lt;author&gt;&lt;style face="normal" font="Times New Roman" size="100%"&gt;Mariana Barbosa Tâmega Ribeiro&lt;/style&gt;&lt;/author&gt;&lt;author&gt;&lt;style face="normal" font="Times New Roman" size="100%"&gt;Monique do Vale da Silveira&lt;/style&gt;&lt;/author&gt;&lt;author&gt;&lt;style face="normal" font="Times New Roman" size="100%"&gt;João Tadeu  Damian&lt;/style&gt;&lt;/author&gt;&lt;author&gt;&lt;style face="normal" font="Times New Roman" size="100%"&gt;Souto Filho&lt;/style&gt;&lt;/author&gt;&lt;/authors&gt;&lt;/contributors&gt;&lt;titles&gt;&lt;title&gt;&lt;style face="normal" font="Times New Roman" size="100%"&gt;Comparison of clinical and laboratory characteristics between children and adults with dengue&lt;/style&gt;&lt;/title&gt;&lt;secondary-title&gt;braz j infectdis &lt;/secondary-title&gt;&lt;/titles&gt;&lt;periodical&gt;&lt;full-title&gt;braz j infectdis&lt;/full-title&gt;&lt;/periodical&gt;&lt;pages&gt;27-31&lt;/pages&gt;&lt;volume&gt;17&lt;/volume&gt;&lt;number&gt;1&lt;/number&gt;&lt;dates&gt;&lt;year&gt;2013&lt;/year&gt;&lt;/dates&gt;&lt;urls&gt;&lt;/urls&gt;&lt;/record&gt;&lt;/Cite&gt;&lt;/EndNote&gt;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(9)</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b/>
          <w:sz w:val="16"/>
          <w:szCs w:val="16"/>
        </w:rPr>
      </w:pPr>
      <w:r w:rsidRPr="00EB70B3">
        <w:rPr>
          <w:rFonts w:ascii="Times New Roman" w:hAnsi="Times New Roman"/>
          <w:b/>
          <w:sz w:val="16"/>
          <w:szCs w:val="16"/>
        </w:rPr>
        <w:t>Drug induced:</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Drug induced bicytopenia was observed  in patients on drugs for epilepsy, ART treatment for HIV infection, after DOTS therapy in tuberculosis and in patients on chemotherapy. In the present study, it was observed that most RVD patients who presented with bicytopenia were on ART (zidovudine and efivarenz) for a minimum of two months. Zidovudine, the mainstay in treatment of HIV infection, is known to produce dose dependent anemia with neutropenia which was also observed in the present study.</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&lt;EndNote&gt;&lt;Cite&gt;&lt;Author&gt;Sloand&lt;/Author&gt;&lt;Year&gt;2009&lt;/Year&gt;&lt;RecNum&gt;65&lt;/RecNum&gt;&lt;DisplayText&gt;(27)&lt;/DisplayText&gt;&lt;record&gt;&lt;rec-number&gt;65&lt;/rec-number&gt;&lt;foreign-keys&gt;&lt;key app="EN" db-id="9ppaf9et390faresp52p22aveawx9ew2swv5"&gt;65&lt;/key&gt;&lt;/foreign-keys&gt;&lt;ref-type name="Book Section"&gt;5&lt;/ref-type&gt;&lt;contributors&gt;&lt;authors&gt;&lt;author&gt;&lt;style face="normal" font="Times New Roman" size="100%"&gt;Elaine M. Sloand&lt;/style&gt;&lt;/author&gt;&lt;author&gt;&lt;style face="normal" font="Times New Roman" size="100%"&gt;Jerome E. Groopman&lt;/style&gt;&lt;/author&gt;&lt;/authors&gt;&lt;secondary-authors&gt;&lt;author&gt;John P. Greer&lt;/author&gt;&lt;author&gt;John Foerster&lt;/author&gt;&lt;author&gt;George M. Rodgers&lt;/author&gt;&lt;author&gt;Frixos Paraskevas&lt;/author&gt;&lt;author&gt;Bertil Glader&lt;/author&gt;&lt;author&gt;Daniel A. Arber &lt;/author&gt;&lt;author&gt;Robert T. Means&lt;/author&gt;&lt;/secondary-authors&gt;&lt;/contributors&gt;&lt;titles&gt;&lt;title&gt;&lt;style face="normal" font="Times New Roman" size="100%"&gt;Acquired Immunodeficiency Syndrome&lt;/style&gt;&lt;/title&gt;&lt;secondary-title&gt;Wintrobe&amp;apos;s Clinical Hematology&lt;/secondary-title&gt;&lt;/titles&gt;&lt;pages&gt;1623-1636&lt;/pages&gt;&lt;num-vols&gt;2&lt;/num-vols&gt;&lt;section&gt;68&lt;/section&gt;&lt;dates&gt;&lt;year&gt;2009&lt;/year&gt;&lt;/dates&gt;&lt;pub-location&gt; Philadelphia&lt;/pub-location&gt;&lt;publisher&gt; Lippincott Williams &amp;amp; Wilkins&lt;/publisher&gt;&lt;urls&gt;&lt;/urls&gt;&lt;/record&gt;&lt;/Cite&gt;&lt;/EndNote&gt;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(27)</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In addition, six cases presented with RVD with tuberculosis. They were on ATT and ART simultaneously. It was difficult to ascertain whether the cause for bicytopenia was the infectious etiology or drug induced. Going by their clinical profile, they were ultimately grouped under drug-induced category. However, it remains a matter of debate.</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Certain non-hematological malignancies like carcinoma lung, carcinoma cervix also presented with bicytopenia. On extensive history taking and clinical examination, it was observed that the cause for bicytopenia was chemotherapy induced.</w:t>
      </w:r>
    </w:p>
    <w:p w:rsidR="00EB70B3" w:rsidRPr="00EB70B3" w:rsidRDefault="00EB70B3" w:rsidP="00EB70B3">
      <w:pPr>
        <w:spacing w:before="120" w:after="120" w:line="240" w:lineRule="auto"/>
        <w:jc w:val="both"/>
        <w:rPr>
          <w:rFonts w:ascii="Times New Roman" w:hAnsi="Times New Roman"/>
          <w:b/>
          <w:sz w:val="16"/>
          <w:szCs w:val="16"/>
        </w:rPr>
      </w:pPr>
      <w:r w:rsidRPr="00EB70B3">
        <w:rPr>
          <w:rFonts w:ascii="Times New Roman" w:hAnsi="Times New Roman"/>
          <w:b/>
          <w:sz w:val="16"/>
          <w:szCs w:val="16"/>
        </w:rPr>
        <w:t>Age wise etiological distribution:</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Preterm low birth weight (PTLBW) was the most common etiology of bicytopenia found in neonates. Other causes of bicytopenia in neonates were, lower respiratory tract infection (LRTI), convulsions, hyperbilirubinemia, persistent pulmonary hypertension with intraventricular hemorrhage, ABO incompatibility, hydronephrosis and birth asphyxia. No malignancies were seen in this age group.</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Infants most commonly presented with megaloblastic anemia, wheeze associated lower respiratory tract infection (WALRI), pharyngitis, malaria, inborn error of metabolism, thalassemia, gastroduodenal perforation and failure to thrive.</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In the children between the age group 1-12 years, the most common etiology was infectious. Predominant infectious diseases were dengue, malaria, LRTI and enteric fever. The most common non-malignant conditions were ITP and thalassemia. Other diseases observed were cerebral palsy, Crouzon’s syndrome, febrile convulsions, Gaucher’s disease, rhabdomyosarcoma and megaloblastic anemia. ALL was the most common malignancy reported in bicytopenic children. </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The most common etiology in the age group 12-18 years was non-malignant; predominantly megaloblastic anemia. However, dengue was the most common infectious disease seen in this age group. The most common malignancy seen in this age group was AML followed by ALL. There were four drug-induced cases due to chemotherapy for AML and NHL, anti epileptic medication and anti tubercular medication.</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In the age group of 19-59 years, most common etiology was non-malignant. Alcoholic liver disease being most common cause of bicytopenia in this age group, followed by megaloblastic anemia, ITP, Iron deficiency anemia, pregnancy and ischemic heart disease.The second most common etiology in this age group was infectious. Dengue was the predominant infectious disease followed by malaria, tuberculosis, RVD, UTI, pneumonia and enteric fever. RVD positive patients in this age group commonly presented with tuberculosis. There is a higher chance of co-infection with tuberculosis in a HIV infected person. The latent tuberculosis converts to active disease with the decrease in the CD4 counts in HIV infection.</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&lt;EndNote&gt;&lt;Cite&gt;&lt;Author&gt;Soumya Swaminathan&lt;/Author&gt;&lt;Year&gt;2008&lt;/Year&gt;&lt;RecNum&gt;85&lt;/RecNum&gt;&lt;DisplayText&gt;(28)&lt;/DisplayText&gt;&lt;record&gt;&lt;rec-number&gt;85&lt;/rec-number&gt;&lt;foreign-keys&gt;&lt;key app="EN" db-id="9ppaf9et390faresp52p22aveawx9ew2swv5"&gt;85&lt;/key&gt;&lt;/foreign-keys&gt;&lt;ref-type name="Journal Article"&gt;17&lt;/ref-type&gt;&lt;contributors&gt;&lt;authors&gt;&lt;author&gt;Soumya Swaminathan&lt;/author&gt;&lt;author&gt;G Narendran&lt;/author&gt;&lt;/authors&gt;&lt;/contributors&gt;&lt;titles&gt;&lt;title&gt;HIV and tuberculosis in India&lt;/title&gt;&lt;secondary-title&gt;J. Biosci&lt;/secondary-title&gt;&lt;/titles&gt;&lt;periodical&gt;&lt;full-title&gt;J. Biosci&lt;/full-title&gt;&lt;/periodical&gt;&lt;pages&gt;527-537&lt;/pages&gt;&lt;volume&gt;33&lt;/volume&gt;&lt;dates&gt;&lt;year&gt;2008&lt;/year&gt;&lt;/dates&gt;&lt;urls&gt;&lt;/urls&gt;&lt;/record&gt;&lt;/Cite&gt;&lt;/EndNote&gt;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(28)</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The most common malignancy in this age group was AML followed by ALL, CLL and CML. The drug-induced cases were due to chemotherapy for leukemias, antipsychotic drugs, benzodiazepine abuse, anti depressants, anti epileptic drugs, anti tubercular treatment and drugs against RVD.</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The commonest etiology in the elderly was non-malignant, e.g. COPD, IHD, IDA and megaloblastic anemia, The most common malignancy observed in this age group was AML followed by multiple myeloma, Hodgkin’s lymphoma, NHL and CLL. The </w:t>
      </w:r>
      <w:r w:rsidRPr="00EB70B3">
        <w:rPr>
          <w:rFonts w:ascii="Times New Roman" w:hAnsi="Times New Roman"/>
          <w:sz w:val="16"/>
          <w:szCs w:val="16"/>
        </w:rPr>
        <w:lastRenderedPageBreak/>
        <w:t>infectious diseases seen in this age group were dengue, bacterial pleural effusion, RVD and tuberculosis. Drug induced causes were mainly due to chemotherapy, ATT, ART drugs and anti epileptic drugs.</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There was a statistically significant association between the age at presentation and the etiology of bicytopenia (P value &lt; 0.001).</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It is suggested that the less common etiologies should be kept in mind while reviewing cases of bicytopenia in patients of different age groups.</w:t>
      </w:r>
    </w:p>
    <w:p w:rsidR="00EB70B3" w:rsidRPr="00EB70B3" w:rsidRDefault="00EB70B3" w:rsidP="00EB70B3">
      <w:pPr>
        <w:spacing w:before="120" w:after="120" w:line="240" w:lineRule="auto"/>
        <w:jc w:val="both"/>
        <w:rPr>
          <w:rFonts w:ascii="Times New Roman" w:hAnsi="Times New Roman"/>
          <w:b/>
          <w:sz w:val="16"/>
          <w:szCs w:val="16"/>
        </w:rPr>
      </w:pPr>
      <w:r w:rsidRPr="00EB70B3">
        <w:rPr>
          <w:rFonts w:ascii="Times New Roman" w:hAnsi="Times New Roman"/>
          <w:b/>
          <w:sz w:val="16"/>
          <w:szCs w:val="16"/>
        </w:rPr>
        <w:t>Signs and Symptoms:</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The most common clinical presentation was fever (53.5%) closely followed by pallor (42.5%); bleeding or  petechiae/purpura was seen in 21.25% of the cases, splenomegaly in 12.75% of the cases, hepatomegaly in 12.25% of the cases and lymphadenopathy in 7.75% of the cases. Naseem S et al reported </w:t>
      </w:r>
      <w:r w:rsidRPr="00EB70B3">
        <w:rPr>
          <w:rFonts w:ascii="Times New Roman" w:eastAsia="Times New Roman" w:hAnsi="Times New Roman"/>
          <w:color w:val="000000"/>
          <w:sz w:val="16"/>
          <w:szCs w:val="16"/>
        </w:rPr>
        <w:t>the main clinical features in children with bicytopenia to be fever (69.2%) and pallor (40.9%), others being petechial rash, bleeding manifestations and bone pains. Most common physical finding was hepatomegaly (69.2%) and splenomegaly (60.5%).</w:t>
      </w:r>
      <w:r w:rsidR="00DA3B95" w:rsidRPr="00EB70B3">
        <w:rPr>
          <w:rFonts w:ascii="Times New Roman" w:eastAsia="Times New Roman" w:hAnsi="Times New Roman"/>
          <w:color w:val="000000"/>
          <w:sz w:val="16"/>
          <w:szCs w:val="16"/>
          <w:vertAlign w:val="superscript"/>
        </w:rPr>
        <w:fldChar w:fldCharType="begin"/>
      </w:r>
      <w:r w:rsidRPr="00EB70B3">
        <w:rPr>
          <w:rFonts w:ascii="Times New Roman" w:eastAsia="Times New Roman" w:hAnsi="Times New Roman"/>
          <w:color w:val="000000"/>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eastAsia="Times New Roman" w:hAnsi="Times New Roman"/>
          <w:color w:val="000000"/>
          <w:sz w:val="16"/>
          <w:szCs w:val="16"/>
          <w:vertAlign w:val="superscript"/>
        </w:rPr>
        <w:fldChar w:fldCharType="separate"/>
      </w:r>
      <w:r w:rsidRPr="00EB70B3">
        <w:rPr>
          <w:rFonts w:ascii="Times New Roman" w:eastAsia="Times New Roman" w:hAnsi="Times New Roman"/>
          <w:noProof/>
          <w:color w:val="000000"/>
          <w:sz w:val="16"/>
          <w:szCs w:val="16"/>
          <w:vertAlign w:val="superscript"/>
        </w:rPr>
        <w:t>(3)</w:t>
      </w:r>
      <w:r w:rsidR="00DA3B95" w:rsidRPr="00EB70B3">
        <w:rPr>
          <w:rFonts w:ascii="Times New Roman" w:eastAsia="Times New Roman" w:hAnsi="Times New Roman"/>
          <w:color w:val="000000"/>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Lymphadenopathy (41.9%), splenomegaly (21.6%) and hepatomegaly (20.4%) were the most significant signs in hematological malignancies (p &lt;0.001). Hepatomegaly, splenomegaly and lymphadenopathy have been reported in up to one half of patients with AML, but are less common than in ALL.</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&lt;EndNote&gt;&lt;Cite&gt;&lt;Author&gt;Maria R. Baer&lt;/Author&gt;&lt;Year&gt;2009&lt;/Year&gt;&lt;RecNum&gt;87&lt;/RecNum&gt;&lt;DisplayText&gt;(29)&lt;/DisplayText&gt;&lt;record&gt;&lt;rec-number&gt;87&lt;/rec-number&gt;&lt;foreign-keys&gt;&lt;key app="EN" db-id="9ppaf9et390faresp52p22aveawx9ew2swv5"&gt;87&lt;/key&gt;&lt;/foreign-keys&gt;&lt;ref-type name="Book Section"&gt;5&lt;/ref-type&gt;&lt;contributors&gt;&lt;authors&gt;&lt;author&gt;Maria R. Baer&lt;/author&gt;&lt;author&gt;John P. Greer&lt;/author&gt;&lt;/authors&gt;&lt;secondary-authors&gt;&lt;author&gt;John P. Green JF JNL, George M. Rodgers, Frixos Paraskevas, Bertil Glader&lt;/author&gt;&lt;/secondary-authors&gt;&lt;/contributors&gt;&lt;titles&gt;&lt;title&gt;Acute Myeloid Leukemia in Adults&lt;/title&gt;&lt;secondary-title&gt;Wintrobe&amp;apos;s Clinical Hematology&lt;/secondary-title&gt;&lt;/titles&gt;&lt;pages&gt;1845-1888&lt;/pages&gt;&lt;section&gt;79&lt;/section&gt;&lt;dates&gt;&lt;year&gt;2009&lt;/year&gt;&lt;/dates&gt;&lt;pub-location&gt;Philadelphia&lt;/pub-location&gt;&lt;publisher&gt; Lippincott Williams &amp;amp; Wilkins&lt;/publisher&gt;&lt;urls&gt;&lt;/urls&gt;&lt;/record&gt;&lt;/Cite&gt;&lt;/EndNote&gt;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(29)</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 xml:space="preserve">Pallor (88.9%), bleeding (65.9%) , hepatomegaly (61.2%) and splenomegaly (49.1%) were the most significant clinical findings in non- malignant conditions.(P&lt; 0.001). Fever (54.2%) and lymphadenopathy (34.1%) were the most significant clinical findings observed in infectious category (P&lt;0.001). The most significant symptoms in drug-induced etiology were lymphadenopathy (6.4%), hepatomegaly (6.1%) and splenomegaly (6.1%). </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A statistically significant relationship was observed between the etiology of bicytopenia and the clinical findings. (pvalue &lt; 0.001) in the present study.</w:t>
      </w:r>
    </w:p>
    <w:p w:rsidR="00EB70B3" w:rsidRPr="00EB70B3" w:rsidRDefault="00EB70B3" w:rsidP="00EB70B3">
      <w:pPr>
        <w:spacing w:before="120" w:after="120" w:line="240" w:lineRule="auto"/>
        <w:jc w:val="both"/>
        <w:rPr>
          <w:rFonts w:ascii="Times New Roman" w:hAnsi="Times New Roman"/>
          <w:b/>
          <w:sz w:val="16"/>
          <w:szCs w:val="16"/>
        </w:rPr>
      </w:pPr>
      <w:r w:rsidRPr="00EB70B3">
        <w:rPr>
          <w:rFonts w:ascii="Times New Roman" w:hAnsi="Times New Roman"/>
          <w:b/>
          <w:sz w:val="16"/>
          <w:szCs w:val="16"/>
        </w:rPr>
        <w:t>Bone marrow findings:</w:t>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Of the 400 patients, bone marrow studies were clinically indicated and performed on 89 patients. The most common etiology found on bone marrow studies was megaloblasticanemia  followed by AML and ITP. Other cases reported were ALL, normoblasticnormocellularmarrow ,micronormoblastic marrow, normoblastichypocellular marrow and hypoplastic marrow. Few cases of  multiple myeloma, bone marrow fibrosis, bone marrow tuberculosis and CLL were also observed. Few studies are reported specifically on the bone marrow findings in children with bicytopenia. One study in Chandigarh reported AML to be the most common cause of bicytopenia followed by megaloblastic anemia and ITP.</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&lt;EndNote&gt;&lt;Cite&gt;&lt;Author&gt;Naseem&lt;/Author&gt;&lt;Year&gt;2011&lt;/Year&gt;&lt;RecNum&gt;6&lt;/RecNum&gt;&lt;DisplayText&gt;(3)&lt;/DisplayText&gt;&lt;record&gt;&lt;rec-number&gt;6&lt;/rec-number&gt;&lt;foreign-keys&gt;&lt;key app="EN" db-id="9ppaf9et390faresp52p22aveawx9ew2swv5"&gt;6&lt;/key&gt;&lt;/foreign-keys&gt;&lt;ref-type name="Journal Article"&gt;17&lt;/ref-type&gt;&lt;contributors&gt;&lt;authors&gt;&lt;author&gt;S Naseem&lt;/author&gt;&lt;author&gt;N Varma&lt;/author&gt;&lt;author&gt;R Das&lt;/author&gt;&lt;author&gt;J Ahluwalia&lt;/author&gt;&lt;author&gt;MU Sachdeva&lt;/author&gt;&lt;/authors&gt;&lt;/contributors&gt;&lt;titles&gt;&lt;title&gt;Pediatric patients with bicytopenia/pancytopenia: review of etiologies and clinico-hematological profile at a tertiary centre.&lt;/title&gt;&lt;secondary-title&gt;IJPM&lt;/secondary-title&gt;&lt;/titles&gt;&lt;pages&gt;75-80&lt;/pages&gt;&lt;volume&gt;&lt;style face="normal" font="default" size="9"&gt;54&lt;/style&gt;&lt;/volume&gt;&lt;number&gt;1&lt;/number&gt;&lt;dates&gt;&lt;year&gt;2011&lt;/year&gt;&lt;/dates&gt;&lt;urls&gt;&lt;/urls&gt;&lt;/record&gt;&lt;/Cite&gt;&lt;/EndNote&gt;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(3)</w:t>
      </w:r>
      <w:r w:rsidR="00DA3B95" w:rsidRPr="00EB70B3">
        <w:rPr>
          <w:rFonts w:ascii="Times New Roman" w:hAnsi="Times New Roman"/>
          <w:sz w:val="16"/>
          <w:szCs w:val="16"/>
          <w:vertAlign w:val="superscript"/>
        </w:rPr>
        <w:fldChar w:fldCharType="end"/>
      </w:r>
      <w:r w:rsidRPr="00EB70B3">
        <w:rPr>
          <w:rFonts w:ascii="Times New Roman" w:hAnsi="Times New Roman"/>
          <w:sz w:val="16"/>
          <w:szCs w:val="16"/>
        </w:rPr>
        <w:t xml:space="preserve"> Another study done in Pakistan observed that megaloblastic anemia was the most common finding in bone marrow studies of bicytopenic children.</w:t>
      </w:r>
      <w:r w:rsidR="00DA3B95" w:rsidRPr="00EB70B3">
        <w:rPr>
          <w:rFonts w:ascii="Times New Roman" w:hAnsi="Times New Roman"/>
          <w:sz w:val="16"/>
          <w:szCs w:val="16"/>
          <w:vertAlign w:val="superscript"/>
        </w:rPr>
        <w:fldChar w:fldCharType="begin"/>
      </w:r>
      <w:r w:rsidRPr="00EB70B3">
        <w:rPr>
          <w:rFonts w:ascii="Times New Roman" w:hAnsi="Times New Roman"/>
          <w:sz w:val="16"/>
          <w:szCs w:val="16"/>
          <w:vertAlign w:val="superscript"/>
        </w:rPr>
        <w:instrText xml:space="preserve"> ADDIN EN.CITE &lt;EndNote&gt;&lt;Cite&gt;&lt;Author&gt;Ayub&lt;/Author&gt;&lt;Year&gt;2009&lt;/Year&gt;&lt;RecNum&gt;8&lt;/RecNum&gt;&lt;DisplayText&gt;(4)&lt;/DisplayText&gt;&lt;record&gt;&lt;rec-number&gt;8&lt;/rec-number&gt;&lt;foreign-keys&gt;&lt;key app="EN" db-id="9ppaf9et390faresp52p22aveawx9ew2swv5"&gt;8&lt;/key&gt;&lt;/foreign-keys&gt;&lt;ref-type name="Journal Article"&gt;17&lt;/ref-type&gt;&lt;contributors&gt;&lt;authors&gt;&lt;author&gt;T Ayub &lt;/author&gt;&lt;author&gt;FR Khan &lt;/author&gt;&lt;/authors&gt;&lt;/contributors&gt;&lt;titles&gt;&lt;title&gt;Prevalence of megaloblastic anaemia in a paediatric unit&lt;/title&gt;&lt;secondary-title&gt;Gomal J Med Sci&lt;/secondary-title&gt;&lt;/titles&gt;&lt;pages&gt;62-4&lt;/pages&gt;&lt;volume&gt;7&lt;/volume&gt;&lt;dates&gt;&lt;year&gt;2009&lt;/year&gt;&lt;/dates&gt;&lt;urls&gt;&lt;/urls&gt;&lt;/record&gt;&lt;/Cite&gt;&lt;/EndNote&gt;</w:instrText>
      </w:r>
      <w:r w:rsidR="00DA3B95" w:rsidRPr="00EB70B3">
        <w:rPr>
          <w:rFonts w:ascii="Times New Roman" w:hAnsi="Times New Roman"/>
          <w:sz w:val="16"/>
          <w:szCs w:val="16"/>
          <w:vertAlign w:val="superscript"/>
        </w:rPr>
        <w:fldChar w:fldCharType="separate"/>
      </w:r>
      <w:r w:rsidRPr="00EB70B3">
        <w:rPr>
          <w:rFonts w:ascii="Times New Roman" w:hAnsi="Times New Roman"/>
          <w:noProof/>
          <w:sz w:val="16"/>
          <w:szCs w:val="16"/>
          <w:vertAlign w:val="superscript"/>
        </w:rPr>
        <w:t>(4)</w:t>
      </w:r>
      <w:r w:rsidR="00DA3B95" w:rsidRPr="00EB70B3">
        <w:rPr>
          <w:rFonts w:ascii="Times New Roman" w:hAnsi="Times New Roman"/>
          <w:sz w:val="16"/>
          <w:szCs w:val="16"/>
          <w:vertAlign w:val="superscript"/>
        </w:rPr>
        <w:fldChar w:fldCharType="end"/>
      </w:r>
    </w:p>
    <w:p w:rsidR="00EB70B3" w:rsidRPr="00EB70B3" w:rsidRDefault="00EB70B3" w:rsidP="00EB70B3">
      <w:pPr>
        <w:spacing w:before="120" w:after="120" w:line="240" w:lineRule="auto"/>
        <w:jc w:val="both"/>
        <w:rPr>
          <w:rFonts w:ascii="Times New Roman" w:hAnsi="Times New Roman"/>
          <w:sz w:val="16"/>
          <w:szCs w:val="16"/>
        </w:rPr>
      </w:pPr>
      <w:r w:rsidRPr="00EB70B3">
        <w:rPr>
          <w:rFonts w:ascii="Times New Roman" w:hAnsi="Times New Roman"/>
          <w:sz w:val="16"/>
          <w:szCs w:val="16"/>
        </w:rPr>
        <w:t>Bone marrow studies are integral in differentiating malignant from non-malignant conditions. They are sufficient to diagnose megaloblastic anemia and malignancies like acute leukemia and multiple myeloma, which can drastically change the management of the patient.</w:t>
      </w:r>
    </w:p>
    <w:p w:rsidR="00EB70B3" w:rsidRPr="00EB70B3" w:rsidRDefault="00EB70B3" w:rsidP="00EB70B3">
      <w:pPr>
        <w:pStyle w:val="Default"/>
        <w:spacing w:before="120" w:after="120"/>
        <w:rPr>
          <w:b/>
          <w:sz w:val="16"/>
          <w:szCs w:val="16"/>
        </w:rPr>
      </w:pPr>
      <w:r w:rsidRPr="00EB70B3">
        <w:rPr>
          <w:b/>
          <w:sz w:val="16"/>
          <w:szCs w:val="16"/>
        </w:rPr>
        <w:t>CONCLUSION</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hAnsi="Times New Roman"/>
          <w:sz w:val="16"/>
          <w:szCs w:val="16"/>
        </w:rPr>
        <w:t xml:space="preserve">Clinico-hematological correlation is significant to diagnose cases presenting with bicytopenia and can guide in further workup planning like bone marrow studies, immunophenotyping and cytogenetics. </w:t>
      </w:r>
      <w:r w:rsidRPr="00EB70B3">
        <w:rPr>
          <w:rFonts w:ascii="Times New Roman" w:eastAsia="Times New Roman" w:hAnsi="Times New Roman"/>
          <w:sz w:val="16"/>
          <w:szCs w:val="16"/>
        </w:rPr>
        <w:t xml:space="preserve">The </w:t>
      </w:r>
      <w:r w:rsidRPr="00EB70B3">
        <w:rPr>
          <w:rFonts w:ascii="Times New Roman" w:eastAsia="Times New Roman" w:hAnsi="Times New Roman"/>
          <w:color w:val="000000"/>
          <w:sz w:val="16"/>
          <w:szCs w:val="16"/>
        </w:rPr>
        <w:t xml:space="preserve">importance of peripheral blood smear examination in cases of bicytopenia cannot be overemphasized. </w:t>
      </w:r>
      <w:r w:rsidRPr="00EB70B3">
        <w:rPr>
          <w:rFonts w:ascii="Times New Roman" w:hAnsi="Times New Roman"/>
          <w:sz w:val="16"/>
          <w:szCs w:val="16"/>
        </w:rPr>
        <w:t>The varied etiologies in different age groups highlighted in this study should be considered in every case of bicytopenia. It may significantly help to reduce the morbidity and mortality in bicytopenic patients.</w:t>
      </w:r>
    </w:p>
    <w:p w:rsidR="00EB70B3" w:rsidRPr="00EB70B3" w:rsidRDefault="00EB70B3" w:rsidP="00EB70B3">
      <w:pPr>
        <w:spacing w:before="120" w:after="120" w:line="240" w:lineRule="auto"/>
        <w:jc w:val="center"/>
        <w:rPr>
          <w:rFonts w:ascii="Times New Roman" w:eastAsia="Times New Roman" w:hAnsi="Times New Roman"/>
          <w:b/>
          <w:color w:val="000000"/>
          <w:sz w:val="16"/>
          <w:szCs w:val="16"/>
        </w:rPr>
      </w:pPr>
      <w:r w:rsidRPr="00EB70B3">
        <w:rPr>
          <w:rFonts w:ascii="Times New Roman" w:eastAsia="Times New Roman" w:hAnsi="Times New Roman"/>
          <w:b/>
          <w:color w:val="000000"/>
          <w:sz w:val="16"/>
          <w:szCs w:val="16"/>
        </w:rPr>
        <w:t>SUMMARY</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eastAsia="Times New Roman" w:hAnsi="Times New Roman"/>
          <w:color w:val="000000"/>
          <w:sz w:val="16"/>
          <w:szCs w:val="16"/>
        </w:rPr>
        <w:t>Bicytopenia has numerous etiologies but it remains an unexplored territory. 400 cases were studied to determine the etiology of bicytopenia among different age groups and their clinico- hematological profile was studied extensively.</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eastAsia="Times New Roman" w:hAnsi="Times New Roman"/>
          <w:color w:val="000000"/>
          <w:sz w:val="16"/>
          <w:szCs w:val="16"/>
        </w:rPr>
        <w:t xml:space="preserve">It was observed that bicytopenia was more common in males than in females with a male to female ratio of 1.6:1. Bicytopenia was seen in all age groups ranging from 1 day to 90 years with mean age at presentation being 30.7 years. </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eastAsia="Times New Roman" w:hAnsi="Times New Roman"/>
          <w:color w:val="000000"/>
          <w:sz w:val="16"/>
          <w:szCs w:val="16"/>
        </w:rPr>
        <w:t>Anemia with thrombocytopenia (61%) was observed to be the most common bicytopenia followed by anemia with leucopenia (26%) and lastly leucopenia with thrombocytopenia (13%). Anemia with thrombocytopenia was most significant in non-malignant etiology (p &lt;0.001) and malignant etiology (p &lt;0.001). Leucopenia with thrombocytopenia and anemia with leucopenia were equally significant in infectious etiology (p &lt;0.001). Anemia with thrombocytopenia was the predominant bicytopenia in drug induced etiology closely followed by anemia with leucopenia (p &lt;0.001).</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eastAsia="Times New Roman" w:hAnsi="Times New Roman"/>
          <w:color w:val="000000"/>
          <w:sz w:val="16"/>
          <w:szCs w:val="16"/>
        </w:rPr>
        <w:t>The most common etiology of bicytopenia was found to be non malignant (31.75 %), followed by infectious (31.75%), malignant cases (8.25%) and drug induced (4%). The most common etiology of bicytopenia in neonates and infants less than 1 year of age was non-malignant. In the age group 1-12 years, the most common etiology was infectious. In the age groups 13-18 years, 19- 59 years and 60 years above, the most common etiology of bicytopenia was observed to be non-malignant. A statistically significant correlation was observed between the age at presentation and the etiology (p &lt;0.001).</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eastAsia="Times New Roman" w:hAnsi="Times New Roman"/>
          <w:color w:val="000000"/>
          <w:sz w:val="16"/>
          <w:szCs w:val="16"/>
        </w:rPr>
        <w:t>The bone marrow studies demonstrated megaloblastic anemia to be the most common cause of bicytopenia.</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eastAsia="Times New Roman" w:hAnsi="Times New Roman"/>
          <w:color w:val="000000"/>
          <w:sz w:val="16"/>
          <w:szCs w:val="16"/>
        </w:rPr>
        <w:t xml:space="preserve">The most common symptom at the time of presentation was fever (53.5%), followed by pallor (42.5%), bleeding/petechiae/purpura/ecchymosis (21.25%), splenomegaly (12.75%), hepatomegaly (12.25%) and lymphadenopathy (7.75%). </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eastAsia="Times New Roman" w:hAnsi="Times New Roman"/>
          <w:color w:val="000000"/>
          <w:sz w:val="16"/>
          <w:szCs w:val="16"/>
        </w:rPr>
        <w:t>Lymphadenopathy, splenomegaly and hepatomegaly demonstrated a statistically significant relationship with hematological malignancies (p &lt;0.001). Pallor, bleeding, hepatomegaly and splenomegaly were most significant in non- malignant conditions (p &lt;0.001). Fever and lymphadenopathy were the most significant clinical features observed in infectious category (p &lt;0.001). The most significant symptoms in drug-induced etiology were lymphadenopathy, hepatomegaly and splenomegaly (p &lt;0.001).</w:t>
      </w:r>
    </w:p>
    <w:p w:rsidR="00EB70B3" w:rsidRPr="00EB70B3" w:rsidRDefault="00EB70B3" w:rsidP="00EB70B3">
      <w:pPr>
        <w:spacing w:before="120" w:after="120" w:line="240" w:lineRule="auto"/>
        <w:jc w:val="both"/>
        <w:rPr>
          <w:rFonts w:ascii="Times New Roman" w:eastAsia="Times New Roman" w:hAnsi="Times New Roman"/>
          <w:color w:val="000000"/>
          <w:sz w:val="16"/>
          <w:szCs w:val="16"/>
        </w:rPr>
      </w:pPr>
      <w:r w:rsidRPr="00EB70B3">
        <w:rPr>
          <w:rFonts w:ascii="Times New Roman" w:eastAsia="Times New Roman" w:hAnsi="Times New Roman"/>
          <w:color w:val="000000"/>
          <w:sz w:val="16"/>
          <w:szCs w:val="16"/>
        </w:rPr>
        <w:lastRenderedPageBreak/>
        <w:t>Hence, it can be concluded that bicytopenia is a significant clinical indicator for many non- malignant and malignant diseases. The knowledge of its etiologies can help in  diagnosisand efficient management.</w:t>
      </w:r>
    </w:p>
    <w:p w:rsidR="00EB70B3" w:rsidRDefault="00EB70B3" w:rsidP="00EB70B3">
      <w:pPr>
        <w:pStyle w:val="Default"/>
        <w:spacing w:before="120" w:after="120"/>
        <w:rPr>
          <w:sz w:val="16"/>
          <w:szCs w:val="16"/>
        </w:rPr>
      </w:pPr>
    </w:p>
    <w:p w:rsidR="00EB70B3" w:rsidRPr="00EB70B3" w:rsidRDefault="00EB70B3" w:rsidP="00EB70B3">
      <w:pPr>
        <w:spacing w:before="120" w:after="120" w:line="240" w:lineRule="auto"/>
        <w:jc w:val="center"/>
        <w:rPr>
          <w:rFonts w:ascii="Times New Roman" w:hAnsi="Times New Roman"/>
          <w:b/>
          <w:sz w:val="16"/>
          <w:szCs w:val="16"/>
        </w:rPr>
      </w:pPr>
      <w:r w:rsidRPr="00EB70B3">
        <w:rPr>
          <w:rFonts w:ascii="Times New Roman" w:hAnsi="Times New Roman"/>
          <w:b/>
          <w:sz w:val="16"/>
          <w:szCs w:val="16"/>
        </w:rPr>
        <w:t>REFERENCES</w:t>
      </w:r>
    </w:p>
    <w:p w:rsidR="00EB70B3" w:rsidRPr="00EB70B3" w:rsidRDefault="00EB70B3" w:rsidP="00EB70B3">
      <w:pPr>
        <w:spacing w:line="240" w:lineRule="auto"/>
        <w:rPr>
          <w:sz w:val="16"/>
          <w:szCs w:val="16"/>
        </w:rPr>
      </w:pPr>
    </w:p>
    <w:p w:rsidR="00EB70B3" w:rsidRPr="00EB70B3" w:rsidRDefault="00DA3B95" w:rsidP="00EB70B3">
      <w:pPr>
        <w:pStyle w:val="EndNoteBibliography"/>
        <w:spacing w:after="0"/>
        <w:rPr>
          <w:noProof/>
          <w:sz w:val="16"/>
          <w:szCs w:val="16"/>
        </w:rPr>
      </w:pPr>
      <w:r w:rsidRPr="00DA3B95">
        <w:rPr>
          <w:sz w:val="16"/>
          <w:szCs w:val="16"/>
        </w:rPr>
        <w:fldChar w:fldCharType="begin"/>
      </w:r>
      <w:r w:rsidR="00EB70B3" w:rsidRPr="00EB70B3">
        <w:rPr>
          <w:sz w:val="16"/>
          <w:szCs w:val="16"/>
        </w:rPr>
        <w:instrText xml:space="preserve"> ADDIN EN.REFLIST </w:instrText>
      </w:r>
      <w:r w:rsidRPr="00DA3B95">
        <w:rPr>
          <w:sz w:val="16"/>
          <w:szCs w:val="16"/>
        </w:rPr>
        <w:fldChar w:fldCharType="separate"/>
      </w:r>
      <w:r w:rsidR="00EB70B3" w:rsidRPr="00EB70B3">
        <w:rPr>
          <w:noProof/>
          <w:sz w:val="16"/>
          <w:szCs w:val="16"/>
        </w:rPr>
        <w:t>1.</w:t>
      </w:r>
      <w:r w:rsidR="00EB70B3" w:rsidRPr="00EB70B3">
        <w:rPr>
          <w:noProof/>
          <w:sz w:val="16"/>
          <w:szCs w:val="16"/>
        </w:rPr>
        <w:tab/>
        <w:t xml:space="preserve">Harper D. blood: Online Etymology Dictionary; 2015 [Available from: </w:t>
      </w:r>
      <w:hyperlink r:id="rId9" w:history="1">
        <w:r w:rsidR="00EB70B3" w:rsidRPr="00EB70B3">
          <w:rPr>
            <w:rStyle w:val="Hyperlink"/>
            <w:noProof/>
            <w:sz w:val="16"/>
            <w:szCs w:val="16"/>
          </w:rPr>
          <w:t>http://dictionary.reference.com/browse/blood</w:t>
        </w:r>
      </w:hyperlink>
      <w:r w:rsidR="00EB70B3" w:rsidRPr="00EB70B3">
        <w:rPr>
          <w:noProof/>
          <w:sz w:val="16"/>
          <w:szCs w:val="16"/>
        </w:rPr>
        <w:t>.</w:t>
      </w:r>
    </w:p>
    <w:p w:rsidR="00EB70B3" w:rsidRPr="00EB70B3" w:rsidRDefault="00EB70B3" w:rsidP="00EB70B3">
      <w:pPr>
        <w:pStyle w:val="EndNoteBibliography"/>
        <w:spacing w:after="0"/>
        <w:rPr>
          <w:noProof/>
          <w:sz w:val="16"/>
          <w:szCs w:val="16"/>
        </w:rPr>
      </w:pPr>
      <w:r w:rsidRPr="00EB70B3">
        <w:rPr>
          <w:noProof/>
          <w:sz w:val="16"/>
          <w:szCs w:val="16"/>
        </w:rPr>
        <w:t>2.</w:t>
      </w:r>
      <w:r w:rsidRPr="00EB70B3">
        <w:rPr>
          <w:noProof/>
          <w:sz w:val="16"/>
          <w:szCs w:val="16"/>
        </w:rPr>
        <w:tab/>
        <w:t>Bates I, Bain B. Approach to diagnosis and classification of blood diseases. In: Lewis S, Bain B, Bates I, Laffan M, editors. Dacie and Lewis Practical Haematology. 11 ed. Philadelphia: Churchill Livingstone; 2012. p. 549-62.</w:t>
      </w:r>
    </w:p>
    <w:p w:rsidR="00EB70B3" w:rsidRPr="00EB70B3" w:rsidRDefault="00EB70B3" w:rsidP="00EB70B3">
      <w:pPr>
        <w:pStyle w:val="EndNoteBibliography"/>
        <w:spacing w:after="0"/>
        <w:rPr>
          <w:noProof/>
          <w:sz w:val="16"/>
          <w:szCs w:val="16"/>
        </w:rPr>
      </w:pPr>
      <w:r w:rsidRPr="00EB70B3">
        <w:rPr>
          <w:noProof/>
          <w:sz w:val="16"/>
          <w:szCs w:val="16"/>
        </w:rPr>
        <w:t>3.</w:t>
      </w:r>
      <w:r w:rsidRPr="00EB70B3">
        <w:rPr>
          <w:noProof/>
          <w:sz w:val="16"/>
          <w:szCs w:val="16"/>
        </w:rPr>
        <w:tab/>
        <w:t>Naseem S, Varma N, Das R, Ahluwalia J, Sachdeva M. Pediatric patients with bicytopenia/pancytopenia: review of etiologies and clinico-hematological profile at a tertiary centre. IJPM. 2011;54(1):75-80.</w:t>
      </w:r>
    </w:p>
    <w:p w:rsidR="00EB70B3" w:rsidRPr="00EB70B3" w:rsidRDefault="00EB70B3" w:rsidP="00EB70B3">
      <w:pPr>
        <w:pStyle w:val="EndNoteBibliography"/>
        <w:spacing w:after="0"/>
        <w:rPr>
          <w:noProof/>
          <w:sz w:val="16"/>
          <w:szCs w:val="16"/>
        </w:rPr>
      </w:pPr>
      <w:r w:rsidRPr="00EB70B3">
        <w:rPr>
          <w:noProof/>
          <w:sz w:val="16"/>
          <w:szCs w:val="16"/>
        </w:rPr>
        <w:t>4.</w:t>
      </w:r>
      <w:r w:rsidRPr="00EB70B3">
        <w:rPr>
          <w:noProof/>
          <w:sz w:val="16"/>
          <w:szCs w:val="16"/>
        </w:rPr>
        <w:tab/>
        <w:t>Ayub T, Khan F. Prevalence of megaloblastic anaemia in a paediatric unit. Gomal J Med Sci. 2009;7:62-4.</w:t>
      </w:r>
    </w:p>
    <w:p w:rsidR="00EB70B3" w:rsidRPr="00EB70B3" w:rsidRDefault="00EB70B3" w:rsidP="00EB70B3">
      <w:pPr>
        <w:pStyle w:val="EndNoteBibliography"/>
        <w:spacing w:after="0"/>
        <w:rPr>
          <w:noProof/>
          <w:sz w:val="16"/>
          <w:szCs w:val="16"/>
        </w:rPr>
      </w:pPr>
      <w:r w:rsidRPr="00EB70B3">
        <w:rPr>
          <w:noProof/>
          <w:sz w:val="16"/>
          <w:szCs w:val="16"/>
        </w:rPr>
        <w:t>5.</w:t>
      </w:r>
      <w:r w:rsidRPr="00EB70B3">
        <w:rPr>
          <w:noProof/>
          <w:sz w:val="16"/>
          <w:szCs w:val="16"/>
        </w:rPr>
        <w:tab/>
        <w:t>study Iaaaa. Incidence of aplastic anemia: The relevance of diagnostic criteria. Blood. 1987;70(1718-21).</w:t>
      </w:r>
    </w:p>
    <w:p w:rsidR="00EB70B3" w:rsidRPr="00EB70B3" w:rsidRDefault="00EB70B3" w:rsidP="00EB70B3">
      <w:pPr>
        <w:pStyle w:val="EndNoteBibliography"/>
        <w:spacing w:after="0"/>
        <w:rPr>
          <w:noProof/>
          <w:sz w:val="16"/>
          <w:szCs w:val="16"/>
        </w:rPr>
      </w:pPr>
      <w:r w:rsidRPr="00EB70B3">
        <w:rPr>
          <w:noProof/>
          <w:sz w:val="16"/>
          <w:szCs w:val="16"/>
        </w:rPr>
        <w:t>6.</w:t>
      </w:r>
      <w:r w:rsidRPr="00EB70B3">
        <w:rPr>
          <w:noProof/>
          <w:sz w:val="16"/>
          <w:szCs w:val="16"/>
        </w:rPr>
        <w:tab/>
        <w:t>Williams JL. Hematopoesis. In: Mckenzie SB, Williams JL, editors. Clinical Laboratory Hematology. 1. New Jersey: Pearson Education INc.; 2010. p. 31-49.</w:t>
      </w:r>
    </w:p>
    <w:p w:rsidR="00EB70B3" w:rsidRPr="00EB70B3" w:rsidRDefault="00EB70B3" w:rsidP="00EB70B3">
      <w:pPr>
        <w:pStyle w:val="EndNoteBibliography"/>
        <w:spacing w:after="0"/>
        <w:rPr>
          <w:noProof/>
          <w:sz w:val="16"/>
          <w:szCs w:val="16"/>
        </w:rPr>
      </w:pPr>
      <w:r w:rsidRPr="00EB70B3">
        <w:rPr>
          <w:noProof/>
          <w:sz w:val="16"/>
          <w:szCs w:val="16"/>
        </w:rPr>
        <w:t>7.</w:t>
      </w:r>
      <w:r w:rsidRPr="00EB70B3">
        <w:rPr>
          <w:noProof/>
          <w:sz w:val="16"/>
          <w:szCs w:val="16"/>
        </w:rPr>
        <w:tab/>
        <w:t>Debili N, Coulombel L, Croisille L, Katz A, Guichard J, Breton-Gorius J, et al. Characterization of a bipotent erythro-megakaryocytic progenitor in human bone marrow. Blood. 1996;88(4):1284-96.</w:t>
      </w:r>
    </w:p>
    <w:p w:rsidR="00EB70B3" w:rsidRPr="00EB70B3" w:rsidRDefault="00EB70B3" w:rsidP="00EB70B3">
      <w:pPr>
        <w:pStyle w:val="EndNoteBibliography"/>
        <w:spacing w:after="0"/>
        <w:rPr>
          <w:noProof/>
          <w:sz w:val="16"/>
          <w:szCs w:val="16"/>
        </w:rPr>
      </w:pPr>
      <w:r w:rsidRPr="00EB70B3">
        <w:rPr>
          <w:noProof/>
          <w:sz w:val="16"/>
          <w:szCs w:val="16"/>
        </w:rPr>
        <w:t>8.</w:t>
      </w:r>
      <w:r w:rsidRPr="00EB70B3">
        <w:rPr>
          <w:noProof/>
          <w:sz w:val="16"/>
          <w:szCs w:val="16"/>
        </w:rPr>
        <w:tab/>
        <w:t>Arceci RJ, Aplenc R. Acute Myelogenous Leukemia in Children. In: Greer JP, Foerster J, Rodgers GM, Paraskevas F, Glader B, Arber DA, et al., editors. Wintrobe's Clinical Hematology. 2. Philadelphia: Lippincott Williams &amp; Wilkins; 2009. p. 1919-37.</w:t>
      </w:r>
    </w:p>
    <w:p w:rsidR="00EB70B3" w:rsidRPr="00EB70B3" w:rsidRDefault="00EB70B3" w:rsidP="00EB70B3">
      <w:pPr>
        <w:pStyle w:val="EndNoteBibliography"/>
        <w:spacing w:after="0"/>
        <w:rPr>
          <w:noProof/>
          <w:sz w:val="16"/>
          <w:szCs w:val="16"/>
        </w:rPr>
      </w:pPr>
      <w:r w:rsidRPr="00EB70B3">
        <w:rPr>
          <w:noProof/>
          <w:sz w:val="16"/>
          <w:szCs w:val="16"/>
        </w:rPr>
        <w:t>9.</w:t>
      </w:r>
      <w:r w:rsidRPr="00EB70B3">
        <w:rPr>
          <w:noProof/>
          <w:sz w:val="16"/>
          <w:szCs w:val="16"/>
        </w:rPr>
        <w:tab/>
      </w:r>
      <w:r w:rsidRPr="00EB70B3">
        <w:rPr>
          <w:rFonts w:ascii="Times New Roman" w:hAnsi="Times New Roman"/>
          <w:noProof/>
          <w:sz w:val="16"/>
          <w:szCs w:val="16"/>
        </w:rPr>
        <w:t>Souza LJd</w:t>
      </w:r>
      <w:r w:rsidRPr="00EB70B3">
        <w:rPr>
          <w:noProof/>
          <w:sz w:val="16"/>
          <w:szCs w:val="16"/>
        </w:rPr>
        <w:t xml:space="preserve">, </w:t>
      </w:r>
      <w:r w:rsidRPr="00EB70B3">
        <w:rPr>
          <w:rFonts w:ascii="Times New Roman" w:hAnsi="Times New Roman"/>
          <w:noProof/>
          <w:sz w:val="16"/>
          <w:szCs w:val="16"/>
        </w:rPr>
        <w:t>Pessanha LB</w:t>
      </w:r>
      <w:r w:rsidRPr="00EB70B3">
        <w:rPr>
          <w:noProof/>
          <w:sz w:val="16"/>
          <w:szCs w:val="16"/>
        </w:rPr>
        <w:t xml:space="preserve">, </w:t>
      </w:r>
      <w:r w:rsidRPr="00EB70B3">
        <w:rPr>
          <w:rFonts w:ascii="Times New Roman" w:hAnsi="Times New Roman"/>
          <w:noProof/>
          <w:sz w:val="16"/>
          <w:szCs w:val="16"/>
        </w:rPr>
        <w:t>Mansur LC</w:t>
      </w:r>
      <w:r w:rsidRPr="00EB70B3">
        <w:rPr>
          <w:noProof/>
          <w:sz w:val="16"/>
          <w:szCs w:val="16"/>
        </w:rPr>
        <w:t xml:space="preserve">, </w:t>
      </w:r>
      <w:r w:rsidRPr="00EB70B3">
        <w:rPr>
          <w:rFonts w:ascii="Times New Roman" w:hAnsi="Times New Roman"/>
          <w:noProof/>
          <w:sz w:val="16"/>
          <w:szCs w:val="16"/>
        </w:rPr>
        <w:t>Souza LAd</w:t>
      </w:r>
      <w:r w:rsidRPr="00EB70B3">
        <w:rPr>
          <w:noProof/>
          <w:sz w:val="16"/>
          <w:szCs w:val="16"/>
        </w:rPr>
        <w:t xml:space="preserve">, </w:t>
      </w:r>
      <w:r w:rsidRPr="00EB70B3">
        <w:rPr>
          <w:rFonts w:ascii="Times New Roman" w:hAnsi="Times New Roman"/>
          <w:noProof/>
          <w:sz w:val="16"/>
          <w:szCs w:val="16"/>
        </w:rPr>
        <w:t>Ribeiro MBT</w:t>
      </w:r>
      <w:r w:rsidRPr="00EB70B3">
        <w:rPr>
          <w:noProof/>
          <w:sz w:val="16"/>
          <w:szCs w:val="16"/>
        </w:rPr>
        <w:t xml:space="preserve">, </w:t>
      </w:r>
      <w:r w:rsidRPr="00EB70B3">
        <w:rPr>
          <w:rFonts w:ascii="Times New Roman" w:hAnsi="Times New Roman"/>
          <w:noProof/>
          <w:sz w:val="16"/>
          <w:szCs w:val="16"/>
        </w:rPr>
        <w:t>Silveira MdVd</w:t>
      </w:r>
      <w:r w:rsidRPr="00EB70B3">
        <w:rPr>
          <w:noProof/>
          <w:sz w:val="16"/>
          <w:szCs w:val="16"/>
        </w:rPr>
        <w:t xml:space="preserve">, et al. </w:t>
      </w:r>
      <w:r w:rsidRPr="00EB70B3">
        <w:rPr>
          <w:rFonts w:ascii="Times New Roman" w:hAnsi="Times New Roman"/>
          <w:noProof/>
          <w:sz w:val="16"/>
          <w:szCs w:val="16"/>
        </w:rPr>
        <w:t>Comparison of clinical and laboratory characteristics between children and adults with dengue</w:t>
      </w:r>
      <w:r w:rsidRPr="00EB70B3">
        <w:rPr>
          <w:noProof/>
          <w:sz w:val="16"/>
          <w:szCs w:val="16"/>
        </w:rPr>
        <w:t>. braz j infectdis 2013;17(1):27-31.</w:t>
      </w:r>
    </w:p>
    <w:p w:rsidR="00EB70B3" w:rsidRPr="00EB70B3" w:rsidRDefault="00EB70B3" w:rsidP="00EB70B3">
      <w:pPr>
        <w:pStyle w:val="EndNoteBibliography"/>
        <w:spacing w:after="0"/>
        <w:rPr>
          <w:noProof/>
          <w:sz w:val="16"/>
          <w:szCs w:val="16"/>
        </w:rPr>
      </w:pPr>
      <w:r w:rsidRPr="00EB70B3">
        <w:rPr>
          <w:noProof/>
          <w:sz w:val="16"/>
          <w:szCs w:val="16"/>
        </w:rPr>
        <w:t>10.</w:t>
      </w:r>
      <w:r w:rsidRPr="00EB70B3">
        <w:rPr>
          <w:noProof/>
          <w:sz w:val="16"/>
          <w:szCs w:val="16"/>
        </w:rPr>
        <w:tab/>
        <w:t>Hubbard J. Megaloblastic and non-megaloblastic macrocytic anemias. In: Mckenzie SB, Williams JL, editors. Clinical Laboratory Hematology. 1. New Jersey: Pearson Education Inc.; 2010. p. 31-49.</w:t>
      </w:r>
    </w:p>
    <w:p w:rsidR="00EB70B3" w:rsidRPr="00EB70B3" w:rsidRDefault="00EB70B3" w:rsidP="00EB70B3">
      <w:pPr>
        <w:pStyle w:val="EndNoteBibliography"/>
        <w:spacing w:after="0"/>
        <w:rPr>
          <w:noProof/>
          <w:sz w:val="16"/>
          <w:szCs w:val="16"/>
        </w:rPr>
      </w:pPr>
      <w:r w:rsidRPr="00EB70B3">
        <w:rPr>
          <w:noProof/>
          <w:sz w:val="16"/>
          <w:szCs w:val="16"/>
        </w:rPr>
        <w:t>11.</w:t>
      </w:r>
      <w:r w:rsidRPr="00EB70B3">
        <w:rPr>
          <w:noProof/>
          <w:sz w:val="16"/>
          <w:szCs w:val="16"/>
        </w:rPr>
        <w:tab/>
        <w:t>Latvala J, Parkkila S, Niemelä O. Excess alcohol consumption is common in patients with cytopenia: studies in blood and bone marrow cells. Alcohol Clin Exp Res. 2004;28(4):619-24.</w:t>
      </w:r>
    </w:p>
    <w:p w:rsidR="00EB70B3" w:rsidRPr="00EB70B3" w:rsidRDefault="00EB70B3" w:rsidP="00EB70B3">
      <w:pPr>
        <w:pStyle w:val="EndNoteBibliography"/>
        <w:spacing w:after="0"/>
        <w:rPr>
          <w:noProof/>
          <w:sz w:val="16"/>
          <w:szCs w:val="16"/>
        </w:rPr>
      </w:pPr>
      <w:r w:rsidRPr="00EB70B3">
        <w:rPr>
          <w:noProof/>
          <w:sz w:val="16"/>
          <w:szCs w:val="16"/>
        </w:rPr>
        <w:t>12.</w:t>
      </w:r>
      <w:r w:rsidRPr="00EB70B3">
        <w:rPr>
          <w:noProof/>
          <w:sz w:val="16"/>
          <w:szCs w:val="16"/>
        </w:rPr>
        <w:tab/>
        <w:t>Schmidt P. Hematologic anomalies in alcoholic cirrhosis. Schweiz Med Wochenschr. 1983;113(29):1025-30.</w:t>
      </w:r>
    </w:p>
    <w:p w:rsidR="00EB70B3" w:rsidRPr="00EB70B3" w:rsidRDefault="00EB70B3" w:rsidP="00EB70B3">
      <w:pPr>
        <w:pStyle w:val="EndNoteBibliography"/>
        <w:spacing w:after="0"/>
        <w:rPr>
          <w:noProof/>
          <w:sz w:val="16"/>
          <w:szCs w:val="16"/>
        </w:rPr>
      </w:pPr>
      <w:r w:rsidRPr="00EB70B3">
        <w:rPr>
          <w:noProof/>
          <w:sz w:val="16"/>
          <w:szCs w:val="16"/>
        </w:rPr>
        <w:t>13.</w:t>
      </w:r>
      <w:r w:rsidRPr="00EB70B3">
        <w:rPr>
          <w:noProof/>
          <w:sz w:val="16"/>
          <w:szCs w:val="16"/>
        </w:rPr>
        <w:tab/>
      </w:r>
      <w:r w:rsidRPr="00EB70B3">
        <w:rPr>
          <w:rFonts w:ascii="Times New Roman" w:hAnsi="Times New Roman"/>
          <w:noProof/>
          <w:sz w:val="16"/>
          <w:szCs w:val="16"/>
        </w:rPr>
        <w:t>Andrews NC</w:t>
      </w:r>
      <w:r w:rsidRPr="00EB70B3">
        <w:rPr>
          <w:noProof/>
          <w:sz w:val="16"/>
          <w:szCs w:val="16"/>
        </w:rPr>
        <w:t xml:space="preserve">. </w:t>
      </w:r>
      <w:r w:rsidRPr="00EB70B3">
        <w:rPr>
          <w:rFonts w:ascii="Times New Roman" w:hAnsi="Times New Roman"/>
          <w:noProof/>
          <w:sz w:val="16"/>
          <w:szCs w:val="16"/>
        </w:rPr>
        <w:t>Iron Deficiency and Related Disorders</w:t>
      </w:r>
      <w:r w:rsidRPr="00EB70B3">
        <w:rPr>
          <w:noProof/>
          <w:sz w:val="16"/>
          <w:szCs w:val="16"/>
        </w:rPr>
        <w:t>. In: Greer JP, Foerster J, Rodgers GM, Paraskevas F, Glader B, Arber DA, et al., editors. Wintrobe's Clinical Hematology. 1. Philadelphia: Lippincott Williams &amp; Wilkins; 2009. p. 810-34.</w:t>
      </w:r>
    </w:p>
    <w:p w:rsidR="00EB70B3" w:rsidRPr="00EB70B3" w:rsidRDefault="00EB70B3" w:rsidP="00EB70B3">
      <w:pPr>
        <w:pStyle w:val="EndNoteBibliography"/>
        <w:spacing w:after="0"/>
        <w:rPr>
          <w:noProof/>
          <w:sz w:val="16"/>
          <w:szCs w:val="16"/>
        </w:rPr>
      </w:pPr>
      <w:r w:rsidRPr="00EB70B3">
        <w:rPr>
          <w:noProof/>
          <w:sz w:val="16"/>
          <w:szCs w:val="16"/>
        </w:rPr>
        <w:t>14.</w:t>
      </w:r>
      <w:r w:rsidRPr="00EB70B3">
        <w:rPr>
          <w:noProof/>
          <w:sz w:val="16"/>
          <w:szCs w:val="16"/>
        </w:rPr>
        <w:tab/>
        <w:t>Borgna-Pignatti C, Galanello R. Thalassemias and Related Disorders: Quantitative Disorders of Hemoglobin Synthesis. In: Greer JP, Foerster J, Rodgers GM, Paraskevas F, Glader B, Arber DA, et al., editors. Wintrobe's Clinical Hematology. Philadelphia: Lippincott Williams &amp; Wilkins; 2009. p. 1084-131.</w:t>
      </w:r>
    </w:p>
    <w:p w:rsidR="00EB70B3" w:rsidRPr="00EB70B3" w:rsidRDefault="00EB70B3" w:rsidP="00EB70B3">
      <w:pPr>
        <w:pStyle w:val="EndNoteBibliography"/>
        <w:spacing w:after="0"/>
        <w:rPr>
          <w:noProof/>
          <w:sz w:val="16"/>
          <w:szCs w:val="16"/>
        </w:rPr>
      </w:pPr>
      <w:r w:rsidRPr="00EB70B3">
        <w:rPr>
          <w:noProof/>
          <w:sz w:val="16"/>
          <w:szCs w:val="16"/>
        </w:rPr>
        <w:t>15.</w:t>
      </w:r>
      <w:r w:rsidRPr="00EB70B3">
        <w:rPr>
          <w:noProof/>
          <w:sz w:val="16"/>
          <w:szCs w:val="16"/>
        </w:rPr>
        <w:tab/>
        <w:t>Songdej D, Sirachainan N, Wongwerawattanakoon P, Sasanakul W, Kadegasem P, Sungkarat W, et al. Combined Chelation Therapy with Daily Oral Deferiprone and Twice-Weekly Subcutaneous Infusion of Desferrioxamine in Children with β-Thalassemia: 3-Year Experience. Acta Haematol. 2015;133:226-36.</w:t>
      </w:r>
    </w:p>
    <w:p w:rsidR="00EB70B3" w:rsidRPr="00EB70B3" w:rsidRDefault="00EB70B3" w:rsidP="00EB70B3">
      <w:pPr>
        <w:pStyle w:val="EndNoteBibliography"/>
        <w:spacing w:after="0"/>
        <w:rPr>
          <w:noProof/>
          <w:sz w:val="16"/>
          <w:szCs w:val="16"/>
        </w:rPr>
      </w:pPr>
      <w:r w:rsidRPr="00EB70B3">
        <w:rPr>
          <w:noProof/>
          <w:sz w:val="16"/>
          <w:szCs w:val="16"/>
        </w:rPr>
        <w:t>16.</w:t>
      </w:r>
      <w:r w:rsidRPr="00EB70B3">
        <w:rPr>
          <w:noProof/>
          <w:sz w:val="16"/>
          <w:szCs w:val="16"/>
        </w:rPr>
        <w:tab/>
        <w:t>Charoo B, Iqbal J, Iqbal Q, Mushtaq S, Bhat A, Nawaz I. Nosocomial sepsis-induced late onset thrombocytopenia in a neonatal tertiary care unit: a prospective study. An Pediatr (Barc). 2008;69(6):533-43.</w:t>
      </w:r>
    </w:p>
    <w:p w:rsidR="00EB70B3" w:rsidRPr="00EB70B3" w:rsidRDefault="00EB70B3" w:rsidP="00EB70B3">
      <w:pPr>
        <w:pStyle w:val="EndNoteBibliography"/>
        <w:spacing w:after="0"/>
        <w:rPr>
          <w:noProof/>
          <w:sz w:val="16"/>
          <w:szCs w:val="16"/>
        </w:rPr>
      </w:pPr>
      <w:r w:rsidRPr="00EB70B3">
        <w:rPr>
          <w:noProof/>
          <w:sz w:val="16"/>
          <w:szCs w:val="16"/>
        </w:rPr>
        <w:t>17.</w:t>
      </w:r>
      <w:r w:rsidRPr="00EB70B3">
        <w:rPr>
          <w:noProof/>
          <w:sz w:val="16"/>
          <w:szCs w:val="16"/>
        </w:rPr>
        <w:tab/>
      </w:r>
      <w:r w:rsidRPr="00EB70B3">
        <w:rPr>
          <w:rFonts w:ascii="Times New Roman" w:hAnsi="Times New Roman"/>
          <w:noProof/>
          <w:sz w:val="16"/>
          <w:szCs w:val="16"/>
        </w:rPr>
        <w:t>Sifakis S</w:t>
      </w:r>
      <w:r w:rsidRPr="00EB70B3">
        <w:rPr>
          <w:noProof/>
          <w:sz w:val="16"/>
          <w:szCs w:val="16"/>
        </w:rPr>
        <w:t xml:space="preserve">, </w:t>
      </w:r>
      <w:r w:rsidRPr="00EB70B3">
        <w:rPr>
          <w:rFonts w:ascii="Times New Roman" w:hAnsi="Times New Roman"/>
          <w:noProof/>
          <w:sz w:val="16"/>
          <w:szCs w:val="16"/>
        </w:rPr>
        <w:t>Pharmakides G</w:t>
      </w:r>
      <w:r w:rsidRPr="00EB70B3">
        <w:rPr>
          <w:noProof/>
          <w:sz w:val="16"/>
          <w:szCs w:val="16"/>
        </w:rPr>
        <w:t>. Anemia in Pregnancy. Annals of the New York Academy of Sciences. 2000;900:125-36.</w:t>
      </w:r>
    </w:p>
    <w:p w:rsidR="00EB70B3" w:rsidRPr="00EB70B3" w:rsidRDefault="00EB70B3" w:rsidP="00EB70B3">
      <w:pPr>
        <w:pStyle w:val="EndNoteBibliography"/>
        <w:spacing w:after="0"/>
        <w:rPr>
          <w:noProof/>
          <w:sz w:val="16"/>
          <w:szCs w:val="16"/>
        </w:rPr>
      </w:pPr>
      <w:r w:rsidRPr="00EB70B3">
        <w:rPr>
          <w:noProof/>
          <w:sz w:val="16"/>
          <w:szCs w:val="16"/>
        </w:rPr>
        <w:t>18.</w:t>
      </w:r>
      <w:r w:rsidRPr="00EB70B3">
        <w:rPr>
          <w:noProof/>
          <w:sz w:val="16"/>
          <w:szCs w:val="16"/>
        </w:rPr>
        <w:tab/>
        <w:t>Tefferi A. Primary Myelofibrosis. In: Greer JP, Foerster J, Rodgers GM, Paraskevas F, Glader B, Arber DA, et al., editors. Wintrobe's Clinical Hematology. 2. Philadelphia: Lippincott Williams &amp; Wilkins Publishers; 2009. p. 4505-32.</w:t>
      </w:r>
    </w:p>
    <w:p w:rsidR="00EB70B3" w:rsidRPr="00EB70B3" w:rsidRDefault="00EB70B3" w:rsidP="00EB70B3">
      <w:pPr>
        <w:pStyle w:val="EndNoteBibliography"/>
        <w:spacing w:after="0"/>
        <w:rPr>
          <w:noProof/>
          <w:sz w:val="16"/>
          <w:szCs w:val="16"/>
        </w:rPr>
      </w:pPr>
      <w:r w:rsidRPr="00EB70B3">
        <w:rPr>
          <w:noProof/>
          <w:sz w:val="16"/>
          <w:szCs w:val="16"/>
        </w:rPr>
        <w:t>19.</w:t>
      </w:r>
      <w:r w:rsidRPr="00EB70B3">
        <w:rPr>
          <w:noProof/>
          <w:sz w:val="16"/>
          <w:szCs w:val="16"/>
        </w:rPr>
        <w:tab/>
        <w:t>Kaplan P, Andersson HC, Kacena KA, Yee JD. The Clinical and Demographic Characteristics of Nonneuronopathic Gaucher Disease in 887 Children at Diagnosis. Arch Pediatr Adolesc Med. 2006;160(6):603-8.</w:t>
      </w:r>
    </w:p>
    <w:p w:rsidR="00EB70B3" w:rsidRPr="00EB70B3" w:rsidRDefault="00EB70B3" w:rsidP="00EB70B3">
      <w:pPr>
        <w:pStyle w:val="EndNoteBibliography"/>
        <w:spacing w:after="0"/>
        <w:rPr>
          <w:noProof/>
          <w:sz w:val="16"/>
          <w:szCs w:val="16"/>
        </w:rPr>
      </w:pPr>
      <w:r w:rsidRPr="00EB70B3">
        <w:rPr>
          <w:noProof/>
          <w:sz w:val="16"/>
          <w:szCs w:val="16"/>
        </w:rPr>
        <w:t>20.</w:t>
      </w:r>
      <w:r w:rsidRPr="00EB70B3">
        <w:rPr>
          <w:noProof/>
          <w:sz w:val="16"/>
          <w:szCs w:val="16"/>
        </w:rPr>
        <w:tab/>
        <w:t>Binesh F, Yousefi A, Ordooei M, Bagherinasab M. Gaucher’s Disease, an Unusual Cause of Massive Splenomegaly, a Case Report. Iran J Ped Hematol Oncol. 2013;3(4):173-5.</w:t>
      </w:r>
    </w:p>
    <w:p w:rsidR="00EB70B3" w:rsidRPr="00EB70B3" w:rsidRDefault="00EB70B3" w:rsidP="00EB70B3">
      <w:pPr>
        <w:pStyle w:val="EndNoteBibliography"/>
        <w:spacing w:after="0"/>
        <w:rPr>
          <w:noProof/>
          <w:sz w:val="16"/>
          <w:szCs w:val="16"/>
        </w:rPr>
      </w:pPr>
      <w:r w:rsidRPr="00EB70B3">
        <w:rPr>
          <w:noProof/>
          <w:sz w:val="16"/>
          <w:szCs w:val="16"/>
        </w:rPr>
        <w:t>21.</w:t>
      </w:r>
      <w:r w:rsidRPr="00EB70B3">
        <w:rPr>
          <w:noProof/>
          <w:sz w:val="16"/>
          <w:szCs w:val="16"/>
        </w:rPr>
        <w:tab/>
      </w:r>
      <w:r w:rsidRPr="00EB70B3">
        <w:rPr>
          <w:rFonts w:ascii="Times New Roman" w:hAnsi="Times New Roman"/>
          <w:noProof/>
          <w:sz w:val="16"/>
          <w:szCs w:val="16"/>
        </w:rPr>
        <w:t>Means RT</w:t>
      </w:r>
      <w:r w:rsidRPr="00EB70B3">
        <w:rPr>
          <w:noProof/>
          <w:sz w:val="16"/>
          <w:szCs w:val="16"/>
        </w:rPr>
        <w:t>. Anemias During Pregnancy and the Postpartum Period. In: Greer JP, Foerster J, Rodgers GM, Paraskevas F, Glader B, Arber DA, et al., editors. Wintrobe's Clinical Hematology. Philadelphia: Lippincott Williams &amp; Wilkins; 2009. p. 1241-6.</w:t>
      </w:r>
    </w:p>
    <w:p w:rsidR="00EB70B3" w:rsidRPr="00EB70B3" w:rsidRDefault="00EB70B3" w:rsidP="00EB70B3">
      <w:pPr>
        <w:pStyle w:val="EndNoteBibliography"/>
        <w:spacing w:after="0"/>
        <w:rPr>
          <w:noProof/>
          <w:sz w:val="16"/>
          <w:szCs w:val="16"/>
        </w:rPr>
      </w:pPr>
      <w:r w:rsidRPr="00EB70B3">
        <w:rPr>
          <w:noProof/>
          <w:sz w:val="16"/>
          <w:szCs w:val="16"/>
        </w:rPr>
        <w:t>22.</w:t>
      </w:r>
      <w:r w:rsidRPr="00EB70B3">
        <w:rPr>
          <w:noProof/>
          <w:sz w:val="16"/>
          <w:szCs w:val="16"/>
        </w:rPr>
        <w:tab/>
        <w:t>Shvidel L, Tadmor T, Braester A. Pathogenesis, prevalence, and prognostic significance of cytopenias in chronic lymphocytic leukemia (CLL): a retrospective comparative study of 213 patients from a national CLL database of 1,518 cases. Ann Hematol. 2013;92(5):661-7.</w:t>
      </w:r>
    </w:p>
    <w:p w:rsidR="00EB70B3" w:rsidRPr="00EB70B3" w:rsidRDefault="00EB70B3" w:rsidP="00EB70B3">
      <w:pPr>
        <w:pStyle w:val="EndNoteBibliography"/>
        <w:spacing w:after="0"/>
        <w:rPr>
          <w:noProof/>
          <w:sz w:val="16"/>
          <w:szCs w:val="16"/>
        </w:rPr>
      </w:pPr>
      <w:r w:rsidRPr="00EB70B3">
        <w:rPr>
          <w:noProof/>
          <w:sz w:val="16"/>
          <w:szCs w:val="16"/>
        </w:rPr>
        <w:t>23.</w:t>
      </w:r>
      <w:r w:rsidRPr="00EB70B3">
        <w:rPr>
          <w:noProof/>
          <w:sz w:val="16"/>
          <w:szCs w:val="16"/>
        </w:rPr>
        <w:tab/>
        <w:t>Morela Z, Ramírez A. Autoimmune Response in Children With Dengue. Case Reports. Reumatol Clin. 2014;10(4):257-9.</w:t>
      </w:r>
    </w:p>
    <w:p w:rsidR="00EB70B3" w:rsidRPr="00EB70B3" w:rsidRDefault="00EB70B3" w:rsidP="00EB70B3">
      <w:pPr>
        <w:pStyle w:val="EndNoteBibliography"/>
        <w:spacing w:after="0"/>
        <w:rPr>
          <w:noProof/>
          <w:sz w:val="16"/>
          <w:szCs w:val="16"/>
        </w:rPr>
      </w:pPr>
      <w:r w:rsidRPr="00EB70B3">
        <w:rPr>
          <w:noProof/>
          <w:sz w:val="16"/>
          <w:szCs w:val="16"/>
        </w:rPr>
        <w:t>24.</w:t>
      </w:r>
      <w:r w:rsidRPr="00EB70B3">
        <w:rPr>
          <w:noProof/>
          <w:sz w:val="16"/>
          <w:szCs w:val="16"/>
        </w:rPr>
        <w:tab/>
        <w:t>Garg S, Arora R, Kakkar N. Fever and Petechiae in a Middle Aged Male. LABMEDICINE. 2007;38(1):23-5.</w:t>
      </w:r>
    </w:p>
    <w:p w:rsidR="00EB70B3" w:rsidRPr="00EB70B3" w:rsidRDefault="00EB70B3" w:rsidP="00EB70B3">
      <w:pPr>
        <w:pStyle w:val="EndNoteBibliography"/>
        <w:spacing w:after="0"/>
        <w:rPr>
          <w:noProof/>
          <w:sz w:val="16"/>
          <w:szCs w:val="16"/>
        </w:rPr>
      </w:pPr>
      <w:r w:rsidRPr="00EB70B3">
        <w:rPr>
          <w:noProof/>
          <w:sz w:val="16"/>
          <w:szCs w:val="16"/>
        </w:rPr>
        <w:t>25.</w:t>
      </w:r>
      <w:r w:rsidRPr="00EB70B3">
        <w:rPr>
          <w:noProof/>
          <w:sz w:val="16"/>
          <w:szCs w:val="16"/>
        </w:rPr>
        <w:tab/>
        <w:t>Haroon H, Fazel PA, Naeem M, Mobin A, Naqvi AH, Makki K. Hide and seek: hematological aspects of malaria – a developing country perspective. J Infect Dev Ctries. 2013;7(3):273-9.</w:t>
      </w:r>
    </w:p>
    <w:p w:rsidR="00EB70B3" w:rsidRPr="00EB70B3" w:rsidRDefault="00EB70B3" w:rsidP="00EB70B3">
      <w:pPr>
        <w:pStyle w:val="EndNoteBibliography"/>
        <w:spacing w:after="0"/>
        <w:rPr>
          <w:noProof/>
          <w:sz w:val="16"/>
          <w:szCs w:val="16"/>
        </w:rPr>
      </w:pPr>
      <w:r w:rsidRPr="00EB70B3">
        <w:rPr>
          <w:noProof/>
          <w:sz w:val="16"/>
          <w:szCs w:val="16"/>
        </w:rPr>
        <w:t>26.</w:t>
      </w:r>
      <w:r w:rsidRPr="00EB70B3">
        <w:rPr>
          <w:noProof/>
          <w:sz w:val="16"/>
          <w:szCs w:val="16"/>
        </w:rPr>
        <w:tab/>
        <w:t>Coelho HCC, Lopes SCP, Pimentel JPD, Nogueira PA, Costa FTM, Siqueira AM, et al. Thrombocytopenia in Plasmodium vivax Malaria Is Related to Platelets Phagocytosis. PLoS One. 2013;8(5).</w:t>
      </w:r>
    </w:p>
    <w:p w:rsidR="00EB70B3" w:rsidRPr="00EB70B3" w:rsidRDefault="00EB70B3" w:rsidP="00EB70B3">
      <w:pPr>
        <w:pStyle w:val="EndNoteBibliography"/>
        <w:spacing w:after="0"/>
        <w:rPr>
          <w:noProof/>
          <w:sz w:val="16"/>
          <w:szCs w:val="16"/>
        </w:rPr>
      </w:pPr>
      <w:r w:rsidRPr="00EB70B3">
        <w:rPr>
          <w:noProof/>
          <w:sz w:val="16"/>
          <w:szCs w:val="16"/>
        </w:rPr>
        <w:t>27.</w:t>
      </w:r>
      <w:r w:rsidRPr="00EB70B3">
        <w:rPr>
          <w:noProof/>
          <w:sz w:val="16"/>
          <w:szCs w:val="16"/>
        </w:rPr>
        <w:tab/>
      </w:r>
      <w:r w:rsidRPr="00EB70B3">
        <w:rPr>
          <w:rFonts w:ascii="Times New Roman" w:hAnsi="Times New Roman"/>
          <w:noProof/>
          <w:sz w:val="16"/>
          <w:szCs w:val="16"/>
        </w:rPr>
        <w:t>Sloand EM</w:t>
      </w:r>
      <w:r w:rsidRPr="00EB70B3">
        <w:rPr>
          <w:noProof/>
          <w:sz w:val="16"/>
          <w:szCs w:val="16"/>
        </w:rPr>
        <w:t xml:space="preserve">, </w:t>
      </w:r>
      <w:r w:rsidRPr="00EB70B3">
        <w:rPr>
          <w:rFonts w:ascii="Times New Roman" w:hAnsi="Times New Roman"/>
          <w:noProof/>
          <w:sz w:val="16"/>
          <w:szCs w:val="16"/>
        </w:rPr>
        <w:t>Groopman JE</w:t>
      </w:r>
      <w:r w:rsidRPr="00EB70B3">
        <w:rPr>
          <w:noProof/>
          <w:sz w:val="16"/>
          <w:szCs w:val="16"/>
        </w:rPr>
        <w:t xml:space="preserve">. </w:t>
      </w:r>
      <w:r w:rsidRPr="00EB70B3">
        <w:rPr>
          <w:rFonts w:ascii="Times New Roman" w:hAnsi="Times New Roman"/>
          <w:noProof/>
          <w:sz w:val="16"/>
          <w:szCs w:val="16"/>
        </w:rPr>
        <w:t>Acquired Immunodeficiency Syndrome</w:t>
      </w:r>
      <w:r w:rsidRPr="00EB70B3">
        <w:rPr>
          <w:noProof/>
          <w:sz w:val="16"/>
          <w:szCs w:val="16"/>
        </w:rPr>
        <w:t>. In: Greer JP, Foerster J, Rodgers GM, Paraskevas F, Glader B, Arber DA, et al., editors. Wintrobe's Clinical Hematology. Philadelphia: Lippincott Williams &amp; Wilkins; 2009. p. 1623-36.</w:t>
      </w:r>
    </w:p>
    <w:p w:rsidR="00EB70B3" w:rsidRPr="00EB70B3" w:rsidRDefault="00EB70B3" w:rsidP="00EB70B3">
      <w:pPr>
        <w:pStyle w:val="EndNoteBibliography"/>
        <w:spacing w:after="0"/>
        <w:rPr>
          <w:noProof/>
          <w:sz w:val="16"/>
          <w:szCs w:val="16"/>
        </w:rPr>
      </w:pPr>
      <w:r w:rsidRPr="00EB70B3">
        <w:rPr>
          <w:noProof/>
          <w:sz w:val="16"/>
          <w:szCs w:val="16"/>
        </w:rPr>
        <w:t>28.</w:t>
      </w:r>
      <w:r w:rsidRPr="00EB70B3">
        <w:rPr>
          <w:noProof/>
          <w:sz w:val="16"/>
          <w:szCs w:val="16"/>
        </w:rPr>
        <w:tab/>
        <w:t>Swaminathan S, Narendran G. HIV and tuberculosis in India. J Biosci. 2008;33:527-37.</w:t>
      </w:r>
    </w:p>
    <w:p w:rsidR="00EB70B3" w:rsidRPr="00EB70B3" w:rsidRDefault="00EB70B3" w:rsidP="00EB70B3">
      <w:pPr>
        <w:pStyle w:val="EndNoteBibliography"/>
        <w:rPr>
          <w:noProof/>
          <w:sz w:val="16"/>
          <w:szCs w:val="16"/>
        </w:rPr>
      </w:pPr>
      <w:r w:rsidRPr="00EB70B3">
        <w:rPr>
          <w:noProof/>
          <w:sz w:val="16"/>
          <w:szCs w:val="16"/>
        </w:rPr>
        <w:t>29.</w:t>
      </w:r>
      <w:r w:rsidRPr="00EB70B3">
        <w:rPr>
          <w:noProof/>
          <w:sz w:val="16"/>
          <w:szCs w:val="16"/>
        </w:rPr>
        <w:tab/>
        <w:t>Baer MR, Greer JP. Acute Myeloid Leukemia in Adults. In: John P. Green JF JNL GMR, Frixos Paraskevas, Bertil Glader, editor. Wintrobe's Clinical Hematology. Philadelphia: Lippincott Williams &amp; Wilkins; 2009. p. 1845-88.</w:t>
      </w:r>
    </w:p>
    <w:p w:rsidR="00EB70B3" w:rsidRPr="00EB70B3" w:rsidRDefault="00DA3B95" w:rsidP="00EB70B3">
      <w:pPr>
        <w:pStyle w:val="Default"/>
        <w:spacing w:before="120" w:after="120"/>
        <w:rPr>
          <w:sz w:val="16"/>
          <w:szCs w:val="16"/>
        </w:rPr>
        <w:sectPr w:rsidR="00EB70B3" w:rsidRPr="00EB70B3" w:rsidSect="003E7638">
          <w:headerReference w:type="default" r:id="rId10"/>
          <w:pgSz w:w="11907" w:h="16839" w:code="9"/>
          <w:pgMar w:top="1440" w:right="1440" w:bottom="1440" w:left="2160" w:header="1008" w:footer="720" w:gutter="0"/>
          <w:cols w:space="720"/>
          <w:docGrid w:linePitch="360"/>
        </w:sectPr>
      </w:pPr>
      <w:r w:rsidRPr="00EB70B3">
        <w:rPr>
          <w:sz w:val="16"/>
          <w:szCs w:val="16"/>
        </w:rPr>
        <w:fldChar w:fldCharType="end"/>
      </w:r>
    </w:p>
    <w:p w:rsidR="00A047BA" w:rsidRPr="00EB70B3" w:rsidRDefault="00A047BA" w:rsidP="005500EA">
      <w:pPr>
        <w:spacing w:before="120" w:after="120" w:line="240" w:lineRule="auto"/>
        <w:jc w:val="both"/>
        <w:rPr>
          <w:sz w:val="16"/>
          <w:szCs w:val="16"/>
        </w:rPr>
      </w:pPr>
      <w:bookmarkStart w:id="0" w:name="_GoBack"/>
      <w:bookmarkEnd w:id="0"/>
    </w:p>
    <w:sectPr w:rsidR="00A047BA" w:rsidRPr="00EB70B3" w:rsidSect="00EB70B3">
      <w:headerReference w:type="default" r:id="rId11"/>
      <w:pgSz w:w="11907" w:h="16839" w:code="9"/>
      <w:pgMar w:top="1440" w:right="1440" w:bottom="1440" w:left="2160" w:header="1008"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4614" w:rsidRDefault="00C04614" w:rsidP="00EB70B3">
      <w:pPr>
        <w:spacing w:after="0" w:line="240" w:lineRule="auto"/>
      </w:pPr>
      <w:r>
        <w:separator/>
      </w:r>
    </w:p>
  </w:endnote>
  <w:endnote w:type="continuationSeparator" w:id="1">
    <w:p w:rsidR="00C04614" w:rsidRDefault="00C04614" w:rsidP="00EB70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5821703"/>
      <w:docPartObj>
        <w:docPartGallery w:val="Page Numbers (Bottom of Page)"/>
        <w:docPartUnique/>
      </w:docPartObj>
    </w:sdtPr>
    <w:sdtContent>
      <w:p w:rsidR="00EB70B3" w:rsidRDefault="00DA3B95">
        <w:pPr>
          <w:pStyle w:val="Footer"/>
          <w:jc w:val="center"/>
        </w:pPr>
        <w:fldSimple w:instr=" PAGE   \* MERGEFORMAT ">
          <w:r w:rsidR="007721E2">
            <w:rPr>
              <w:noProof/>
            </w:rPr>
            <w:t>1</w:t>
          </w:r>
        </w:fldSimple>
      </w:p>
    </w:sdtContent>
  </w:sdt>
  <w:p w:rsidR="00EB70B3" w:rsidRDefault="00EB70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4614" w:rsidRDefault="00C04614" w:rsidP="00EB70B3">
      <w:pPr>
        <w:spacing w:after="0" w:line="240" w:lineRule="auto"/>
      </w:pPr>
      <w:r>
        <w:separator/>
      </w:r>
    </w:p>
  </w:footnote>
  <w:footnote w:type="continuationSeparator" w:id="1">
    <w:p w:rsidR="00C04614" w:rsidRDefault="00C04614" w:rsidP="00EB70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B3" w:rsidRPr="00AD0F8F" w:rsidRDefault="00EB70B3" w:rsidP="003E7638">
    <w:pPr>
      <w:pStyle w:val="Header"/>
      <w:pBdr>
        <w:bottom w:val="single" w:sz="12" w:space="1" w:color="auto"/>
      </w:pBdr>
      <w:spacing w:line="360" w:lineRule="auto"/>
      <w:jc w:val="right"/>
      <w:rPr>
        <w:rFonts w:ascii="Monotype Corsiva" w:eastAsia="Times New Roman" w:hAnsi="Monotype Corsiva"/>
        <w:b/>
        <w:sz w:val="26"/>
        <w:szCs w:val="24"/>
      </w:rPr>
    </w:pPr>
    <w:r>
      <w:rPr>
        <w:rFonts w:ascii="Monotype Corsiva" w:eastAsia="Times New Roman" w:hAnsi="Monotype Corsiva"/>
        <w:b/>
        <w:sz w:val="26"/>
        <w:szCs w:val="24"/>
      </w:rPr>
      <w:t>Discussion</w:t>
    </w:r>
  </w:p>
  <w:p w:rsidR="00EB70B3" w:rsidRDefault="00EB70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DE" w:rsidRDefault="00C046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E31BE1"/>
    <w:multiLevelType w:val="hybridMultilevel"/>
    <w:tmpl w:val="84646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432D23"/>
    <w:multiLevelType w:val="hybridMultilevel"/>
    <w:tmpl w:val="90720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0266F0"/>
    <w:multiLevelType w:val="hybridMultilevel"/>
    <w:tmpl w:val="C98488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47A49A5"/>
    <w:multiLevelType w:val="hybridMultilevel"/>
    <w:tmpl w:val="8AE26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EB70B3"/>
    <w:rsid w:val="00000547"/>
    <w:rsid w:val="00000ED5"/>
    <w:rsid w:val="00001056"/>
    <w:rsid w:val="00001060"/>
    <w:rsid w:val="00002D76"/>
    <w:rsid w:val="00002F6A"/>
    <w:rsid w:val="000031C4"/>
    <w:rsid w:val="000046E2"/>
    <w:rsid w:val="00004CD7"/>
    <w:rsid w:val="00004CEF"/>
    <w:rsid w:val="000052D1"/>
    <w:rsid w:val="00005EDF"/>
    <w:rsid w:val="0000677D"/>
    <w:rsid w:val="0000679B"/>
    <w:rsid w:val="0000689B"/>
    <w:rsid w:val="00006AEB"/>
    <w:rsid w:val="000079E5"/>
    <w:rsid w:val="00010F7F"/>
    <w:rsid w:val="0001131F"/>
    <w:rsid w:val="00011434"/>
    <w:rsid w:val="000116F6"/>
    <w:rsid w:val="00011DF3"/>
    <w:rsid w:val="00012347"/>
    <w:rsid w:val="000129AC"/>
    <w:rsid w:val="00012D8F"/>
    <w:rsid w:val="00012EB4"/>
    <w:rsid w:val="00012FAC"/>
    <w:rsid w:val="000136A0"/>
    <w:rsid w:val="000136C9"/>
    <w:rsid w:val="00013C6A"/>
    <w:rsid w:val="00013F20"/>
    <w:rsid w:val="000146BA"/>
    <w:rsid w:val="000148F2"/>
    <w:rsid w:val="00015096"/>
    <w:rsid w:val="00015C0D"/>
    <w:rsid w:val="0001600A"/>
    <w:rsid w:val="0001621B"/>
    <w:rsid w:val="00016DF1"/>
    <w:rsid w:val="00017272"/>
    <w:rsid w:val="0001762F"/>
    <w:rsid w:val="000204C7"/>
    <w:rsid w:val="00020824"/>
    <w:rsid w:val="00021743"/>
    <w:rsid w:val="00021B14"/>
    <w:rsid w:val="000225C1"/>
    <w:rsid w:val="0002285E"/>
    <w:rsid w:val="00022951"/>
    <w:rsid w:val="00022C19"/>
    <w:rsid w:val="00022E44"/>
    <w:rsid w:val="00022F09"/>
    <w:rsid w:val="0002348C"/>
    <w:rsid w:val="0002354A"/>
    <w:rsid w:val="00023CA3"/>
    <w:rsid w:val="00023E91"/>
    <w:rsid w:val="000248BF"/>
    <w:rsid w:val="0002580A"/>
    <w:rsid w:val="00025CAB"/>
    <w:rsid w:val="00025F3C"/>
    <w:rsid w:val="00026FAE"/>
    <w:rsid w:val="00027367"/>
    <w:rsid w:val="0002753B"/>
    <w:rsid w:val="000275DF"/>
    <w:rsid w:val="00027794"/>
    <w:rsid w:val="00027B75"/>
    <w:rsid w:val="00030D47"/>
    <w:rsid w:val="0003126C"/>
    <w:rsid w:val="00031587"/>
    <w:rsid w:val="000326B3"/>
    <w:rsid w:val="00032E00"/>
    <w:rsid w:val="0003324D"/>
    <w:rsid w:val="00033594"/>
    <w:rsid w:val="000336CA"/>
    <w:rsid w:val="00034171"/>
    <w:rsid w:val="00035507"/>
    <w:rsid w:val="0003641F"/>
    <w:rsid w:val="000372E1"/>
    <w:rsid w:val="00037756"/>
    <w:rsid w:val="00037F81"/>
    <w:rsid w:val="0004055F"/>
    <w:rsid w:val="00040DBD"/>
    <w:rsid w:val="00041061"/>
    <w:rsid w:val="0004111D"/>
    <w:rsid w:val="00041530"/>
    <w:rsid w:val="0004153A"/>
    <w:rsid w:val="00042680"/>
    <w:rsid w:val="00042811"/>
    <w:rsid w:val="0004285C"/>
    <w:rsid w:val="00043355"/>
    <w:rsid w:val="0004349B"/>
    <w:rsid w:val="00043EFC"/>
    <w:rsid w:val="000440B1"/>
    <w:rsid w:val="000440E0"/>
    <w:rsid w:val="0004449A"/>
    <w:rsid w:val="00044765"/>
    <w:rsid w:val="000448AD"/>
    <w:rsid w:val="00044DC3"/>
    <w:rsid w:val="00045298"/>
    <w:rsid w:val="000452F2"/>
    <w:rsid w:val="000457EE"/>
    <w:rsid w:val="00045AB1"/>
    <w:rsid w:val="00045C0F"/>
    <w:rsid w:val="000463B4"/>
    <w:rsid w:val="00046A7D"/>
    <w:rsid w:val="000471B1"/>
    <w:rsid w:val="000472F0"/>
    <w:rsid w:val="00047322"/>
    <w:rsid w:val="00047A73"/>
    <w:rsid w:val="00047A78"/>
    <w:rsid w:val="0005071B"/>
    <w:rsid w:val="00050E42"/>
    <w:rsid w:val="0005111F"/>
    <w:rsid w:val="0005125A"/>
    <w:rsid w:val="0005146D"/>
    <w:rsid w:val="00051714"/>
    <w:rsid w:val="00051995"/>
    <w:rsid w:val="000519C1"/>
    <w:rsid w:val="000526EA"/>
    <w:rsid w:val="00052988"/>
    <w:rsid w:val="00053062"/>
    <w:rsid w:val="00053165"/>
    <w:rsid w:val="00053EAF"/>
    <w:rsid w:val="000543DE"/>
    <w:rsid w:val="00054972"/>
    <w:rsid w:val="00054FA8"/>
    <w:rsid w:val="00055072"/>
    <w:rsid w:val="00055404"/>
    <w:rsid w:val="00056567"/>
    <w:rsid w:val="0005683A"/>
    <w:rsid w:val="00056A41"/>
    <w:rsid w:val="000575C6"/>
    <w:rsid w:val="000601CE"/>
    <w:rsid w:val="0006038E"/>
    <w:rsid w:val="000607D2"/>
    <w:rsid w:val="000618E2"/>
    <w:rsid w:val="000619D0"/>
    <w:rsid w:val="00061C7D"/>
    <w:rsid w:val="000629A4"/>
    <w:rsid w:val="00063A7A"/>
    <w:rsid w:val="00063ACB"/>
    <w:rsid w:val="00063F2B"/>
    <w:rsid w:val="000647AD"/>
    <w:rsid w:val="00064E4E"/>
    <w:rsid w:val="000655FD"/>
    <w:rsid w:val="00065923"/>
    <w:rsid w:val="00065F84"/>
    <w:rsid w:val="000660BA"/>
    <w:rsid w:val="0006628B"/>
    <w:rsid w:val="000665F8"/>
    <w:rsid w:val="00067796"/>
    <w:rsid w:val="00067C52"/>
    <w:rsid w:val="00067CEB"/>
    <w:rsid w:val="0007071A"/>
    <w:rsid w:val="00070AE9"/>
    <w:rsid w:val="00070EFA"/>
    <w:rsid w:val="00070FA1"/>
    <w:rsid w:val="0007123A"/>
    <w:rsid w:val="0007142A"/>
    <w:rsid w:val="000716DF"/>
    <w:rsid w:val="00071AB8"/>
    <w:rsid w:val="00071E45"/>
    <w:rsid w:val="00071F1A"/>
    <w:rsid w:val="0007313C"/>
    <w:rsid w:val="000736C0"/>
    <w:rsid w:val="00073C14"/>
    <w:rsid w:val="00073F73"/>
    <w:rsid w:val="000740E2"/>
    <w:rsid w:val="0007442A"/>
    <w:rsid w:val="00074B22"/>
    <w:rsid w:val="00074FE4"/>
    <w:rsid w:val="00075AF2"/>
    <w:rsid w:val="00075D0B"/>
    <w:rsid w:val="000761E9"/>
    <w:rsid w:val="00076E5A"/>
    <w:rsid w:val="00077000"/>
    <w:rsid w:val="000776F5"/>
    <w:rsid w:val="0007785C"/>
    <w:rsid w:val="0008013A"/>
    <w:rsid w:val="000803FA"/>
    <w:rsid w:val="000810BB"/>
    <w:rsid w:val="0008125B"/>
    <w:rsid w:val="00081367"/>
    <w:rsid w:val="000815FC"/>
    <w:rsid w:val="00081954"/>
    <w:rsid w:val="00081FB0"/>
    <w:rsid w:val="00082808"/>
    <w:rsid w:val="00082977"/>
    <w:rsid w:val="00082BB9"/>
    <w:rsid w:val="00082F60"/>
    <w:rsid w:val="0008300C"/>
    <w:rsid w:val="00083B50"/>
    <w:rsid w:val="000841EA"/>
    <w:rsid w:val="00084919"/>
    <w:rsid w:val="00084B69"/>
    <w:rsid w:val="0008505C"/>
    <w:rsid w:val="000858D4"/>
    <w:rsid w:val="0008613C"/>
    <w:rsid w:val="00086287"/>
    <w:rsid w:val="00086320"/>
    <w:rsid w:val="000863AE"/>
    <w:rsid w:val="00086DBA"/>
    <w:rsid w:val="000873DB"/>
    <w:rsid w:val="0008750B"/>
    <w:rsid w:val="00087F29"/>
    <w:rsid w:val="0009019F"/>
    <w:rsid w:val="0009041D"/>
    <w:rsid w:val="00090875"/>
    <w:rsid w:val="00090C0D"/>
    <w:rsid w:val="00090F16"/>
    <w:rsid w:val="000911BD"/>
    <w:rsid w:val="000913F6"/>
    <w:rsid w:val="00091F71"/>
    <w:rsid w:val="000920EB"/>
    <w:rsid w:val="000924F4"/>
    <w:rsid w:val="000934B7"/>
    <w:rsid w:val="000936C1"/>
    <w:rsid w:val="00093D03"/>
    <w:rsid w:val="00094353"/>
    <w:rsid w:val="0009501A"/>
    <w:rsid w:val="00095463"/>
    <w:rsid w:val="00095525"/>
    <w:rsid w:val="000957D9"/>
    <w:rsid w:val="00096028"/>
    <w:rsid w:val="000964BB"/>
    <w:rsid w:val="000968F9"/>
    <w:rsid w:val="00096BB8"/>
    <w:rsid w:val="000978DD"/>
    <w:rsid w:val="000A0753"/>
    <w:rsid w:val="000A0FE7"/>
    <w:rsid w:val="000A2101"/>
    <w:rsid w:val="000A221C"/>
    <w:rsid w:val="000A2B07"/>
    <w:rsid w:val="000A2CBE"/>
    <w:rsid w:val="000A307D"/>
    <w:rsid w:val="000A31D1"/>
    <w:rsid w:val="000A3221"/>
    <w:rsid w:val="000A41BE"/>
    <w:rsid w:val="000A46A4"/>
    <w:rsid w:val="000A4E06"/>
    <w:rsid w:val="000A4F2C"/>
    <w:rsid w:val="000A500C"/>
    <w:rsid w:val="000A5864"/>
    <w:rsid w:val="000A5EF8"/>
    <w:rsid w:val="000A6C42"/>
    <w:rsid w:val="000A7B94"/>
    <w:rsid w:val="000A7E5C"/>
    <w:rsid w:val="000A7EE3"/>
    <w:rsid w:val="000B031D"/>
    <w:rsid w:val="000B0361"/>
    <w:rsid w:val="000B0377"/>
    <w:rsid w:val="000B05D9"/>
    <w:rsid w:val="000B182D"/>
    <w:rsid w:val="000B1C03"/>
    <w:rsid w:val="000B25B6"/>
    <w:rsid w:val="000B2F9D"/>
    <w:rsid w:val="000B37EE"/>
    <w:rsid w:val="000B39F1"/>
    <w:rsid w:val="000B3BD0"/>
    <w:rsid w:val="000B4B80"/>
    <w:rsid w:val="000B4B89"/>
    <w:rsid w:val="000B4BEC"/>
    <w:rsid w:val="000B4EB8"/>
    <w:rsid w:val="000B598C"/>
    <w:rsid w:val="000B5D4D"/>
    <w:rsid w:val="000B64A4"/>
    <w:rsid w:val="000B6574"/>
    <w:rsid w:val="000B6CF4"/>
    <w:rsid w:val="000B75E1"/>
    <w:rsid w:val="000B78EC"/>
    <w:rsid w:val="000C00F5"/>
    <w:rsid w:val="000C069F"/>
    <w:rsid w:val="000C08E3"/>
    <w:rsid w:val="000C09D5"/>
    <w:rsid w:val="000C1787"/>
    <w:rsid w:val="000C19F4"/>
    <w:rsid w:val="000C3428"/>
    <w:rsid w:val="000C35F0"/>
    <w:rsid w:val="000C38BA"/>
    <w:rsid w:val="000C3BA5"/>
    <w:rsid w:val="000C3EE9"/>
    <w:rsid w:val="000C48E3"/>
    <w:rsid w:val="000C5217"/>
    <w:rsid w:val="000C6431"/>
    <w:rsid w:val="000C65AC"/>
    <w:rsid w:val="000C6AC5"/>
    <w:rsid w:val="000C6BA3"/>
    <w:rsid w:val="000C6EEE"/>
    <w:rsid w:val="000C738B"/>
    <w:rsid w:val="000C7EA8"/>
    <w:rsid w:val="000D020D"/>
    <w:rsid w:val="000D0448"/>
    <w:rsid w:val="000D0493"/>
    <w:rsid w:val="000D0537"/>
    <w:rsid w:val="000D0E81"/>
    <w:rsid w:val="000D245A"/>
    <w:rsid w:val="000D27E3"/>
    <w:rsid w:val="000D2DE9"/>
    <w:rsid w:val="000D2F00"/>
    <w:rsid w:val="000D37AE"/>
    <w:rsid w:val="000D3909"/>
    <w:rsid w:val="000D410F"/>
    <w:rsid w:val="000D4CD0"/>
    <w:rsid w:val="000D5081"/>
    <w:rsid w:val="000D5AFC"/>
    <w:rsid w:val="000D5FBE"/>
    <w:rsid w:val="000D66BF"/>
    <w:rsid w:val="000D6762"/>
    <w:rsid w:val="000D689D"/>
    <w:rsid w:val="000D7DF7"/>
    <w:rsid w:val="000E0291"/>
    <w:rsid w:val="000E0336"/>
    <w:rsid w:val="000E085E"/>
    <w:rsid w:val="000E0C01"/>
    <w:rsid w:val="000E0FA8"/>
    <w:rsid w:val="000E13A0"/>
    <w:rsid w:val="000E23A0"/>
    <w:rsid w:val="000E26A3"/>
    <w:rsid w:val="000E40A9"/>
    <w:rsid w:val="000E40C9"/>
    <w:rsid w:val="000E43E4"/>
    <w:rsid w:val="000E47C7"/>
    <w:rsid w:val="000E4A4E"/>
    <w:rsid w:val="000E4B1B"/>
    <w:rsid w:val="000E5BE5"/>
    <w:rsid w:val="000E5D1A"/>
    <w:rsid w:val="000E5D78"/>
    <w:rsid w:val="000E5DEB"/>
    <w:rsid w:val="000E5F11"/>
    <w:rsid w:val="000E6307"/>
    <w:rsid w:val="000E6408"/>
    <w:rsid w:val="000E6718"/>
    <w:rsid w:val="000E6C56"/>
    <w:rsid w:val="000E6FB8"/>
    <w:rsid w:val="000E77CD"/>
    <w:rsid w:val="000F044C"/>
    <w:rsid w:val="000F0522"/>
    <w:rsid w:val="000F0649"/>
    <w:rsid w:val="000F0BE1"/>
    <w:rsid w:val="000F0E54"/>
    <w:rsid w:val="000F0F37"/>
    <w:rsid w:val="000F167D"/>
    <w:rsid w:val="000F17F4"/>
    <w:rsid w:val="000F1F8C"/>
    <w:rsid w:val="000F2B8E"/>
    <w:rsid w:val="000F3180"/>
    <w:rsid w:val="000F321F"/>
    <w:rsid w:val="000F3DA9"/>
    <w:rsid w:val="000F41F4"/>
    <w:rsid w:val="000F43BC"/>
    <w:rsid w:val="000F494C"/>
    <w:rsid w:val="000F4B28"/>
    <w:rsid w:val="000F61F6"/>
    <w:rsid w:val="000F634A"/>
    <w:rsid w:val="000F69C6"/>
    <w:rsid w:val="000F6E06"/>
    <w:rsid w:val="000F75DC"/>
    <w:rsid w:val="000F7B6B"/>
    <w:rsid w:val="001015C0"/>
    <w:rsid w:val="0010205F"/>
    <w:rsid w:val="0010233D"/>
    <w:rsid w:val="00102969"/>
    <w:rsid w:val="00103505"/>
    <w:rsid w:val="00103568"/>
    <w:rsid w:val="00103AE7"/>
    <w:rsid w:val="001044F2"/>
    <w:rsid w:val="001046D3"/>
    <w:rsid w:val="00104A97"/>
    <w:rsid w:val="00104B09"/>
    <w:rsid w:val="001056FB"/>
    <w:rsid w:val="00105EAF"/>
    <w:rsid w:val="00106915"/>
    <w:rsid w:val="00106BFF"/>
    <w:rsid w:val="00107BA4"/>
    <w:rsid w:val="00107FC7"/>
    <w:rsid w:val="00110587"/>
    <w:rsid w:val="00110B25"/>
    <w:rsid w:val="00110E7F"/>
    <w:rsid w:val="001111A5"/>
    <w:rsid w:val="001114E1"/>
    <w:rsid w:val="00111732"/>
    <w:rsid w:val="001123C5"/>
    <w:rsid w:val="00112849"/>
    <w:rsid w:val="00112A43"/>
    <w:rsid w:val="00112AE6"/>
    <w:rsid w:val="00112B84"/>
    <w:rsid w:val="00112BBD"/>
    <w:rsid w:val="00113542"/>
    <w:rsid w:val="00113CC1"/>
    <w:rsid w:val="001144D2"/>
    <w:rsid w:val="00114903"/>
    <w:rsid w:val="00114941"/>
    <w:rsid w:val="00115B3C"/>
    <w:rsid w:val="0011613E"/>
    <w:rsid w:val="00116306"/>
    <w:rsid w:val="001166B8"/>
    <w:rsid w:val="00116C7A"/>
    <w:rsid w:val="00116FA2"/>
    <w:rsid w:val="00117101"/>
    <w:rsid w:val="001172AD"/>
    <w:rsid w:val="0011788C"/>
    <w:rsid w:val="00121518"/>
    <w:rsid w:val="0012183A"/>
    <w:rsid w:val="001223B0"/>
    <w:rsid w:val="00122C2E"/>
    <w:rsid w:val="001243E3"/>
    <w:rsid w:val="00125196"/>
    <w:rsid w:val="00125D96"/>
    <w:rsid w:val="00126183"/>
    <w:rsid w:val="00126596"/>
    <w:rsid w:val="001274C7"/>
    <w:rsid w:val="00127D8C"/>
    <w:rsid w:val="001307E3"/>
    <w:rsid w:val="00130C11"/>
    <w:rsid w:val="00131186"/>
    <w:rsid w:val="00131226"/>
    <w:rsid w:val="001315B1"/>
    <w:rsid w:val="00131654"/>
    <w:rsid w:val="0013172F"/>
    <w:rsid w:val="00131D04"/>
    <w:rsid w:val="001326DC"/>
    <w:rsid w:val="001326FC"/>
    <w:rsid w:val="00133C28"/>
    <w:rsid w:val="0013406F"/>
    <w:rsid w:val="001342AD"/>
    <w:rsid w:val="0013482A"/>
    <w:rsid w:val="00134FAC"/>
    <w:rsid w:val="0013553F"/>
    <w:rsid w:val="001357ED"/>
    <w:rsid w:val="001357EF"/>
    <w:rsid w:val="00135ADF"/>
    <w:rsid w:val="001365EE"/>
    <w:rsid w:val="00137344"/>
    <w:rsid w:val="001409E7"/>
    <w:rsid w:val="0014194C"/>
    <w:rsid w:val="00142D71"/>
    <w:rsid w:val="0014384D"/>
    <w:rsid w:val="00143BE6"/>
    <w:rsid w:val="0014406D"/>
    <w:rsid w:val="00144AA9"/>
    <w:rsid w:val="00144B12"/>
    <w:rsid w:val="001452B0"/>
    <w:rsid w:val="001460C1"/>
    <w:rsid w:val="00146E1A"/>
    <w:rsid w:val="00147A11"/>
    <w:rsid w:val="00147E9D"/>
    <w:rsid w:val="00150AD4"/>
    <w:rsid w:val="00150C0B"/>
    <w:rsid w:val="00150EA9"/>
    <w:rsid w:val="00151361"/>
    <w:rsid w:val="00151793"/>
    <w:rsid w:val="001519DC"/>
    <w:rsid w:val="00152030"/>
    <w:rsid w:val="00152BD1"/>
    <w:rsid w:val="001539DF"/>
    <w:rsid w:val="00153A92"/>
    <w:rsid w:val="001546FB"/>
    <w:rsid w:val="001549D1"/>
    <w:rsid w:val="00154C1F"/>
    <w:rsid w:val="00154D45"/>
    <w:rsid w:val="0015531F"/>
    <w:rsid w:val="001555D7"/>
    <w:rsid w:val="00155884"/>
    <w:rsid w:val="00155A31"/>
    <w:rsid w:val="00155B6F"/>
    <w:rsid w:val="00155FD6"/>
    <w:rsid w:val="00156462"/>
    <w:rsid w:val="00156C9F"/>
    <w:rsid w:val="00156D58"/>
    <w:rsid w:val="00157332"/>
    <w:rsid w:val="00157619"/>
    <w:rsid w:val="00157EA7"/>
    <w:rsid w:val="001606D4"/>
    <w:rsid w:val="001610EC"/>
    <w:rsid w:val="0016200A"/>
    <w:rsid w:val="00162467"/>
    <w:rsid w:val="00162F47"/>
    <w:rsid w:val="0016317C"/>
    <w:rsid w:val="00163192"/>
    <w:rsid w:val="001631C3"/>
    <w:rsid w:val="001634AF"/>
    <w:rsid w:val="00163958"/>
    <w:rsid w:val="00164119"/>
    <w:rsid w:val="0016414A"/>
    <w:rsid w:val="0016492B"/>
    <w:rsid w:val="0016563A"/>
    <w:rsid w:val="0016574E"/>
    <w:rsid w:val="00165969"/>
    <w:rsid w:val="0016631E"/>
    <w:rsid w:val="0016633A"/>
    <w:rsid w:val="00166D72"/>
    <w:rsid w:val="00166F34"/>
    <w:rsid w:val="0016787E"/>
    <w:rsid w:val="00167ABF"/>
    <w:rsid w:val="0017046F"/>
    <w:rsid w:val="001704F0"/>
    <w:rsid w:val="00170613"/>
    <w:rsid w:val="0017174E"/>
    <w:rsid w:val="0017194C"/>
    <w:rsid w:val="00171EC7"/>
    <w:rsid w:val="001728C9"/>
    <w:rsid w:val="00173654"/>
    <w:rsid w:val="001746C8"/>
    <w:rsid w:val="00174A65"/>
    <w:rsid w:val="00174CB3"/>
    <w:rsid w:val="00174EBC"/>
    <w:rsid w:val="00174F4D"/>
    <w:rsid w:val="00175082"/>
    <w:rsid w:val="00175658"/>
    <w:rsid w:val="00175843"/>
    <w:rsid w:val="00177836"/>
    <w:rsid w:val="00177BF8"/>
    <w:rsid w:val="0018010C"/>
    <w:rsid w:val="00180120"/>
    <w:rsid w:val="001815E1"/>
    <w:rsid w:val="0018184D"/>
    <w:rsid w:val="0018269B"/>
    <w:rsid w:val="00182702"/>
    <w:rsid w:val="001831ED"/>
    <w:rsid w:val="00183307"/>
    <w:rsid w:val="00183AE6"/>
    <w:rsid w:val="00185622"/>
    <w:rsid w:val="0018566B"/>
    <w:rsid w:val="001861DA"/>
    <w:rsid w:val="00186B65"/>
    <w:rsid w:val="00186DEA"/>
    <w:rsid w:val="00186ED4"/>
    <w:rsid w:val="001879C8"/>
    <w:rsid w:val="0019000F"/>
    <w:rsid w:val="00190047"/>
    <w:rsid w:val="0019078F"/>
    <w:rsid w:val="00191661"/>
    <w:rsid w:val="00191665"/>
    <w:rsid w:val="0019216C"/>
    <w:rsid w:val="001925EB"/>
    <w:rsid w:val="00192961"/>
    <w:rsid w:val="0019325E"/>
    <w:rsid w:val="00193B03"/>
    <w:rsid w:val="00193D8A"/>
    <w:rsid w:val="00193FCC"/>
    <w:rsid w:val="00194030"/>
    <w:rsid w:val="0019421E"/>
    <w:rsid w:val="00194D1F"/>
    <w:rsid w:val="00195643"/>
    <w:rsid w:val="00195B5A"/>
    <w:rsid w:val="00196012"/>
    <w:rsid w:val="001962FD"/>
    <w:rsid w:val="0019731A"/>
    <w:rsid w:val="001977A9"/>
    <w:rsid w:val="001977CD"/>
    <w:rsid w:val="001A0847"/>
    <w:rsid w:val="001A0914"/>
    <w:rsid w:val="001A0E32"/>
    <w:rsid w:val="001A1AF5"/>
    <w:rsid w:val="001A2FE4"/>
    <w:rsid w:val="001A32CF"/>
    <w:rsid w:val="001A3DC2"/>
    <w:rsid w:val="001A3E6F"/>
    <w:rsid w:val="001A4314"/>
    <w:rsid w:val="001A4686"/>
    <w:rsid w:val="001A4EAA"/>
    <w:rsid w:val="001A51D3"/>
    <w:rsid w:val="001A52C3"/>
    <w:rsid w:val="001A54D7"/>
    <w:rsid w:val="001A5F7C"/>
    <w:rsid w:val="001A6148"/>
    <w:rsid w:val="001A6175"/>
    <w:rsid w:val="001A66E1"/>
    <w:rsid w:val="001A70CE"/>
    <w:rsid w:val="001A7292"/>
    <w:rsid w:val="001A7485"/>
    <w:rsid w:val="001A7987"/>
    <w:rsid w:val="001A7DDB"/>
    <w:rsid w:val="001A7ED7"/>
    <w:rsid w:val="001B0070"/>
    <w:rsid w:val="001B0621"/>
    <w:rsid w:val="001B10D0"/>
    <w:rsid w:val="001B1779"/>
    <w:rsid w:val="001B28D0"/>
    <w:rsid w:val="001B2DC1"/>
    <w:rsid w:val="001B4033"/>
    <w:rsid w:val="001B4304"/>
    <w:rsid w:val="001B4629"/>
    <w:rsid w:val="001B495E"/>
    <w:rsid w:val="001B613F"/>
    <w:rsid w:val="001B614A"/>
    <w:rsid w:val="001B63AE"/>
    <w:rsid w:val="001B700F"/>
    <w:rsid w:val="001B7569"/>
    <w:rsid w:val="001B76DD"/>
    <w:rsid w:val="001B791E"/>
    <w:rsid w:val="001C03C6"/>
    <w:rsid w:val="001C05AF"/>
    <w:rsid w:val="001C064E"/>
    <w:rsid w:val="001C0EF4"/>
    <w:rsid w:val="001C1037"/>
    <w:rsid w:val="001C1900"/>
    <w:rsid w:val="001C1939"/>
    <w:rsid w:val="001C22B6"/>
    <w:rsid w:val="001C2AD6"/>
    <w:rsid w:val="001C2FC1"/>
    <w:rsid w:val="001C365C"/>
    <w:rsid w:val="001C3824"/>
    <w:rsid w:val="001C3855"/>
    <w:rsid w:val="001C3925"/>
    <w:rsid w:val="001C4587"/>
    <w:rsid w:val="001C4690"/>
    <w:rsid w:val="001C4A6E"/>
    <w:rsid w:val="001C4DF1"/>
    <w:rsid w:val="001C5004"/>
    <w:rsid w:val="001C5348"/>
    <w:rsid w:val="001C53C3"/>
    <w:rsid w:val="001C595A"/>
    <w:rsid w:val="001C5A14"/>
    <w:rsid w:val="001C5B06"/>
    <w:rsid w:val="001C6A20"/>
    <w:rsid w:val="001C706C"/>
    <w:rsid w:val="001C7258"/>
    <w:rsid w:val="001D026C"/>
    <w:rsid w:val="001D0445"/>
    <w:rsid w:val="001D0578"/>
    <w:rsid w:val="001D073C"/>
    <w:rsid w:val="001D113B"/>
    <w:rsid w:val="001D16F8"/>
    <w:rsid w:val="001D226F"/>
    <w:rsid w:val="001D2271"/>
    <w:rsid w:val="001D22A6"/>
    <w:rsid w:val="001D24D7"/>
    <w:rsid w:val="001D289E"/>
    <w:rsid w:val="001D292C"/>
    <w:rsid w:val="001D2DFC"/>
    <w:rsid w:val="001D3295"/>
    <w:rsid w:val="001D365B"/>
    <w:rsid w:val="001D36E1"/>
    <w:rsid w:val="001D4120"/>
    <w:rsid w:val="001D4150"/>
    <w:rsid w:val="001D4518"/>
    <w:rsid w:val="001D587D"/>
    <w:rsid w:val="001D5ADD"/>
    <w:rsid w:val="001D5BC8"/>
    <w:rsid w:val="001D5FBA"/>
    <w:rsid w:val="001D6044"/>
    <w:rsid w:val="001D6D32"/>
    <w:rsid w:val="001D6FD8"/>
    <w:rsid w:val="001D745E"/>
    <w:rsid w:val="001D7AC6"/>
    <w:rsid w:val="001D7BDE"/>
    <w:rsid w:val="001E0136"/>
    <w:rsid w:val="001E058B"/>
    <w:rsid w:val="001E05D1"/>
    <w:rsid w:val="001E0624"/>
    <w:rsid w:val="001E06DC"/>
    <w:rsid w:val="001E0C97"/>
    <w:rsid w:val="001E11BC"/>
    <w:rsid w:val="001E1482"/>
    <w:rsid w:val="001E1926"/>
    <w:rsid w:val="001E244C"/>
    <w:rsid w:val="001E2519"/>
    <w:rsid w:val="001E2790"/>
    <w:rsid w:val="001E2919"/>
    <w:rsid w:val="001E2C1B"/>
    <w:rsid w:val="001E2D49"/>
    <w:rsid w:val="001E3012"/>
    <w:rsid w:val="001E34B8"/>
    <w:rsid w:val="001E37B5"/>
    <w:rsid w:val="001E4FC3"/>
    <w:rsid w:val="001E52AE"/>
    <w:rsid w:val="001E5342"/>
    <w:rsid w:val="001E56E8"/>
    <w:rsid w:val="001E6744"/>
    <w:rsid w:val="001E71EA"/>
    <w:rsid w:val="001E78D3"/>
    <w:rsid w:val="001F011A"/>
    <w:rsid w:val="001F0189"/>
    <w:rsid w:val="001F0198"/>
    <w:rsid w:val="001F01A1"/>
    <w:rsid w:val="001F05D1"/>
    <w:rsid w:val="001F0D3E"/>
    <w:rsid w:val="001F1683"/>
    <w:rsid w:val="001F179F"/>
    <w:rsid w:val="001F1FEC"/>
    <w:rsid w:val="001F241F"/>
    <w:rsid w:val="001F2BD4"/>
    <w:rsid w:val="001F2F2B"/>
    <w:rsid w:val="001F33F4"/>
    <w:rsid w:val="001F3525"/>
    <w:rsid w:val="001F3F36"/>
    <w:rsid w:val="001F45C6"/>
    <w:rsid w:val="001F4FE6"/>
    <w:rsid w:val="001F52AF"/>
    <w:rsid w:val="001F6E31"/>
    <w:rsid w:val="001F6EDE"/>
    <w:rsid w:val="001F748D"/>
    <w:rsid w:val="001F7682"/>
    <w:rsid w:val="001F7DDB"/>
    <w:rsid w:val="001F7DFF"/>
    <w:rsid w:val="001F7EB2"/>
    <w:rsid w:val="002001E4"/>
    <w:rsid w:val="002004D8"/>
    <w:rsid w:val="00200954"/>
    <w:rsid w:val="00201692"/>
    <w:rsid w:val="00201740"/>
    <w:rsid w:val="002019A2"/>
    <w:rsid w:val="00202102"/>
    <w:rsid w:val="00202182"/>
    <w:rsid w:val="00202E70"/>
    <w:rsid w:val="002033BC"/>
    <w:rsid w:val="00203699"/>
    <w:rsid w:val="002038F6"/>
    <w:rsid w:val="00204AE5"/>
    <w:rsid w:val="00205203"/>
    <w:rsid w:val="00205B6C"/>
    <w:rsid w:val="002069F2"/>
    <w:rsid w:val="00206A0C"/>
    <w:rsid w:val="00207038"/>
    <w:rsid w:val="00207113"/>
    <w:rsid w:val="002071A3"/>
    <w:rsid w:val="002072E1"/>
    <w:rsid w:val="00207AF0"/>
    <w:rsid w:val="00207C91"/>
    <w:rsid w:val="00210871"/>
    <w:rsid w:val="00211195"/>
    <w:rsid w:val="002111E7"/>
    <w:rsid w:val="00211927"/>
    <w:rsid w:val="0021244C"/>
    <w:rsid w:val="00212EB4"/>
    <w:rsid w:val="00212EE4"/>
    <w:rsid w:val="00213BD7"/>
    <w:rsid w:val="002149D0"/>
    <w:rsid w:val="002158A3"/>
    <w:rsid w:val="0021595F"/>
    <w:rsid w:val="002163A0"/>
    <w:rsid w:val="00216B37"/>
    <w:rsid w:val="00216C5B"/>
    <w:rsid w:val="00217253"/>
    <w:rsid w:val="00217505"/>
    <w:rsid w:val="002175F5"/>
    <w:rsid w:val="00217695"/>
    <w:rsid w:val="00217D5B"/>
    <w:rsid w:val="00220492"/>
    <w:rsid w:val="002205A0"/>
    <w:rsid w:val="00220662"/>
    <w:rsid w:val="002206BA"/>
    <w:rsid w:val="00221436"/>
    <w:rsid w:val="0022154A"/>
    <w:rsid w:val="002219CC"/>
    <w:rsid w:val="00221DE0"/>
    <w:rsid w:val="00221FCF"/>
    <w:rsid w:val="002221B6"/>
    <w:rsid w:val="00222681"/>
    <w:rsid w:val="00222751"/>
    <w:rsid w:val="0022285E"/>
    <w:rsid w:val="00223AED"/>
    <w:rsid w:val="00224539"/>
    <w:rsid w:val="00224B4C"/>
    <w:rsid w:val="00224DAD"/>
    <w:rsid w:val="00225C18"/>
    <w:rsid w:val="00226273"/>
    <w:rsid w:val="00226550"/>
    <w:rsid w:val="002265A0"/>
    <w:rsid w:val="002270F6"/>
    <w:rsid w:val="0022766D"/>
    <w:rsid w:val="00227D81"/>
    <w:rsid w:val="00230052"/>
    <w:rsid w:val="00230BCD"/>
    <w:rsid w:val="00231AD9"/>
    <w:rsid w:val="00232CD6"/>
    <w:rsid w:val="002330A9"/>
    <w:rsid w:val="002334EC"/>
    <w:rsid w:val="002339EB"/>
    <w:rsid w:val="002341BA"/>
    <w:rsid w:val="00234A9B"/>
    <w:rsid w:val="00234AEF"/>
    <w:rsid w:val="002350F4"/>
    <w:rsid w:val="0023598B"/>
    <w:rsid w:val="00235AD2"/>
    <w:rsid w:val="00236B3F"/>
    <w:rsid w:val="00237B43"/>
    <w:rsid w:val="00237D72"/>
    <w:rsid w:val="00237DC2"/>
    <w:rsid w:val="00237EE5"/>
    <w:rsid w:val="002400B8"/>
    <w:rsid w:val="00240D9D"/>
    <w:rsid w:val="00240F2F"/>
    <w:rsid w:val="00241585"/>
    <w:rsid w:val="00241ADE"/>
    <w:rsid w:val="00241F72"/>
    <w:rsid w:val="00242F0B"/>
    <w:rsid w:val="00242F83"/>
    <w:rsid w:val="00244370"/>
    <w:rsid w:val="0024461A"/>
    <w:rsid w:val="00245810"/>
    <w:rsid w:val="00245B78"/>
    <w:rsid w:val="00245ECF"/>
    <w:rsid w:val="002465BB"/>
    <w:rsid w:val="00247C2F"/>
    <w:rsid w:val="002503AF"/>
    <w:rsid w:val="002506B3"/>
    <w:rsid w:val="00250EBE"/>
    <w:rsid w:val="0025113D"/>
    <w:rsid w:val="00251362"/>
    <w:rsid w:val="00251686"/>
    <w:rsid w:val="00251D6C"/>
    <w:rsid w:val="002520CE"/>
    <w:rsid w:val="002520EE"/>
    <w:rsid w:val="002520F6"/>
    <w:rsid w:val="00252369"/>
    <w:rsid w:val="002527D1"/>
    <w:rsid w:val="002543FC"/>
    <w:rsid w:val="00254430"/>
    <w:rsid w:val="002551F2"/>
    <w:rsid w:val="00255DE7"/>
    <w:rsid w:val="00255F0F"/>
    <w:rsid w:val="002563F1"/>
    <w:rsid w:val="00256427"/>
    <w:rsid w:val="002565C6"/>
    <w:rsid w:val="002566A2"/>
    <w:rsid w:val="00256B99"/>
    <w:rsid w:val="00257258"/>
    <w:rsid w:val="00257C76"/>
    <w:rsid w:val="0026075D"/>
    <w:rsid w:val="00260A89"/>
    <w:rsid w:val="00260AFD"/>
    <w:rsid w:val="00260BB2"/>
    <w:rsid w:val="00260CD4"/>
    <w:rsid w:val="00260D9E"/>
    <w:rsid w:val="002615DB"/>
    <w:rsid w:val="00262725"/>
    <w:rsid w:val="002628D3"/>
    <w:rsid w:val="00263FB1"/>
    <w:rsid w:val="0026473D"/>
    <w:rsid w:val="00265703"/>
    <w:rsid w:val="0026577A"/>
    <w:rsid w:val="002657A4"/>
    <w:rsid w:val="002660C9"/>
    <w:rsid w:val="00266320"/>
    <w:rsid w:val="002666D3"/>
    <w:rsid w:val="002667D3"/>
    <w:rsid w:val="00266DE6"/>
    <w:rsid w:val="00266EBE"/>
    <w:rsid w:val="0026744E"/>
    <w:rsid w:val="00267FDE"/>
    <w:rsid w:val="0027043C"/>
    <w:rsid w:val="002706B5"/>
    <w:rsid w:val="00270972"/>
    <w:rsid w:val="002709D4"/>
    <w:rsid w:val="0027249B"/>
    <w:rsid w:val="00272A9D"/>
    <w:rsid w:val="00272D24"/>
    <w:rsid w:val="00272E02"/>
    <w:rsid w:val="0027331B"/>
    <w:rsid w:val="002733CC"/>
    <w:rsid w:val="0027411E"/>
    <w:rsid w:val="0027482D"/>
    <w:rsid w:val="002748F5"/>
    <w:rsid w:val="00275222"/>
    <w:rsid w:val="0027552E"/>
    <w:rsid w:val="00275710"/>
    <w:rsid w:val="002758E9"/>
    <w:rsid w:val="0027597B"/>
    <w:rsid w:val="00275C06"/>
    <w:rsid w:val="00276126"/>
    <w:rsid w:val="00276277"/>
    <w:rsid w:val="002763A8"/>
    <w:rsid w:val="002765EF"/>
    <w:rsid w:val="00276F27"/>
    <w:rsid w:val="002774E4"/>
    <w:rsid w:val="00280669"/>
    <w:rsid w:val="002818E6"/>
    <w:rsid w:val="00281F53"/>
    <w:rsid w:val="002822F9"/>
    <w:rsid w:val="002831CC"/>
    <w:rsid w:val="002835FA"/>
    <w:rsid w:val="00283714"/>
    <w:rsid w:val="00283C20"/>
    <w:rsid w:val="00283CB2"/>
    <w:rsid w:val="002842E6"/>
    <w:rsid w:val="00284AC3"/>
    <w:rsid w:val="002851D2"/>
    <w:rsid w:val="00285375"/>
    <w:rsid w:val="00285A9F"/>
    <w:rsid w:val="00286802"/>
    <w:rsid w:val="00286BFA"/>
    <w:rsid w:val="00286C8C"/>
    <w:rsid w:val="00290255"/>
    <w:rsid w:val="00290F1B"/>
    <w:rsid w:val="0029154E"/>
    <w:rsid w:val="0029182A"/>
    <w:rsid w:val="0029189F"/>
    <w:rsid w:val="00292485"/>
    <w:rsid w:val="00292595"/>
    <w:rsid w:val="00292B6A"/>
    <w:rsid w:val="00292BBF"/>
    <w:rsid w:val="00292D12"/>
    <w:rsid w:val="00293864"/>
    <w:rsid w:val="00293B0E"/>
    <w:rsid w:val="00294905"/>
    <w:rsid w:val="0029504F"/>
    <w:rsid w:val="0029524F"/>
    <w:rsid w:val="002954DA"/>
    <w:rsid w:val="00295F2F"/>
    <w:rsid w:val="00296A44"/>
    <w:rsid w:val="00297160"/>
    <w:rsid w:val="00297227"/>
    <w:rsid w:val="00297760"/>
    <w:rsid w:val="00297EB7"/>
    <w:rsid w:val="002A01B7"/>
    <w:rsid w:val="002A04E3"/>
    <w:rsid w:val="002A0ABF"/>
    <w:rsid w:val="002A1747"/>
    <w:rsid w:val="002A1D78"/>
    <w:rsid w:val="002A1E03"/>
    <w:rsid w:val="002A1FDC"/>
    <w:rsid w:val="002A2084"/>
    <w:rsid w:val="002A2D1B"/>
    <w:rsid w:val="002A382F"/>
    <w:rsid w:val="002A3D05"/>
    <w:rsid w:val="002A423C"/>
    <w:rsid w:val="002A4C4E"/>
    <w:rsid w:val="002A52CE"/>
    <w:rsid w:val="002A531B"/>
    <w:rsid w:val="002A53D8"/>
    <w:rsid w:val="002A554D"/>
    <w:rsid w:val="002A602E"/>
    <w:rsid w:val="002A7025"/>
    <w:rsid w:val="002A7475"/>
    <w:rsid w:val="002A7AC6"/>
    <w:rsid w:val="002A7C2A"/>
    <w:rsid w:val="002B0499"/>
    <w:rsid w:val="002B086F"/>
    <w:rsid w:val="002B1D05"/>
    <w:rsid w:val="002B21C6"/>
    <w:rsid w:val="002B233E"/>
    <w:rsid w:val="002B2B41"/>
    <w:rsid w:val="002B3AB6"/>
    <w:rsid w:val="002B3BA8"/>
    <w:rsid w:val="002B3BE4"/>
    <w:rsid w:val="002B490F"/>
    <w:rsid w:val="002B4A7A"/>
    <w:rsid w:val="002B5396"/>
    <w:rsid w:val="002B626A"/>
    <w:rsid w:val="002B6447"/>
    <w:rsid w:val="002B6580"/>
    <w:rsid w:val="002B6A73"/>
    <w:rsid w:val="002B6FB4"/>
    <w:rsid w:val="002B796E"/>
    <w:rsid w:val="002B7E28"/>
    <w:rsid w:val="002C02E1"/>
    <w:rsid w:val="002C04D5"/>
    <w:rsid w:val="002C04FB"/>
    <w:rsid w:val="002C0EFE"/>
    <w:rsid w:val="002C249A"/>
    <w:rsid w:val="002C33A2"/>
    <w:rsid w:val="002C35A6"/>
    <w:rsid w:val="002C35B3"/>
    <w:rsid w:val="002C4671"/>
    <w:rsid w:val="002C57F4"/>
    <w:rsid w:val="002C5958"/>
    <w:rsid w:val="002C6712"/>
    <w:rsid w:val="002C67D4"/>
    <w:rsid w:val="002C6C9D"/>
    <w:rsid w:val="002C7F2F"/>
    <w:rsid w:val="002D0488"/>
    <w:rsid w:val="002D04DC"/>
    <w:rsid w:val="002D0A87"/>
    <w:rsid w:val="002D1E38"/>
    <w:rsid w:val="002D1F87"/>
    <w:rsid w:val="002D315C"/>
    <w:rsid w:val="002D31A6"/>
    <w:rsid w:val="002D4A29"/>
    <w:rsid w:val="002D4D26"/>
    <w:rsid w:val="002D5643"/>
    <w:rsid w:val="002D5BC7"/>
    <w:rsid w:val="002D5F00"/>
    <w:rsid w:val="002D69F3"/>
    <w:rsid w:val="002D6B68"/>
    <w:rsid w:val="002D6B85"/>
    <w:rsid w:val="002D6E6C"/>
    <w:rsid w:val="002D7061"/>
    <w:rsid w:val="002D714F"/>
    <w:rsid w:val="002D7308"/>
    <w:rsid w:val="002D74F3"/>
    <w:rsid w:val="002E0DDA"/>
    <w:rsid w:val="002E1339"/>
    <w:rsid w:val="002E17D0"/>
    <w:rsid w:val="002E1823"/>
    <w:rsid w:val="002E19D3"/>
    <w:rsid w:val="002E1B0A"/>
    <w:rsid w:val="002E1C31"/>
    <w:rsid w:val="002E23C1"/>
    <w:rsid w:val="002E3D4E"/>
    <w:rsid w:val="002E4184"/>
    <w:rsid w:val="002E42A9"/>
    <w:rsid w:val="002E4796"/>
    <w:rsid w:val="002E4951"/>
    <w:rsid w:val="002E4A2E"/>
    <w:rsid w:val="002E4E73"/>
    <w:rsid w:val="002E4EAF"/>
    <w:rsid w:val="002E529B"/>
    <w:rsid w:val="002E55F0"/>
    <w:rsid w:val="002E5773"/>
    <w:rsid w:val="002E59BC"/>
    <w:rsid w:val="002E6AF3"/>
    <w:rsid w:val="002E6D6E"/>
    <w:rsid w:val="002E6D76"/>
    <w:rsid w:val="002E7068"/>
    <w:rsid w:val="002E78C1"/>
    <w:rsid w:val="002F0266"/>
    <w:rsid w:val="002F0578"/>
    <w:rsid w:val="002F1C30"/>
    <w:rsid w:val="002F1F5A"/>
    <w:rsid w:val="002F258F"/>
    <w:rsid w:val="002F26A1"/>
    <w:rsid w:val="002F3534"/>
    <w:rsid w:val="002F3753"/>
    <w:rsid w:val="002F39A2"/>
    <w:rsid w:val="002F3C43"/>
    <w:rsid w:val="002F4146"/>
    <w:rsid w:val="002F429E"/>
    <w:rsid w:val="002F43AB"/>
    <w:rsid w:val="002F498C"/>
    <w:rsid w:val="002F4E2A"/>
    <w:rsid w:val="002F5005"/>
    <w:rsid w:val="002F6553"/>
    <w:rsid w:val="002F674A"/>
    <w:rsid w:val="002F735C"/>
    <w:rsid w:val="002F7536"/>
    <w:rsid w:val="0030001B"/>
    <w:rsid w:val="00300668"/>
    <w:rsid w:val="0030144E"/>
    <w:rsid w:val="00301614"/>
    <w:rsid w:val="0030177D"/>
    <w:rsid w:val="003019FF"/>
    <w:rsid w:val="00301F85"/>
    <w:rsid w:val="00302717"/>
    <w:rsid w:val="0030297D"/>
    <w:rsid w:val="00302E0D"/>
    <w:rsid w:val="00303931"/>
    <w:rsid w:val="00303DC1"/>
    <w:rsid w:val="003047E5"/>
    <w:rsid w:val="0030501A"/>
    <w:rsid w:val="00305484"/>
    <w:rsid w:val="003055B3"/>
    <w:rsid w:val="00305CD9"/>
    <w:rsid w:val="003067A9"/>
    <w:rsid w:val="003067F6"/>
    <w:rsid w:val="00307448"/>
    <w:rsid w:val="00307751"/>
    <w:rsid w:val="003077AE"/>
    <w:rsid w:val="00307AF8"/>
    <w:rsid w:val="00307C3B"/>
    <w:rsid w:val="00310114"/>
    <w:rsid w:val="00310A68"/>
    <w:rsid w:val="00310B7E"/>
    <w:rsid w:val="00311B2D"/>
    <w:rsid w:val="00311F26"/>
    <w:rsid w:val="00311F4E"/>
    <w:rsid w:val="00312497"/>
    <w:rsid w:val="0031396D"/>
    <w:rsid w:val="0031418E"/>
    <w:rsid w:val="003143B2"/>
    <w:rsid w:val="0031486A"/>
    <w:rsid w:val="00314A0C"/>
    <w:rsid w:val="00314E82"/>
    <w:rsid w:val="00314F82"/>
    <w:rsid w:val="003150B6"/>
    <w:rsid w:val="00315191"/>
    <w:rsid w:val="00315207"/>
    <w:rsid w:val="003167F1"/>
    <w:rsid w:val="003170BC"/>
    <w:rsid w:val="0032014A"/>
    <w:rsid w:val="00320A37"/>
    <w:rsid w:val="00321643"/>
    <w:rsid w:val="0032239B"/>
    <w:rsid w:val="00323682"/>
    <w:rsid w:val="00323846"/>
    <w:rsid w:val="0032394F"/>
    <w:rsid w:val="00323E73"/>
    <w:rsid w:val="00324CF8"/>
    <w:rsid w:val="00324E67"/>
    <w:rsid w:val="00325742"/>
    <w:rsid w:val="00325DB9"/>
    <w:rsid w:val="00325F1A"/>
    <w:rsid w:val="003269F0"/>
    <w:rsid w:val="003272A0"/>
    <w:rsid w:val="0032739E"/>
    <w:rsid w:val="00327CA7"/>
    <w:rsid w:val="00327EAD"/>
    <w:rsid w:val="003307F0"/>
    <w:rsid w:val="00330A01"/>
    <w:rsid w:val="00330CA1"/>
    <w:rsid w:val="00330CDA"/>
    <w:rsid w:val="003314A7"/>
    <w:rsid w:val="00332545"/>
    <w:rsid w:val="00332796"/>
    <w:rsid w:val="003334E7"/>
    <w:rsid w:val="00333FBA"/>
    <w:rsid w:val="00334B0D"/>
    <w:rsid w:val="00334CA4"/>
    <w:rsid w:val="0033530C"/>
    <w:rsid w:val="00335D4A"/>
    <w:rsid w:val="003360FD"/>
    <w:rsid w:val="00337BF1"/>
    <w:rsid w:val="00337BF8"/>
    <w:rsid w:val="003410F7"/>
    <w:rsid w:val="00341459"/>
    <w:rsid w:val="00341FBE"/>
    <w:rsid w:val="00342E34"/>
    <w:rsid w:val="00343001"/>
    <w:rsid w:val="00343349"/>
    <w:rsid w:val="0034335E"/>
    <w:rsid w:val="00343E5D"/>
    <w:rsid w:val="00343FEE"/>
    <w:rsid w:val="00344258"/>
    <w:rsid w:val="00344B71"/>
    <w:rsid w:val="00344C8D"/>
    <w:rsid w:val="00345149"/>
    <w:rsid w:val="003453F2"/>
    <w:rsid w:val="00345C2D"/>
    <w:rsid w:val="00345CE7"/>
    <w:rsid w:val="00345E91"/>
    <w:rsid w:val="00345F5B"/>
    <w:rsid w:val="00346008"/>
    <w:rsid w:val="003461BE"/>
    <w:rsid w:val="00346367"/>
    <w:rsid w:val="00346C47"/>
    <w:rsid w:val="00346E62"/>
    <w:rsid w:val="00347EB0"/>
    <w:rsid w:val="00347ED2"/>
    <w:rsid w:val="00350587"/>
    <w:rsid w:val="00350B86"/>
    <w:rsid w:val="00350C8C"/>
    <w:rsid w:val="00350D4A"/>
    <w:rsid w:val="00350DAE"/>
    <w:rsid w:val="00351618"/>
    <w:rsid w:val="003520AC"/>
    <w:rsid w:val="00352434"/>
    <w:rsid w:val="00352FFC"/>
    <w:rsid w:val="003533F9"/>
    <w:rsid w:val="00353476"/>
    <w:rsid w:val="0035350B"/>
    <w:rsid w:val="00353E87"/>
    <w:rsid w:val="00353F38"/>
    <w:rsid w:val="003546AF"/>
    <w:rsid w:val="00354E7A"/>
    <w:rsid w:val="003552B0"/>
    <w:rsid w:val="00356374"/>
    <w:rsid w:val="00356556"/>
    <w:rsid w:val="00356A5A"/>
    <w:rsid w:val="00356E68"/>
    <w:rsid w:val="00356F48"/>
    <w:rsid w:val="00357013"/>
    <w:rsid w:val="0035778C"/>
    <w:rsid w:val="00360383"/>
    <w:rsid w:val="00360EC8"/>
    <w:rsid w:val="003615BA"/>
    <w:rsid w:val="003623B5"/>
    <w:rsid w:val="003624F3"/>
    <w:rsid w:val="003627C7"/>
    <w:rsid w:val="0036345D"/>
    <w:rsid w:val="003634AF"/>
    <w:rsid w:val="00363EB2"/>
    <w:rsid w:val="00363F06"/>
    <w:rsid w:val="00364232"/>
    <w:rsid w:val="00364AC3"/>
    <w:rsid w:val="003653C8"/>
    <w:rsid w:val="00365FFF"/>
    <w:rsid w:val="00367569"/>
    <w:rsid w:val="003678F5"/>
    <w:rsid w:val="003679A2"/>
    <w:rsid w:val="00367B52"/>
    <w:rsid w:val="0037028D"/>
    <w:rsid w:val="003704F2"/>
    <w:rsid w:val="003706B4"/>
    <w:rsid w:val="003709AA"/>
    <w:rsid w:val="00370D07"/>
    <w:rsid w:val="00371085"/>
    <w:rsid w:val="00371388"/>
    <w:rsid w:val="003718DF"/>
    <w:rsid w:val="00371E0A"/>
    <w:rsid w:val="003723AB"/>
    <w:rsid w:val="00372614"/>
    <w:rsid w:val="003730CF"/>
    <w:rsid w:val="0037354B"/>
    <w:rsid w:val="00373744"/>
    <w:rsid w:val="00373AFA"/>
    <w:rsid w:val="003740FC"/>
    <w:rsid w:val="003741DC"/>
    <w:rsid w:val="00374A97"/>
    <w:rsid w:val="00374EE7"/>
    <w:rsid w:val="003751FB"/>
    <w:rsid w:val="00375418"/>
    <w:rsid w:val="00375B86"/>
    <w:rsid w:val="00375E3D"/>
    <w:rsid w:val="00376AC6"/>
    <w:rsid w:val="00376D0F"/>
    <w:rsid w:val="00376EEF"/>
    <w:rsid w:val="003771AA"/>
    <w:rsid w:val="00377766"/>
    <w:rsid w:val="00377850"/>
    <w:rsid w:val="003779A6"/>
    <w:rsid w:val="00377C2F"/>
    <w:rsid w:val="00380433"/>
    <w:rsid w:val="00380511"/>
    <w:rsid w:val="0038075E"/>
    <w:rsid w:val="0038080C"/>
    <w:rsid w:val="0038161A"/>
    <w:rsid w:val="00381A19"/>
    <w:rsid w:val="00381B0B"/>
    <w:rsid w:val="00381E99"/>
    <w:rsid w:val="00381FFF"/>
    <w:rsid w:val="00383135"/>
    <w:rsid w:val="003831E4"/>
    <w:rsid w:val="003831FF"/>
    <w:rsid w:val="0038321F"/>
    <w:rsid w:val="0038325B"/>
    <w:rsid w:val="0038368D"/>
    <w:rsid w:val="00384A4B"/>
    <w:rsid w:val="00386217"/>
    <w:rsid w:val="00386289"/>
    <w:rsid w:val="003869BF"/>
    <w:rsid w:val="00386C94"/>
    <w:rsid w:val="00386CA5"/>
    <w:rsid w:val="003876F5"/>
    <w:rsid w:val="00387715"/>
    <w:rsid w:val="00387AB6"/>
    <w:rsid w:val="00387C62"/>
    <w:rsid w:val="00387E2A"/>
    <w:rsid w:val="00391FB5"/>
    <w:rsid w:val="003929C9"/>
    <w:rsid w:val="00393459"/>
    <w:rsid w:val="00393C77"/>
    <w:rsid w:val="00393DBC"/>
    <w:rsid w:val="00394546"/>
    <w:rsid w:val="00394D3C"/>
    <w:rsid w:val="0039511D"/>
    <w:rsid w:val="00395396"/>
    <w:rsid w:val="00395C93"/>
    <w:rsid w:val="00395FB4"/>
    <w:rsid w:val="003960A8"/>
    <w:rsid w:val="00396195"/>
    <w:rsid w:val="0039641F"/>
    <w:rsid w:val="003964B9"/>
    <w:rsid w:val="00396549"/>
    <w:rsid w:val="00396D53"/>
    <w:rsid w:val="00397279"/>
    <w:rsid w:val="003978F4"/>
    <w:rsid w:val="00397F3B"/>
    <w:rsid w:val="00397FE2"/>
    <w:rsid w:val="003A054F"/>
    <w:rsid w:val="003A0968"/>
    <w:rsid w:val="003A0E26"/>
    <w:rsid w:val="003A1657"/>
    <w:rsid w:val="003A166C"/>
    <w:rsid w:val="003A1E5A"/>
    <w:rsid w:val="003A32CD"/>
    <w:rsid w:val="003A35DD"/>
    <w:rsid w:val="003A3F06"/>
    <w:rsid w:val="003A4B13"/>
    <w:rsid w:val="003A4DDB"/>
    <w:rsid w:val="003A502F"/>
    <w:rsid w:val="003A5652"/>
    <w:rsid w:val="003A57CA"/>
    <w:rsid w:val="003A5F30"/>
    <w:rsid w:val="003A6420"/>
    <w:rsid w:val="003A6836"/>
    <w:rsid w:val="003B08F6"/>
    <w:rsid w:val="003B0D77"/>
    <w:rsid w:val="003B1289"/>
    <w:rsid w:val="003B1902"/>
    <w:rsid w:val="003B1A4A"/>
    <w:rsid w:val="003B1A9E"/>
    <w:rsid w:val="003B1F8F"/>
    <w:rsid w:val="003B227F"/>
    <w:rsid w:val="003B3443"/>
    <w:rsid w:val="003B3996"/>
    <w:rsid w:val="003B3C3F"/>
    <w:rsid w:val="003B3C5F"/>
    <w:rsid w:val="003B4349"/>
    <w:rsid w:val="003B44AE"/>
    <w:rsid w:val="003B5797"/>
    <w:rsid w:val="003B5F75"/>
    <w:rsid w:val="003B6244"/>
    <w:rsid w:val="003B6496"/>
    <w:rsid w:val="003B6628"/>
    <w:rsid w:val="003B6B7D"/>
    <w:rsid w:val="003B7834"/>
    <w:rsid w:val="003B7D79"/>
    <w:rsid w:val="003C0309"/>
    <w:rsid w:val="003C084D"/>
    <w:rsid w:val="003C1353"/>
    <w:rsid w:val="003C264D"/>
    <w:rsid w:val="003C2AAA"/>
    <w:rsid w:val="003C2CD5"/>
    <w:rsid w:val="003C332E"/>
    <w:rsid w:val="003C34C9"/>
    <w:rsid w:val="003C35B6"/>
    <w:rsid w:val="003C3B4D"/>
    <w:rsid w:val="003C50F8"/>
    <w:rsid w:val="003C574C"/>
    <w:rsid w:val="003C5D46"/>
    <w:rsid w:val="003C5EA8"/>
    <w:rsid w:val="003C6EDF"/>
    <w:rsid w:val="003C7179"/>
    <w:rsid w:val="003C7659"/>
    <w:rsid w:val="003C7A0A"/>
    <w:rsid w:val="003C7D4B"/>
    <w:rsid w:val="003D0527"/>
    <w:rsid w:val="003D0A9C"/>
    <w:rsid w:val="003D0C9F"/>
    <w:rsid w:val="003D0DD3"/>
    <w:rsid w:val="003D1480"/>
    <w:rsid w:val="003D16E8"/>
    <w:rsid w:val="003D1EE4"/>
    <w:rsid w:val="003D29AA"/>
    <w:rsid w:val="003D2FA3"/>
    <w:rsid w:val="003D30D7"/>
    <w:rsid w:val="003D3400"/>
    <w:rsid w:val="003D3442"/>
    <w:rsid w:val="003D3546"/>
    <w:rsid w:val="003D365E"/>
    <w:rsid w:val="003D3A1F"/>
    <w:rsid w:val="003D3BBB"/>
    <w:rsid w:val="003D4047"/>
    <w:rsid w:val="003D40A0"/>
    <w:rsid w:val="003D4120"/>
    <w:rsid w:val="003D42C5"/>
    <w:rsid w:val="003D433C"/>
    <w:rsid w:val="003D43D1"/>
    <w:rsid w:val="003D4486"/>
    <w:rsid w:val="003D4678"/>
    <w:rsid w:val="003D46F9"/>
    <w:rsid w:val="003D497D"/>
    <w:rsid w:val="003D6875"/>
    <w:rsid w:val="003D6AEB"/>
    <w:rsid w:val="003D6DCE"/>
    <w:rsid w:val="003D7068"/>
    <w:rsid w:val="003D73B6"/>
    <w:rsid w:val="003D7B50"/>
    <w:rsid w:val="003D7BAC"/>
    <w:rsid w:val="003E05FD"/>
    <w:rsid w:val="003E081C"/>
    <w:rsid w:val="003E0FC8"/>
    <w:rsid w:val="003E13F8"/>
    <w:rsid w:val="003E1600"/>
    <w:rsid w:val="003E1DE4"/>
    <w:rsid w:val="003E2178"/>
    <w:rsid w:val="003E40C5"/>
    <w:rsid w:val="003E40DD"/>
    <w:rsid w:val="003E4158"/>
    <w:rsid w:val="003E4C36"/>
    <w:rsid w:val="003E58CC"/>
    <w:rsid w:val="003E706C"/>
    <w:rsid w:val="003E7278"/>
    <w:rsid w:val="003E73CD"/>
    <w:rsid w:val="003E73F2"/>
    <w:rsid w:val="003E7F73"/>
    <w:rsid w:val="003F1283"/>
    <w:rsid w:val="003F17F0"/>
    <w:rsid w:val="003F1BC3"/>
    <w:rsid w:val="003F22D2"/>
    <w:rsid w:val="003F23AD"/>
    <w:rsid w:val="003F2B4E"/>
    <w:rsid w:val="003F2D91"/>
    <w:rsid w:val="003F30C8"/>
    <w:rsid w:val="003F37DE"/>
    <w:rsid w:val="003F4562"/>
    <w:rsid w:val="003F4CE5"/>
    <w:rsid w:val="003F4E96"/>
    <w:rsid w:val="003F5BCB"/>
    <w:rsid w:val="003F6140"/>
    <w:rsid w:val="003F6168"/>
    <w:rsid w:val="003F62CC"/>
    <w:rsid w:val="003F68FA"/>
    <w:rsid w:val="003F6EA9"/>
    <w:rsid w:val="003F6FFB"/>
    <w:rsid w:val="003F7317"/>
    <w:rsid w:val="003F755C"/>
    <w:rsid w:val="003F767B"/>
    <w:rsid w:val="003F7750"/>
    <w:rsid w:val="003F793E"/>
    <w:rsid w:val="003F7B9F"/>
    <w:rsid w:val="003F7C9B"/>
    <w:rsid w:val="00400958"/>
    <w:rsid w:val="00400AE3"/>
    <w:rsid w:val="00400B09"/>
    <w:rsid w:val="00402328"/>
    <w:rsid w:val="00402C88"/>
    <w:rsid w:val="004030F8"/>
    <w:rsid w:val="0040336C"/>
    <w:rsid w:val="0040362D"/>
    <w:rsid w:val="00403D42"/>
    <w:rsid w:val="00404109"/>
    <w:rsid w:val="00404E70"/>
    <w:rsid w:val="00405784"/>
    <w:rsid w:val="00405B44"/>
    <w:rsid w:val="004061ED"/>
    <w:rsid w:val="00406526"/>
    <w:rsid w:val="00406652"/>
    <w:rsid w:val="00406A8B"/>
    <w:rsid w:val="00407A63"/>
    <w:rsid w:val="00407D0A"/>
    <w:rsid w:val="00407D69"/>
    <w:rsid w:val="00410967"/>
    <w:rsid w:val="00410DFD"/>
    <w:rsid w:val="00411146"/>
    <w:rsid w:val="00411441"/>
    <w:rsid w:val="00412414"/>
    <w:rsid w:val="00412461"/>
    <w:rsid w:val="00412FC9"/>
    <w:rsid w:val="0041306A"/>
    <w:rsid w:val="00413282"/>
    <w:rsid w:val="00413F22"/>
    <w:rsid w:val="00413FC0"/>
    <w:rsid w:val="004142DE"/>
    <w:rsid w:val="0041458E"/>
    <w:rsid w:val="004145A8"/>
    <w:rsid w:val="004145B5"/>
    <w:rsid w:val="004148FA"/>
    <w:rsid w:val="00414D33"/>
    <w:rsid w:val="00414D8B"/>
    <w:rsid w:val="00415897"/>
    <w:rsid w:val="00415FEC"/>
    <w:rsid w:val="00416232"/>
    <w:rsid w:val="00416439"/>
    <w:rsid w:val="0041676F"/>
    <w:rsid w:val="004172C6"/>
    <w:rsid w:val="00417365"/>
    <w:rsid w:val="004174C0"/>
    <w:rsid w:val="00417F9E"/>
    <w:rsid w:val="00420930"/>
    <w:rsid w:val="00420AA7"/>
    <w:rsid w:val="004211C9"/>
    <w:rsid w:val="00421739"/>
    <w:rsid w:val="00422D3A"/>
    <w:rsid w:val="00422FBE"/>
    <w:rsid w:val="00423573"/>
    <w:rsid w:val="0042359B"/>
    <w:rsid w:val="00423610"/>
    <w:rsid w:val="00423884"/>
    <w:rsid w:val="00423ED7"/>
    <w:rsid w:val="004240FE"/>
    <w:rsid w:val="0042418B"/>
    <w:rsid w:val="00424C58"/>
    <w:rsid w:val="004250C1"/>
    <w:rsid w:val="0042520F"/>
    <w:rsid w:val="0042598F"/>
    <w:rsid w:val="00425C97"/>
    <w:rsid w:val="00425F3B"/>
    <w:rsid w:val="00426293"/>
    <w:rsid w:val="004264A4"/>
    <w:rsid w:val="00426654"/>
    <w:rsid w:val="00426851"/>
    <w:rsid w:val="00426F33"/>
    <w:rsid w:val="00427065"/>
    <w:rsid w:val="004272D4"/>
    <w:rsid w:val="00427B18"/>
    <w:rsid w:val="00427CA9"/>
    <w:rsid w:val="00430473"/>
    <w:rsid w:val="00430675"/>
    <w:rsid w:val="00430A4E"/>
    <w:rsid w:val="00430ADF"/>
    <w:rsid w:val="00430F3F"/>
    <w:rsid w:val="00431704"/>
    <w:rsid w:val="00431769"/>
    <w:rsid w:val="00431EA8"/>
    <w:rsid w:val="00431EE7"/>
    <w:rsid w:val="00432055"/>
    <w:rsid w:val="00432326"/>
    <w:rsid w:val="0043318D"/>
    <w:rsid w:val="00433290"/>
    <w:rsid w:val="00433AE1"/>
    <w:rsid w:val="00434546"/>
    <w:rsid w:val="004347D6"/>
    <w:rsid w:val="0043490F"/>
    <w:rsid w:val="00434958"/>
    <w:rsid w:val="00434D53"/>
    <w:rsid w:val="00434DED"/>
    <w:rsid w:val="00434E22"/>
    <w:rsid w:val="00434ED4"/>
    <w:rsid w:val="0043506D"/>
    <w:rsid w:val="00435371"/>
    <w:rsid w:val="0043592C"/>
    <w:rsid w:val="004359D6"/>
    <w:rsid w:val="00436972"/>
    <w:rsid w:val="004369FE"/>
    <w:rsid w:val="00436A80"/>
    <w:rsid w:val="00436D09"/>
    <w:rsid w:val="004374CE"/>
    <w:rsid w:val="0043776B"/>
    <w:rsid w:val="004401AE"/>
    <w:rsid w:val="00440B98"/>
    <w:rsid w:val="00441F9C"/>
    <w:rsid w:val="004420CE"/>
    <w:rsid w:val="00442C39"/>
    <w:rsid w:val="004432A2"/>
    <w:rsid w:val="004438E5"/>
    <w:rsid w:val="00443CED"/>
    <w:rsid w:val="00443E79"/>
    <w:rsid w:val="004451C6"/>
    <w:rsid w:val="0044540D"/>
    <w:rsid w:val="00445648"/>
    <w:rsid w:val="00445C53"/>
    <w:rsid w:val="00446141"/>
    <w:rsid w:val="00446ECA"/>
    <w:rsid w:val="0044762D"/>
    <w:rsid w:val="00447855"/>
    <w:rsid w:val="0045056B"/>
    <w:rsid w:val="004506BA"/>
    <w:rsid w:val="0045081B"/>
    <w:rsid w:val="00450F14"/>
    <w:rsid w:val="00451035"/>
    <w:rsid w:val="00451503"/>
    <w:rsid w:val="00451655"/>
    <w:rsid w:val="00451799"/>
    <w:rsid w:val="00451B19"/>
    <w:rsid w:val="0045284C"/>
    <w:rsid w:val="00454A41"/>
    <w:rsid w:val="004551DB"/>
    <w:rsid w:val="004554C6"/>
    <w:rsid w:val="004554D5"/>
    <w:rsid w:val="00455573"/>
    <w:rsid w:val="0045714A"/>
    <w:rsid w:val="004578A4"/>
    <w:rsid w:val="00457AE2"/>
    <w:rsid w:val="00457BFE"/>
    <w:rsid w:val="00460637"/>
    <w:rsid w:val="00460A1C"/>
    <w:rsid w:val="00460BC0"/>
    <w:rsid w:val="00461410"/>
    <w:rsid w:val="004616E1"/>
    <w:rsid w:val="00461DCA"/>
    <w:rsid w:val="00461FC3"/>
    <w:rsid w:val="004621C6"/>
    <w:rsid w:val="0046258E"/>
    <w:rsid w:val="0046398F"/>
    <w:rsid w:val="00463AC6"/>
    <w:rsid w:val="00463ADB"/>
    <w:rsid w:val="00464C1F"/>
    <w:rsid w:val="004657B7"/>
    <w:rsid w:val="00465FCB"/>
    <w:rsid w:val="004662DA"/>
    <w:rsid w:val="00466BF8"/>
    <w:rsid w:val="00466C5E"/>
    <w:rsid w:val="00467315"/>
    <w:rsid w:val="00467320"/>
    <w:rsid w:val="00467A8F"/>
    <w:rsid w:val="0047031D"/>
    <w:rsid w:val="00470D11"/>
    <w:rsid w:val="00470F78"/>
    <w:rsid w:val="004713CF"/>
    <w:rsid w:val="004718F3"/>
    <w:rsid w:val="00471A50"/>
    <w:rsid w:val="00473E63"/>
    <w:rsid w:val="0047470F"/>
    <w:rsid w:val="0047496E"/>
    <w:rsid w:val="004749BA"/>
    <w:rsid w:val="00474DF4"/>
    <w:rsid w:val="00475696"/>
    <w:rsid w:val="00475AF6"/>
    <w:rsid w:val="00476314"/>
    <w:rsid w:val="00476A03"/>
    <w:rsid w:val="00476C14"/>
    <w:rsid w:val="004777C9"/>
    <w:rsid w:val="004779DC"/>
    <w:rsid w:val="004779DE"/>
    <w:rsid w:val="0048006B"/>
    <w:rsid w:val="004801B5"/>
    <w:rsid w:val="0048034C"/>
    <w:rsid w:val="00480760"/>
    <w:rsid w:val="0048085D"/>
    <w:rsid w:val="0048086D"/>
    <w:rsid w:val="0048097F"/>
    <w:rsid w:val="00480F78"/>
    <w:rsid w:val="004811EB"/>
    <w:rsid w:val="0048185C"/>
    <w:rsid w:val="00481912"/>
    <w:rsid w:val="00481E97"/>
    <w:rsid w:val="004821F8"/>
    <w:rsid w:val="00482493"/>
    <w:rsid w:val="00483448"/>
    <w:rsid w:val="004835C9"/>
    <w:rsid w:val="00483D5A"/>
    <w:rsid w:val="00483FCC"/>
    <w:rsid w:val="00484183"/>
    <w:rsid w:val="00484DFB"/>
    <w:rsid w:val="00484F08"/>
    <w:rsid w:val="00484F25"/>
    <w:rsid w:val="004853FF"/>
    <w:rsid w:val="00485C59"/>
    <w:rsid w:val="00486515"/>
    <w:rsid w:val="004874E2"/>
    <w:rsid w:val="0048790B"/>
    <w:rsid w:val="00487E21"/>
    <w:rsid w:val="0049012E"/>
    <w:rsid w:val="00490627"/>
    <w:rsid w:val="00490D6B"/>
    <w:rsid w:val="00492211"/>
    <w:rsid w:val="004925E7"/>
    <w:rsid w:val="0049292B"/>
    <w:rsid w:val="004929E2"/>
    <w:rsid w:val="00492A02"/>
    <w:rsid w:val="0049458A"/>
    <w:rsid w:val="0049463C"/>
    <w:rsid w:val="00494970"/>
    <w:rsid w:val="004954C8"/>
    <w:rsid w:val="00495BE6"/>
    <w:rsid w:val="004967BF"/>
    <w:rsid w:val="00496ACD"/>
    <w:rsid w:val="0049721D"/>
    <w:rsid w:val="00497CC8"/>
    <w:rsid w:val="00497D1A"/>
    <w:rsid w:val="00497D64"/>
    <w:rsid w:val="004A0330"/>
    <w:rsid w:val="004A0446"/>
    <w:rsid w:val="004A07F2"/>
    <w:rsid w:val="004A1113"/>
    <w:rsid w:val="004A1832"/>
    <w:rsid w:val="004A1AF7"/>
    <w:rsid w:val="004A20FE"/>
    <w:rsid w:val="004A2219"/>
    <w:rsid w:val="004A2779"/>
    <w:rsid w:val="004A2FE9"/>
    <w:rsid w:val="004A30D5"/>
    <w:rsid w:val="004A3466"/>
    <w:rsid w:val="004A3895"/>
    <w:rsid w:val="004A3D1B"/>
    <w:rsid w:val="004A3FB6"/>
    <w:rsid w:val="004A4743"/>
    <w:rsid w:val="004A482B"/>
    <w:rsid w:val="004A4AA3"/>
    <w:rsid w:val="004A5BFF"/>
    <w:rsid w:val="004A5FC3"/>
    <w:rsid w:val="004A70CD"/>
    <w:rsid w:val="004A7716"/>
    <w:rsid w:val="004B0299"/>
    <w:rsid w:val="004B05F4"/>
    <w:rsid w:val="004B0752"/>
    <w:rsid w:val="004B14EE"/>
    <w:rsid w:val="004B1A20"/>
    <w:rsid w:val="004B1D34"/>
    <w:rsid w:val="004B3BC7"/>
    <w:rsid w:val="004B44A3"/>
    <w:rsid w:val="004B4E8F"/>
    <w:rsid w:val="004B5439"/>
    <w:rsid w:val="004B5904"/>
    <w:rsid w:val="004B5BEC"/>
    <w:rsid w:val="004B6546"/>
    <w:rsid w:val="004B6863"/>
    <w:rsid w:val="004B6A56"/>
    <w:rsid w:val="004B762B"/>
    <w:rsid w:val="004B7641"/>
    <w:rsid w:val="004B7702"/>
    <w:rsid w:val="004B78C6"/>
    <w:rsid w:val="004B7C80"/>
    <w:rsid w:val="004C035F"/>
    <w:rsid w:val="004C0C19"/>
    <w:rsid w:val="004C13E8"/>
    <w:rsid w:val="004C1AB1"/>
    <w:rsid w:val="004C1FB5"/>
    <w:rsid w:val="004C242D"/>
    <w:rsid w:val="004C25F9"/>
    <w:rsid w:val="004C3C10"/>
    <w:rsid w:val="004C3C47"/>
    <w:rsid w:val="004C40E6"/>
    <w:rsid w:val="004C45CA"/>
    <w:rsid w:val="004C4D50"/>
    <w:rsid w:val="004C4F4D"/>
    <w:rsid w:val="004C5525"/>
    <w:rsid w:val="004C59BC"/>
    <w:rsid w:val="004C631D"/>
    <w:rsid w:val="004C66B0"/>
    <w:rsid w:val="004C67CC"/>
    <w:rsid w:val="004C68DF"/>
    <w:rsid w:val="004C714D"/>
    <w:rsid w:val="004C71E5"/>
    <w:rsid w:val="004C75CF"/>
    <w:rsid w:val="004C7C77"/>
    <w:rsid w:val="004D042B"/>
    <w:rsid w:val="004D0B16"/>
    <w:rsid w:val="004D12D5"/>
    <w:rsid w:val="004D1638"/>
    <w:rsid w:val="004D2338"/>
    <w:rsid w:val="004D26FD"/>
    <w:rsid w:val="004D3977"/>
    <w:rsid w:val="004D3F93"/>
    <w:rsid w:val="004D4245"/>
    <w:rsid w:val="004D4251"/>
    <w:rsid w:val="004D47C6"/>
    <w:rsid w:val="004D5889"/>
    <w:rsid w:val="004D5FD4"/>
    <w:rsid w:val="004D6161"/>
    <w:rsid w:val="004D62E5"/>
    <w:rsid w:val="004D649A"/>
    <w:rsid w:val="004D6789"/>
    <w:rsid w:val="004D6FE0"/>
    <w:rsid w:val="004D7241"/>
    <w:rsid w:val="004D75A3"/>
    <w:rsid w:val="004D7AF1"/>
    <w:rsid w:val="004E0371"/>
    <w:rsid w:val="004E0DD5"/>
    <w:rsid w:val="004E1208"/>
    <w:rsid w:val="004E1281"/>
    <w:rsid w:val="004E206E"/>
    <w:rsid w:val="004E2143"/>
    <w:rsid w:val="004E2834"/>
    <w:rsid w:val="004E2B85"/>
    <w:rsid w:val="004E31B0"/>
    <w:rsid w:val="004E3206"/>
    <w:rsid w:val="004E3B3D"/>
    <w:rsid w:val="004E3DBB"/>
    <w:rsid w:val="004E439E"/>
    <w:rsid w:val="004E4716"/>
    <w:rsid w:val="004E4A97"/>
    <w:rsid w:val="004E4B3F"/>
    <w:rsid w:val="004E4E7B"/>
    <w:rsid w:val="004E574B"/>
    <w:rsid w:val="004E6132"/>
    <w:rsid w:val="004E67AE"/>
    <w:rsid w:val="004E6F4B"/>
    <w:rsid w:val="004E70FC"/>
    <w:rsid w:val="004E7799"/>
    <w:rsid w:val="004F09AB"/>
    <w:rsid w:val="004F10F7"/>
    <w:rsid w:val="004F15CD"/>
    <w:rsid w:val="004F1A29"/>
    <w:rsid w:val="004F27BB"/>
    <w:rsid w:val="004F35C4"/>
    <w:rsid w:val="004F45CE"/>
    <w:rsid w:val="004F4670"/>
    <w:rsid w:val="004F47FD"/>
    <w:rsid w:val="004F4979"/>
    <w:rsid w:val="004F5CDD"/>
    <w:rsid w:val="004F61E4"/>
    <w:rsid w:val="004F6607"/>
    <w:rsid w:val="004F6907"/>
    <w:rsid w:val="004F69E1"/>
    <w:rsid w:val="004F7732"/>
    <w:rsid w:val="004F77F6"/>
    <w:rsid w:val="004F786E"/>
    <w:rsid w:val="005003A3"/>
    <w:rsid w:val="00500506"/>
    <w:rsid w:val="00500BE8"/>
    <w:rsid w:val="00501135"/>
    <w:rsid w:val="00501A01"/>
    <w:rsid w:val="00501E03"/>
    <w:rsid w:val="00501E2C"/>
    <w:rsid w:val="00502251"/>
    <w:rsid w:val="00503057"/>
    <w:rsid w:val="00503168"/>
    <w:rsid w:val="0050329F"/>
    <w:rsid w:val="00504B3A"/>
    <w:rsid w:val="00505033"/>
    <w:rsid w:val="00505115"/>
    <w:rsid w:val="0050537C"/>
    <w:rsid w:val="00505D03"/>
    <w:rsid w:val="00505E81"/>
    <w:rsid w:val="00506F63"/>
    <w:rsid w:val="00507027"/>
    <w:rsid w:val="00507969"/>
    <w:rsid w:val="005079B8"/>
    <w:rsid w:val="00507C55"/>
    <w:rsid w:val="005102A6"/>
    <w:rsid w:val="00510300"/>
    <w:rsid w:val="00510588"/>
    <w:rsid w:val="005106FC"/>
    <w:rsid w:val="00510A9C"/>
    <w:rsid w:val="005119DB"/>
    <w:rsid w:val="00512B3F"/>
    <w:rsid w:val="00512D2F"/>
    <w:rsid w:val="0051302B"/>
    <w:rsid w:val="0051364C"/>
    <w:rsid w:val="00513EE8"/>
    <w:rsid w:val="00514463"/>
    <w:rsid w:val="0051450A"/>
    <w:rsid w:val="00514712"/>
    <w:rsid w:val="00514DCD"/>
    <w:rsid w:val="00515103"/>
    <w:rsid w:val="00515384"/>
    <w:rsid w:val="00515571"/>
    <w:rsid w:val="00516158"/>
    <w:rsid w:val="005167BA"/>
    <w:rsid w:val="00516881"/>
    <w:rsid w:val="0051690F"/>
    <w:rsid w:val="00516AF5"/>
    <w:rsid w:val="00516D9B"/>
    <w:rsid w:val="00516F88"/>
    <w:rsid w:val="0051702F"/>
    <w:rsid w:val="005172C6"/>
    <w:rsid w:val="00520DB2"/>
    <w:rsid w:val="00520ECA"/>
    <w:rsid w:val="00521AC8"/>
    <w:rsid w:val="00522139"/>
    <w:rsid w:val="00522205"/>
    <w:rsid w:val="005229A9"/>
    <w:rsid w:val="00523440"/>
    <w:rsid w:val="00523B2E"/>
    <w:rsid w:val="00524BDB"/>
    <w:rsid w:val="00524F48"/>
    <w:rsid w:val="00525954"/>
    <w:rsid w:val="00526000"/>
    <w:rsid w:val="00526378"/>
    <w:rsid w:val="00526680"/>
    <w:rsid w:val="00526DAA"/>
    <w:rsid w:val="00526DFA"/>
    <w:rsid w:val="00526FAF"/>
    <w:rsid w:val="00527845"/>
    <w:rsid w:val="00530DB2"/>
    <w:rsid w:val="00531130"/>
    <w:rsid w:val="00531AD5"/>
    <w:rsid w:val="00531C42"/>
    <w:rsid w:val="0053204F"/>
    <w:rsid w:val="00532889"/>
    <w:rsid w:val="005329B6"/>
    <w:rsid w:val="00532B21"/>
    <w:rsid w:val="00532CEF"/>
    <w:rsid w:val="00533A2B"/>
    <w:rsid w:val="005343BA"/>
    <w:rsid w:val="005361EB"/>
    <w:rsid w:val="00536400"/>
    <w:rsid w:val="005364B1"/>
    <w:rsid w:val="005368C5"/>
    <w:rsid w:val="00536CE1"/>
    <w:rsid w:val="00536D52"/>
    <w:rsid w:val="005377EF"/>
    <w:rsid w:val="00540B12"/>
    <w:rsid w:val="00540D2A"/>
    <w:rsid w:val="00541210"/>
    <w:rsid w:val="00541371"/>
    <w:rsid w:val="005416B1"/>
    <w:rsid w:val="005421B9"/>
    <w:rsid w:val="005429F7"/>
    <w:rsid w:val="00542BC7"/>
    <w:rsid w:val="00543363"/>
    <w:rsid w:val="0054340B"/>
    <w:rsid w:val="00543551"/>
    <w:rsid w:val="005437D3"/>
    <w:rsid w:val="0054401A"/>
    <w:rsid w:val="00544D2E"/>
    <w:rsid w:val="0054517C"/>
    <w:rsid w:val="00545B43"/>
    <w:rsid w:val="0054645D"/>
    <w:rsid w:val="00547201"/>
    <w:rsid w:val="00547337"/>
    <w:rsid w:val="005478B8"/>
    <w:rsid w:val="00547BCC"/>
    <w:rsid w:val="005500EA"/>
    <w:rsid w:val="005505DC"/>
    <w:rsid w:val="0055089F"/>
    <w:rsid w:val="00550986"/>
    <w:rsid w:val="00550A74"/>
    <w:rsid w:val="00551BC8"/>
    <w:rsid w:val="00551C62"/>
    <w:rsid w:val="00552009"/>
    <w:rsid w:val="005523FF"/>
    <w:rsid w:val="005524E0"/>
    <w:rsid w:val="005528B5"/>
    <w:rsid w:val="0055291C"/>
    <w:rsid w:val="005529D8"/>
    <w:rsid w:val="00552D44"/>
    <w:rsid w:val="00552DAB"/>
    <w:rsid w:val="005539A0"/>
    <w:rsid w:val="00554004"/>
    <w:rsid w:val="00554FE8"/>
    <w:rsid w:val="005566F9"/>
    <w:rsid w:val="00556F7B"/>
    <w:rsid w:val="00557A1D"/>
    <w:rsid w:val="00557AB4"/>
    <w:rsid w:val="00557ED2"/>
    <w:rsid w:val="00560135"/>
    <w:rsid w:val="0056049C"/>
    <w:rsid w:val="005607EA"/>
    <w:rsid w:val="005609AF"/>
    <w:rsid w:val="00560D9C"/>
    <w:rsid w:val="005614BE"/>
    <w:rsid w:val="00561549"/>
    <w:rsid w:val="0056199A"/>
    <w:rsid w:val="00561C6C"/>
    <w:rsid w:val="00563723"/>
    <w:rsid w:val="00563A55"/>
    <w:rsid w:val="005642A8"/>
    <w:rsid w:val="005645CC"/>
    <w:rsid w:val="005645EA"/>
    <w:rsid w:val="00565344"/>
    <w:rsid w:val="0056561D"/>
    <w:rsid w:val="00565955"/>
    <w:rsid w:val="00565A1B"/>
    <w:rsid w:val="00565AF9"/>
    <w:rsid w:val="00565C05"/>
    <w:rsid w:val="00565E99"/>
    <w:rsid w:val="00566128"/>
    <w:rsid w:val="00566549"/>
    <w:rsid w:val="00567494"/>
    <w:rsid w:val="00567876"/>
    <w:rsid w:val="005678F8"/>
    <w:rsid w:val="005678FA"/>
    <w:rsid w:val="00567ECD"/>
    <w:rsid w:val="005704D9"/>
    <w:rsid w:val="005705DC"/>
    <w:rsid w:val="005707E8"/>
    <w:rsid w:val="00570C0C"/>
    <w:rsid w:val="00570EB6"/>
    <w:rsid w:val="00571B87"/>
    <w:rsid w:val="00572C08"/>
    <w:rsid w:val="00573277"/>
    <w:rsid w:val="0057415E"/>
    <w:rsid w:val="005741F4"/>
    <w:rsid w:val="00574C3D"/>
    <w:rsid w:val="00575A68"/>
    <w:rsid w:val="00575CA6"/>
    <w:rsid w:val="005769FD"/>
    <w:rsid w:val="005771C6"/>
    <w:rsid w:val="005778DB"/>
    <w:rsid w:val="00580137"/>
    <w:rsid w:val="00580709"/>
    <w:rsid w:val="00580AF9"/>
    <w:rsid w:val="00580D86"/>
    <w:rsid w:val="00581162"/>
    <w:rsid w:val="005815EC"/>
    <w:rsid w:val="00582C86"/>
    <w:rsid w:val="00583496"/>
    <w:rsid w:val="00583547"/>
    <w:rsid w:val="005836C7"/>
    <w:rsid w:val="00583B22"/>
    <w:rsid w:val="00583B4C"/>
    <w:rsid w:val="00583BC9"/>
    <w:rsid w:val="00583E08"/>
    <w:rsid w:val="00583E61"/>
    <w:rsid w:val="005843BE"/>
    <w:rsid w:val="005844D1"/>
    <w:rsid w:val="00584FEA"/>
    <w:rsid w:val="005850EF"/>
    <w:rsid w:val="0058515D"/>
    <w:rsid w:val="00585503"/>
    <w:rsid w:val="005857CC"/>
    <w:rsid w:val="00586006"/>
    <w:rsid w:val="0058642E"/>
    <w:rsid w:val="005870D3"/>
    <w:rsid w:val="0059074D"/>
    <w:rsid w:val="00590AEF"/>
    <w:rsid w:val="00591412"/>
    <w:rsid w:val="0059167D"/>
    <w:rsid w:val="00591929"/>
    <w:rsid w:val="00591EE8"/>
    <w:rsid w:val="005929B6"/>
    <w:rsid w:val="00592E2A"/>
    <w:rsid w:val="00593BD8"/>
    <w:rsid w:val="00593D0B"/>
    <w:rsid w:val="00594739"/>
    <w:rsid w:val="00594ADF"/>
    <w:rsid w:val="00595754"/>
    <w:rsid w:val="00595FED"/>
    <w:rsid w:val="00596180"/>
    <w:rsid w:val="0059667C"/>
    <w:rsid w:val="0059690D"/>
    <w:rsid w:val="00596AD3"/>
    <w:rsid w:val="00596CD1"/>
    <w:rsid w:val="00597260"/>
    <w:rsid w:val="005978AA"/>
    <w:rsid w:val="005A096E"/>
    <w:rsid w:val="005A0F08"/>
    <w:rsid w:val="005A1490"/>
    <w:rsid w:val="005A1539"/>
    <w:rsid w:val="005A1699"/>
    <w:rsid w:val="005A21DB"/>
    <w:rsid w:val="005A24DA"/>
    <w:rsid w:val="005A2763"/>
    <w:rsid w:val="005A37C8"/>
    <w:rsid w:val="005A3882"/>
    <w:rsid w:val="005A3F92"/>
    <w:rsid w:val="005A41D0"/>
    <w:rsid w:val="005A5007"/>
    <w:rsid w:val="005A60FA"/>
    <w:rsid w:val="005A6222"/>
    <w:rsid w:val="005A6F74"/>
    <w:rsid w:val="005A6FC1"/>
    <w:rsid w:val="005A70CD"/>
    <w:rsid w:val="005A737B"/>
    <w:rsid w:val="005A7D36"/>
    <w:rsid w:val="005B06EF"/>
    <w:rsid w:val="005B0707"/>
    <w:rsid w:val="005B0892"/>
    <w:rsid w:val="005B0BBC"/>
    <w:rsid w:val="005B0E5A"/>
    <w:rsid w:val="005B1394"/>
    <w:rsid w:val="005B18CD"/>
    <w:rsid w:val="005B19A8"/>
    <w:rsid w:val="005B24FA"/>
    <w:rsid w:val="005B2F52"/>
    <w:rsid w:val="005B37AA"/>
    <w:rsid w:val="005B3933"/>
    <w:rsid w:val="005B4748"/>
    <w:rsid w:val="005B483D"/>
    <w:rsid w:val="005B4E31"/>
    <w:rsid w:val="005B51EE"/>
    <w:rsid w:val="005B5970"/>
    <w:rsid w:val="005B6043"/>
    <w:rsid w:val="005B716E"/>
    <w:rsid w:val="005C0F27"/>
    <w:rsid w:val="005C193B"/>
    <w:rsid w:val="005C1B5F"/>
    <w:rsid w:val="005C1BB0"/>
    <w:rsid w:val="005C1E9C"/>
    <w:rsid w:val="005C1F30"/>
    <w:rsid w:val="005C2365"/>
    <w:rsid w:val="005C2582"/>
    <w:rsid w:val="005C2F1A"/>
    <w:rsid w:val="005C3257"/>
    <w:rsid w:val="005C3558"/>
    <w:rsid w:val="005C37EB"/>
    <w:rsid w:val="005C43D3"/>
    <w:rsid w:val="005C4628"/>
    <w:rsid w:val="005C47F8"/>
    <w:rsid w:val="005C4B6D"/>
    <w:rsid w:val="005C4D7E"/>
    <w:rsid w:val="005C5C99"/>
    <w:rsid w:val="005C5E4E"/>
    <w:rsid w:val="005C6573"/>
    <w:rsid w:val="005C6BF0"/>
    <w:rsid w:val="005C7698"/>
    <w:rsid w:val="005C7745"/>
    <w:rsid w:val="005D004E"/>
    <w:rsid w:val="005D044B"/>
    <w:rsid w:val="005D0CD2"/>
    <w:rsid w:val="005D131C"/>
    <w:rsid w:val="005D164B"/>
    <w:rsid w:val="005D1AE8"/>
    <w:rsid w:val="005D1C1E"/>
    <w:rsid w:val="005D1C9E"/>
    <w:rsid w:val="005D1DCA"/>
    <w:rsid w:val="005D22B8"/>
    <w:rsid w:val="005D2870"/>
    <w:rsid w:val="005D2B03"/>
    <w:rsid w:val="005D3220"/>
    <w:rsid w:val="005D38C3"/>
    <w:rsid w:val="005D4C2C"/>
    <w:rsid w:val="005D55D3"/>
    <w:rsid w:val="005D5716"/>
    <w:rsid w:val="005D6495"/>
    <w:rsid w:val="005D6BE9"/>
    <w:rsid w:val="005D6C51"/>
    <w:rsid w:val="005D734D"/>
    <w:rsid w:val="005D79F1"/>
    <w:rsid w:val="005D7F9A"/>
    <w:rsid w:val="005E0054"/>
    <w:rsid w:val="005E015C"/>
    <w:rsid w:val="005E0C79"/>
    <w:rsid w:val="005E1430"/>
    <w:rsid w:val="005E1D1F"/>
    <w:rsid w:val="005E1DA5"/>
    <w:rsid w:val="005E1E2A"/>
    <w:rsid w:val="005E2432"/>
    <w:rsid w:val="005E2D92"/>
    <w:rsid w:val="005E385A"/>
    <w:rsid w:val="005E4616"/>
    <w:rsid w:val="005E517E"/>
    <w:rsid w:val="005E556D"/>
    <w:rsid w:val="005E6189"/>
    <w:rsid w:val="005E6AE0"/>
    <w:rsid w:val="005E6DB2"/>
    <w:rsid w:val="005E73F7"/>
    <w:rsid w:val="005E7A51"/>
    <w:rsid w:val="005E7EBF"/>
    <w:rsid w:val="005E7F52"/>
    <w:rsid w:val="005F0928"/>
    <w:rsid w:val="005F0B76"/>
    <w:rsid w:val="005F0F4E"/>
    <w:rsid w:val="005F24C1"/>
    <w:rsid w:val="005F2C4D"/>
    <w:rsid w:val="005F30FB"/>
    <w:rsid w:val="005F3239"/>
    <w:rsid w:val="005F32E6"/>
    <w:rsid w:val="005F3609"/>
    <w:rsid w:val="005F3852"/>
    <w:rsid w:val="005F4010"/>
    <w:rsid w:val="005F42E6"/>
    <w:rsid w:val="005F492D"/>
    <w:rsid w:val="005F4B97"/>
    <w:rsid w:val="005F52D7"/>
    <w:rsid w:val="005F5771"/>
    <w:rsid w:val="005F57F7"/>
    <w:rsid w:val="005F5E07"/>
    <w:rsid w:val="005F6D4A"/>
    <w:rsid w:val="005F6EF7"/>
    <w:rsid w:val="005F7113"/>
    <w:rsid w:val="005F7317"/>
    <w:rsid w:val="005F738C"/>
    <w:rsid w:val="005F7D37"/>
    <w:rsid w:val="00600CA5"/>
    <w:rsid w:val="00601097"/>
    <w:rsid w:val="00601930"/>
    <w:rsid w:val="006026F8"/>
    <w:rsid w:val="00603ACA"/>
    <w:rsid w:val="00603BE0"/>
    <w:rsid w:val="006043A5"/>
    <w:rsid w:val="0060495F"/>
    <w:rsid w:val="00604B4A"/>
    <w:rsid w:val="00604B6A"/>
    <w:rsid w:val="00604FA2"/>
    <w:rsid w:val="00606264"/>
    <w:rsid w:val="006062C4"/>
    <w:rsid w:val="006067F2"/>
    <w:rsid w:val="00606B9F"/>
    <w:rsid w:val="00606CDD"/>
    <w:rsid w:val="0060715E"/>
    <w:rsid w:val="00607476"/>
    <w:rsid w:val="00607740"/>
    <w:rsid w:val="0060776A"/>
    <w:rsid w:val="0060785D"/>
    <w:rsid w:val="00607E43"/>
    <w:rsid w:val="0061000F"/>
    <w:rsid w:val="00610038"/>
    <w:rsid w:val="006101BF"/>
    <w:rsid w:val="006101DB"/>
    <w:rsid w:val="0061041F"/>
    <w:rsid w:val="00612040"/>
    <w:rsid w:val="006123DD"/>
    <w:rsid w:val="00612C37"/>
    <w:rsid w:val="0061378F"/>
    <w:rsid w:val="00613B19"/>
    <w:rsid w:val="00613D7C"/>
    <w:rsid w:val="00614882"/>
    <w:rsid w:val="00615D4A"/>
    <w:rsid w:val="00616435"/>
    <w:rsid w:val="00616A84"/>
    <w:rsid w:val="00616BF4"/>
    <w:rsid w:val="00616D75"/>
    <w:rsid w:val="006173E6"/>
    <w:rsid w:val="00617EDC"/>
    <w:rsid w:val="00617EE4"/>
    <w:rsid w:val="00620172"/>
    <w:rsid w:val="0062022B"/>
    <w:rsid w:val="00620931"/>
    <w:rsid w:val="00620965"/>
    <w:rsid w:val="0062170B"/>
    <w:rsid w:val="00621A8E"/>
    <w:rsid w:val="006221F9"/>
    <w:rsid w:val="006222BA"/>
    <w:rsid w:val="006223F1"/>
    <w:rsid w:val="00622DB0"/>
    <w:rsid w:val="00623521"/>
    <w:rsid w:val="00623818"/>
    <w:rsid w:val="006239E9"/>
    <w:rsid w:val="006240F1"/>
    <w:rsid w:val="006242F6"/>
    <w:rsid w:val="006251B9"/>
    <w:rsid w:val="00625214"/>
    <w:rsid w:val="006256FC"/>
    <w:rsid w:val="00626020"/>
    <w:rsid w:val="00626799"/>
    <w:rsid w:val="00626981"/>
    <w:rsid w:val="0062707F"/>
    <w:rsid w:val="0062733D"/>
    <w:rsid w:val="006274DF"/>
    <w:rsid w:val="00630A29"/>
    <w:rsid w:val="00632397"/>
    <w:rsid w:val="006323FB"/>
    <w:rsid w:val="00632ABF"/>
    <w:rsid w:val="00633488"/>
    <w:rsid w:val="0063370E"/>
    <w:rsid w:val="00633B77"/>
    <w:rsid w:val="00634500"/>
    <w:rsid w:val="0063477A"/>
    <w:rsid w:val="0063541F"/>
    <w:rsid w:val="00635E33"/>
    <w:rsid w:val="006366C0"/>
    <w:rsid w:val="0063685D"/>
    <w:rsid w:val="0063690B"/>
    <w:rsid w:val="00637190"/>
    <w:rsid w:val="00640AA8"/>
    <w:rsid w:val="006415C0"/>
    <w:rsid w:val="00642507"/>
    <w:rsid w:val="00642F4F"/>
    <w:rsid w:val="006438E2"/>
    <w:rsid w:val="00644858"/>
    <w:rsid w:val="006455A3"/>
    <w:rsid w:val="006456B0"/>
    <w:rsid w:val="00645873"/>
    <w:rsid w:val="006459A0"/>
    <w:rsid w:val="006461A4"/>
    <w:rsid w:val="00646717"/>
    <w:rsid w:val="0064679A"/>
    <w:rsid w:val="00646A3C"/>
    <w:rsid w:val="00646D13"/>
    <w:rsid w:val="0064706B"/>
    <w:rsid w:val="006473D7"/>
    <w:rsid w:val="00647427"/>
    <w:rsid w:val="00647F84"/>
    <w:rsid w:val="006500FD"/>
    <w:rsid w:val="0065021D"/>
    <w:rsid w:val="00650507"/>
    <w:rsid w:val="00651053"/>
    <w:rsid w:val="00651D2F"/>
    <w:rsid w:val="00652243"/>
    <w:rsid w:val="00652439"/>
    <w:rsid w:val="006525F2"/>
    <w:rsid w:val="00653A68"/>
    <w:rsid w:val="00654A5C"/>
    <w:rsid w:val="00655999"/>
    <w:rsid w:val="00656D09"/>
    <w:rsid w:val="00656E66"/>
    <w:rsid w:val="00656E9D"/>
    <w:rsid w:val="00657358"/>
    <w:rsid w:val="00657A6B"/>
    <w:rsid w:val="00657BEA"/>
    <w:rsid w:val="00657DC9"/>
    <w:rsid w:val="0066046E"/>
    <w:rsid w:val="00660B62"/>
    <w:rsid w:val="006610DD"/>
    <w:rsid w:val="0066153F"/>
    <w:rsid w:val="00661ADD"/>
    <w:rsid w:val="00661F15"/>
    <w:rsid w:val="00662298"/>
    <w:rsid w:val="00663B68"/>
    <w:rsid w:val="006646FE"/>
    <w:rsid w:val="00664993"/>
    <w:rsid w:val="00664C8C"/>
    <w:rsid w:val="00664DE2"/>
    <w:rsid w:val="00664FCE"/>
    <w:rsid w:val="0066611D"/>
    <w:rsid w:val="006667C6"/>
    <w:rsid w:val="00666CF5"/>
    <w:rsid w:val="00666FEB"/>
    <w:rsid w:val="0066736E"/>
    <w:rsid w:val="00667A6E"/>
    <w:rsid w:val="00670379"/>
    <w:rsid w:val="0067051C"/>
    <w:rsid w:val="0067115E"/>
    <w:rsid w:val="006714EF"/>
    <w:rsid w:val="00671788"/>
    <w:rsid w:val="00671D80"/>
    <w:rsid w:val="00671ECA"/>
    <w:rsid w:val="0067207B"/>
    <w:rsid w:val="00672146"/>
    <w:rsid w:val="0067283C"/>
    <w:rsid w:val="006728F8"/>
    <w:rsid w:val="00672979"/>
    <w:rsid w:val="0067328D"/>
    <w:rsid w:val="006735C1"/>
    <w:rsid w:val="00673DB7"/>
    <w:rsid w:val="00673E8B"/>
    <w:rsid w:val="00675A7F"/>
    <w:rsid w:val="00675C73"/>
    <w:rsid w:val="0067697D"/>
    <w:rsid w:val="00676B4C"/>
    <w:rsid w:val="00676D13"/>
    <w:rsid w:val="00677055"/>
    <w:rsid w:val="006772CB"/>
    <w:rsid w:val="00677C3E"/>
    <w:rsid w:val="006801BE"/>
    <w:rsid w:val="00680E4F"/>
    <w:rsid w:val="006815A6"/>
    <w:rsid w:val="00681849"/>
    <w:rsid w:val="00681EC1"/>
    <w:rsid w:val="00682AAE"/>
    <w:rsid w:val="00682EC4"/>
    <w:rsid w:val="0068348C"/>
    <w:rsid w:val="00683B45"/>
    <w:rsid w:val="00683D12"/>
    <w:rsid w:val="00684FA1"/>
    <w:rsid w:val="00684FDE"/>
    <w:rsid w:val="0068513F"/>
    <w:rsid w:val="0068556E"/>
    <w:rsid w:val="0068588A"/>
    <w:rsid w:val="00686457"/>
    <w:rsid w:val="00686C71"/>
    <w:rsid w:val="00687823"/>
    <w:rsid w:val="00687E77"/>
    <w:rsid w:val="00691130"/>
    <w:rsid w:val="00691609"/>
    <w:rsid w:val="0069165C"/>
    <w:rsid w:val="00691E09"/>
    <w:rsid w:val="0069298F"/>
    <w:rsid w:val="00692D8E"/>
    <w:rsid w:val="00693A8B"/>
    <w:rsid w:val="00694417"/>
    <w:rsid w:val="006947C0"/>
    <w:rsid w:val="006947DD"/>
    <w:rsid w:val="00694B92"/>
    <w:rsid w:val="00694BB4"/>
    <w:rsid w:val="00694DFB"/>
    <w:rsid w:val="00694FB3"/>
    <w:rsid w:val="0069560F"/>
    <w:rsid w:val="00695E67"/>
    <w:rsid w:val="006968A7"/>
    <w:rsid w:val="0069763D"/>
    <w:rsid w:val="00697804"/>
    <w:rsid w:val="006A0074"/>
    <w:rsid w:val="006A13C3"/>
    <w:rsid w:val="006A1AB3"/>
    <w:rsid w:val="006A1BEE"/>
    <w:rsid w:val="006A240C"/>
    <w:rsid w:val="006A2D90"/>
    <w:rsid w:val="006A327C"/>
    <w:rsid w:val="006A3769"/>
    <w:rsid w:val="006A394A"/>
    <w:rsid w:val="006A4D80"/>
    <w:rsid w:val="006A5404"/>
    <w:rsid w:val="006A571D"/>
    <w:rsid w:val="006A5766"/>
    <w:rsid w:val="006A5934"/>
    <w:rsid w:val="006A5B72"/>
    <w:rsid w:val="006A691E"/>
    <w:rsid w:val="006A6FCB"/>
    <w:rsid w:val="006A73F1"/>
    <w:rsid w:val="006A76EA"/>
    <w:rsid w:val="006A7C17"/>
    <w:rsid w:val="006A7CFA"/>
    <w:rsid w:val="006B088B"/>
    <w:rsid w:val="006B0B90"/>
    <w:rsid w:val="006B0EDE"/>
    <w:rsid w:val="006B1DE1"/>
    <w:rsid w:val="006B20A8"/>
    <w:rsid w:val="006B26DE"/>
    <w:rsid w:val="006B30F7"/>
    <w:rsid w:val="006B3918"/>
    <w:rsid w:val="006B457C"/>
    <w:rsid w:val="006B4D58"/>
    <w:rsid w:val="006B5B8B"/>
    <w:rsid w:val="006B6032"/>
    <w:rsid w:val="006B607B"/>
    <w:rsid w:val="006B63CC"/>
    <w:rsid w:val="006B7000"/>
    <w:rsid w:val="006C00A8"/>
    <w:rsid w:val="006C01AD"/>
    <w:rsid w:val="006C0883"/>
    <w:rsid w:val="006C0D32"/>
    <w:rsid w:val="006C0EDE"/>
    <w:rsid w:val="006C1A2B"/>
    <w:rsid w:val="006C1C11"/>
    <w:rsid w:val="006C1C62"/>
    <w:rsid w:val="006C1D8E"/>
    <w:rsid w:val="006C22B7"/>
    <w:rsid w:val="006C2F3C"/>
    <w:rsid w:val="006C369E"/>
    <w:rsid w:val="006C3B3F"/>
    <w:rsid w:val="006C4BB5"/>
    <w:rsid w:val="006C51D1"/>
    <w:rsid w:val="006C561B"/>
    <w:rsid w:val="006C5C7B"/>
    <w:rsid w:val="006C6896"/>
    <w:rsid w:val="006C7449"/>
    <w:rsid w:val="006C7676"/>
    <w:rsid w:val="006C7944"/>
    <w:rsid w:val="006C7AF7"/>
    <w:rsid w:val="006C7EC9"/>
    <w:rsid w:val="006D06EF"/>
    <w:rsid w:val="006D0978"/>
    <w:rsid w:val="006D2448"/>
    <w:rsid w:val="006D3265"/>
    <w:rsid w:val="006D38B1"/>
    <w:rsid w:val="006D48E8"/>
    <w:rsid w:val="006D4D76"/>
    <w:rsid w:val="006D5C72"/>
    <w:rsid w:val="006D62F4"/>
    <w:rsid w:val="006D699B"/>
    <w:rsid w:val="006D6DD8"/>
    <w:rsid w:val="006D6F16"/>
    <w:rsid w:val="006D71D1"/>
    <w:rsid w:val="006D771F"/>
    <w:rsid w:val="006D7944"/>
    <w:rsid w:val="006D7D1E"/>
    <w:rsid w:val="006E0210"/>
    <w:rsid w:val="006E04CC"/>
    <w:rsid w:val="006E069A"/>
    <w:rsid w:val="006E09C7"/>
    <w:rsid w:val="006E0CBF"/>
    <w:rsid w:val="006E0D5B"/>
    <w:rsid w:val="006E18EF"/>
    <w:rsid w:val="006E1D87"/>
    <w:rsid w:val="006E1EDF"/>
    <w:rsid w:val="006E2899"/>
    <w:rsid w:val="006E2A9F"/>
    <w:rsid w:val="006E3306"/>
    <w:rsid w:val="006E3451"/>
    <w:rsid w:val="006E40CF"/>
    <w:rsid w:val="006E4122"/>
    <w:rsid w:val="006E45A2"/>
    <w:rsid w:val="006E488E"/>
    <w:rsid w:val="006E493A"/>
    <w:rsid w:val="006E4B15"/>
    <w:rsid w:val="006E56DC"/>
    <w:rsid w:val="006E639F"/>
    <w:rsid w:val="006E7084"/>
    <w:rsid w:val="006E7220"/>
    <w:rsid w:val="006E737C"/>
    <w:rsid w:val="006E741E"/>
    <w:rsid w:val="006E7810"/>
    <w:rsid w:val="006E783A"/>
    <w:rsid w:val="006E7B80"/>
    <w:rsid w:val="006E7DC4"/>
    <w:rsid w:val="006E7DD6"/>
    <w:rsid w:val="006F0A5E"/>
    <w:rsid w:val="006F0A77"/>
    <w:rsid w:val="006F1280"/>
    <w:rsid w:val="006F1A51"/>
    <w:rsid w:val="006F1B74"/>
    <w:rsid w:val="006F1D02"/>
    <w:rsid w:val="006F2300"/>
    <w:rsid w:val="006F27B0"/>
    <w:rsid w:val="006F2D3E"/>
    <w:rsid w:val="006F34A0"/>
    <w:rsid w:val="006F3966"/>
    <w:rsid w:val="006F3A3F"/>
    <w:rsid w:val="006F416E"/>
    <w:rsid w:val="006F451D"/>
    <w:rsid w:val="006F45BA"/>
    <w:rsid w:val="006F5B06"/>
    <w:rsid w:val="006F653E"/>
    <w:rsid w:val="006F6C5A"/>
    <w:rsid w:val="006F6E1A"/>
    <w:rsid w:val="006F6E49"/>
    <w:rsid w:val="006F712D"/>
    <w:rsid w:val="006F77DC"/>
    <w:rsid w:val="006F7929"/>
    <w:rsid w:val="006F7FE9"/>
    <w:rsid w:val="006F7FF4"/>
    <w:rsid w:val="0070006F"/>
    <w:rsid w:val="0070015D"/>
    <w:rsid w:val="007004C4"/>
    <w:rsid w:val="007005BD"/>
    <w:rsid w:val="00700660"/>
    <w:rsid w:val="007008C5"/>
    <w:rsid w:val="00700B5F"/>
    <w:rsid w:val="007010CB"/>
    <w:rsid w:val="00701E47"/>
    <w:rsid w:val="007021AD"/>
    <w:rsid w:val="007031C1"/>
    <w:rsid w:val="007038EA"/>
    <w:rsid w:val="00703925"/>
    <w:rsid w:val="00703BD7"/>
    <w:rsid w:val="0070400B"/>
    <w:rsid w:val="007042B4"/>
    <w:rsid w:val="007043A5"/>
    <w:rsid w:val="007043B0"/>
    <w:rsid w:val="00704A44"/>
    <w:rsid w:val="00704C46"/>
    <w:rsid w:val="00705918"/>
    <w:rsid w:val="00705C71"/>
    <w:rsid w:val="007069DB"/>
    <w:rsid w:val="00706B95"/>
    <w:rsid w:val="00706FD6"/>
    <w:rsid w:val="0070746D"/>
    <w:rsid w:val="00707B23"/>
    <w:rsid w:val="007109FE"/>
    <w:rsid w:val="00710B36"/>
    <w:rsid w:val="00710EBF"/>
    <w:rsid w:val="0071214B"/>
    <w:rsid w:val="00712F72"/>
    <w:rsid w:val="0071585D"/>
    <w:rsid w:val="00715CE1"/>
    <w:rsid w:val="00715CE6"/>
    <w:rsid w:val="00715FDB"/>
    <w:rsid w:val="007160EE"/>
    <w:rsid w:val="00716C1C"/>
    <w:rsid w:val="00717649"/>
    <w:rsid w:val="007177BC"/>
    <w:rsid w:val="00717923"/>
    <w:rsid w:val="00717B02"/>
    <w:rsid w:val="00717B5D"/>
    <w:rsid w:val="00720276"/>
    <w:rsid w:val="00720E93"/>
    <w:rsid w:val="00721161"/>
    <w:rsid w:val="0072164B"/>
    <w:rsid w:val="00721686"/>
    <w:rsid w:val="0072193A"/>
    <w:rsid w:val="00721A37"/>
    <w:rsid w:val="00721C48"/>
    <w:rsid w:val="00724F49"/>
    <w:rsid w:val="00725213"/>
    <w:rsid w:val="0072525C"/>
    <w:rsid w:val="007252BB"/>
    <w:rsid w:val="007252CA"/>
    <w:rsid w:val="00725A84"/>
    <w:rsid w:val="00725E34"/>
    <w:rsid w:val="00726DFD"/>
    <w:rsid w:val="0072747D"/>
    <w:rsid w:val="0072751B"/>
    <w:rsid w:val="00727A13"/>
    <w:rsid w:val="00727EEF"/>
    <w:rsid w:val="00730125"/>
    <w:rsid w:val="007302DF"/>
    <w:rsid w:val="007308B0"/>
    <w:rsid w:val="00730A73"/>
    <w:rsid w:val="00730C97"/>
    <w:rsid w:val="00730FC8"/>
    <w:rsid w:val="0073125F"/>
    <w:rsid w:val="00731856"/>
    <w:rsid w:val="00731BFC"/>
    <w:rsid w:val="00731D49"/>
    <w:rsid w:val="00731F80"/>
    <w:rsid w:val="007323B1"/>
    <w:rsid w:val="00733A40"/>
    <w:rsid w:val="00733BE7"/>
    <w:rsid w:val="007344DC"/>
    <w:rsid w:val="007346B5"/>
    <w:rsid w:val="007348EC"/>
    <w:rsid w:val="00735578"/>
    <w:rsid w:val="00735B79"/>
    <w:rsid w:val="00736BE2"/>
    <w:rsid w:val="00736C73"/>
    <w:rsid w:val="00736F90"/>
    <w:rsid w:val="007370C5"/>
    <w:rsid w:val="0073714A"/>
    <w:rsid w:val="00737182"/>
    <w:rsid w:val="0073749D"/>
    <w:rsid w:val="00737B27"/>
    <w:rsid w:val="007405C6"/>
    <w:rsid w:val="0074112E"/>
    <w:rsid w:val="00741295"/>
    <w:rsid w:val="00741721"/>
    <w:rsid w:val="00741841"/>
    <w:rsid w:val="007418C5"/>
    <w:rsid w:val="00741964"/>
    <w:rsid w:val="00741DC2"/>
    <w:rsid w:val="00742066"/>
    <w:rsid w:val="00743F92"/>
    <w:rsid w:val="00744674"/>
    <w:rsid w:val="0074533A"/>
    <w:rsid w:val="007454EC"/>
    <w:rsid w:val="0074602C"/>
    <w:rsid w:val="00746FF6"/>
    <w:rsid w:val="00747DC9"/>
    <w:rsid w:val="00750C05"/>
    <w:rsid w:val="00750D23"/>
    <w:rsid w:val="00750FF2"/>
    <w:rsid w:val="0075127C"/>
    <w:rsid w:val="00751AB9"/>
    <w:rsid w:val="00752A1D"/>
    <w:rsid w:val="00752D17"/>
    <w:rsid w:val="007531C8"/>
    <w:rsid w:val="00753FE3"/>
    <w:rsid w:val="007542A4"/>
    <w:rsid w:val="0075560E"/>
    <w:rsid w:val="007568E9"/>
    <w:rsid w:val="0075751C"/>
    <w:rsid w:val="007604BE"/>
    <w:rsid w:val="00761345"/>
    <w:rsid w:val="007613C9"/>
    <w:rsid w:val="0076276E"/>
    <w:rsid w:val="00762B49"/>
    <w:rsid w:val="007637CF"/>
    <w:rsid w:val="00763B05"/>
    <w:rsid w:val="00764722"/>
    <w:rsid w:val="007647B2"/>
    <w:rsid w:val="0076592B"/>
    <w:rsid w:val="007659DA"/>
    <w:rsid w:val="00765FE4"/>
    <w:rsid w:val="00766588"/>
    <w:rsid w:val="00766831"/>
    <w:rsid w:val="0076683D"/>
    <w:rsid w:val="007668B4"/>
    <w:rsid w:val="00766DF6"/>
    <w:rsid w:val="007671EF"/>
    <w:rsid w:val="00767AD0"/>
    <w:rsid w:val="007700F2"/>
    <w:rsid w:val="007702C2"/>
    <w:rsid w:val="007708F6"/>
    <w:rsid w:val="00770D09"/>
    <w:rsid w:val="00771B0B"/>
    <w:rsid w:val="007721E2"/>
    <w:rsid w:val="007725FA"/>
    <w:rsid w:val="00772624"/>
    <w:rsid w:val="007727C6"/>
    <w:rsid w:val="00772B91"/>
    <w:rsid w:val="00772BB5"/>
    <w:rsid w:val="0077314F"/>
    <w:rsid w:val="007738C1"/>
    <w:rsid w:val="00773B9C"/>
    <w:rsid w:val="0077485B"/>
    <w:rsid w:val="00775591"/>
    <w:rsid w:val="00775752"/>
    <w:rsid w:val="00775799"/>
    <w:rsid w:val="0077593A"/>
    <w:rsid w:val="00775CA3"/>
    <w:rsid w:val="00776D6D"/>
    <w:rsid w:val="00777975"/>
    <w:rsid w:val="007802CB"/>
    <w:rsid w:val="007802EC"/>
    <w:rsid w:val="00780EBE"/>
    <w:rsid w:val="00780F88"/>
    <w:rsid w:val="00781600"/>
    <w:rsid w:val="0078164E"/>
    <w:rsid w:val="00782735"/>
    <w:rsid w:val="00782800"/>
    <w:rsid w:val="007837D5"/>
    <w:rsid w:val="00784240"/>
    <w:rsid w:val="00784AA1"/>
    <w:rsid w:val="00784B1A"/>
    <w:rsid w:val="00784D1C"/>
    <w:rsid w:val="00786E98"/>
    <w:rsid w:val="00787C03"/>
    <w:rsid w:val="00787E2F"/>
    <w:rsid w:val="00790A61"/>
    <w:rsid w:val="0079125F"/>
    <w:rsid w:val="00791789"/>
    <w:rsid w:val="0079249B"/>
    <w:rsid w:val="00792B50"/>
    <w:rsid w:val="00792E60"/>
    <w:rsid w:val="00793A5E"/>
    <w:rsid w:val="00794D7B"/>
    <w:rsid w:val="007951C7"/>
    <w:rsid w:val="007954AB"/>
    <w:rsid w:val="00795B4E"/>
    <w:rsid w:val="00796AC1"/>
    <w:rsid w:val="0079781E"/>
    <w:rsid w:val="007A0451"/>
    <w:rsid w:val="007A143A"/>
    <w:rsid w:val="007A29AF"/>
    <w:rsid w:val="007A315D"/>
    <w:rsid w:val="007A3D70"/>
    <w:rsid w:val="007A3FA4"/>
    <w:rsid w:val="007A423F"/>
    <w:rsid w:val="007A4505"/>
    <w:rsid w:val="007A4691"/>
    <w:rsid w:val="007A517C"/>
    <w:rsid w:val="007A578A"/>
    <w:rsid w:val="007A5ADA"/>
    <w:rsid w:val="007A5BA0"/>
    <w:rsid w:val="007A5CA6"/>
    <w:rsid w:val="007A602B"/>
    <w:rsid w:val="007A689A"/>
    <w:rsid w:val="007A71F4"/>
    <w:rsid w:val="007A736F"/>
    <w:rsid w:val="007A7B83"/>
    <w:rsid w:val="007A7F06"/>
    <w:rsid w:val="007B0350"/>
    <w:rsid w:val="007B04ED"/>
    <w:rsid w:val="007B117E"/>
    <w:rsid w:val="007B122C"/>
    <w:rsid w:val="007B178F"/>
    <w:rsid w:val="007B24AB"/>
    <w:rsid w:val="007B3B72"/>
    <w:rsid w:val="007B3EF0"/>
    <w:rsid w:val="007B4C95"/>
    <w:rsid w:val="007B5205"/>
    <w:rsid w:val="007B52EF"/>
    <w:rsid w:val="007B6656"/>
    <w:rsid w:val="007B6B6C"/>
    <w:rsid w:val="007B6B81"/>
    <w:rsid w:val="007B6CA1"/>
    <w:rsid w:val="007B6E1D"/>
    <w:rsid w:val="007B6E49"/>
    <w:rsid w:val="007B6E61"/>
    <w:rsid w:val="007B73B1"/>
    <w:rsid w:val="007B7D23"/>
    <w:rsid w:val="007C07CA"/>
    <w:rsid w:val="007C0D12"/>
    <w:rsid w:val="007C0F1E"/>
    <w:rsid w:val="007C0FDD"/>
    <w:rsid w:val="007C2AB0"/>
    <w:rsid w:val="007C3D8C"/>
    <w:rsid w:val="007C4047"/>
    <w:rsid w:val="007C40C7"/>
    <w:rsid w:val="007C47C1"/>
    <w:rsid w:val="007C4A08"/>
    <w:rsid w:val="007C4D5A"/>
    <w:rsid w:val="007C535F"/>
    <w:rsid w:val="007C55D9"/>
    <w:rsid w:val="007C58B4"/>
    <w:rsid w:val="007C664F"/>
    <w:rsid w:val="007C67A3"/>
    <w:rsid w:val="007C67D4"/>
    <w:rsid w:val="007C6B97"/>
    <w:rsid w:val="007C7189"/>
    <w:rsid w:val="007C73D9"/>
    <w:rsid w:val="007C74AD"/>
    <w:rsid w:val="007C765A"/>
    <w:rsid w:val="007D003B"/>
    <w:rsid w:val="007D1BBA"/>
    <w:rsid w:val="007D1C52"/>
    <w:rsid w:val="007D1ED4"/>
    <w:rsid w:val="007D2610"/>
    <w:rsid w:val="007D2BDC"/>
    <w:rsid w:val="007D2E17"/>
    <w:rsid w:val="007D2FAE"/>
    <w:rsid w:val="007D36B1"/>
    <w:rsid w:val="007D3A9A"/>
    <w:rsid w:val="007D41DB"/>
    <w:rsid w:val="007D4717"/>
    <w:rsid w:val="007D4C97"/>
    <w:rsid w:val="007D7AB6"/>
    <w:rsid w:val="007D7EF8"/>
    <w:rsid w:val="007E02AF"/>
    <w:rsid w:val="007E0C68"/>
    <w:rsid w:val="007E0E2C"/>
    <w:rsid w:val="007E0F6C"/>
    <w:rsid w:val="007E1FA0"/>
    <w:rsid w:val="007E2949"/>
    <w:rsid w:val="007E2CE5"/>
    <w:rsid w:val="007E2EB3"/>
    <w:rsid w:val="007E2EDC"/>
    <w:rsid w:val="007E3BFE"/>
    <w:rsid w:val="007E4188"/>
    <w:rsid w:val="007E4715"/>
    <w:rsid w:val="007E492B"/>
    <w:rsid w:val="007E50CE"/>
    <w:rsid w:val="007E52BF"/>
    <w:rsid w:val="007E5F75"/>
    <w:rsid w:val="007E6359"/>
    <w:rsid w:val="007E642F"/>
    <w:rsid w:val="007E665B"/>
    <w:rsid w:val="007E690A"/>
    <w:rsid w:val="007E74BE"/>
    <w:rsid w:val="007E7EBE"/>
    <w:rsid w:val="007F0087"/>
    <w:rsid w:val="007F0FA2"/>
    <w:rsid w:val="007F1097"/>
    <w:rsid w:val="007F1632"/>
    <w:rsid w:val="007F1F6B"/>
    <w:rsid w:val="007F22D2"/>
    <w:rsid w:val="007F243E"/>
    <w:rsid w:val="007F305D"/>
    <w:rsid w:val="007F349F"/>
    <w:rsid w:val="007F3CE9"/>
    <w:rsid w:val="007F41B8"/>
    <w:rsid w:val="007F590E"/>
    <w:rsid w:val="007F5B56"/>
    <w:rsid w:val="007F5FE6"/>
    <w:rsid w:val="007F6060"/>
    <w:rsid w:val="007F6147"/>
    <w:rsid w:val="007F6850"/>
    <w:rsid w:val="007F6D1B"/>
    <w:rsid w:val="007F7059"/>
    <w:rsid w:val="007F784F"/>
    <w:rsid w:val="007F7A9C"/>
    <w:rsid w:val="007F7B05"/>
    <w:rsid w:val="00800C22"/>
    <w:rsid w:val="00800CDE"/>
    <w:rsid w:val="00800F70"/>
    <w:rsid w:val="008018EB"/>
    <w:rsid w:val="0080196C"/>
    <w:rsid w:val="00802441"/>
    <w:rsid w:val="00802D05"/>
    <w:rsid w:val="00802D55"/>
    <w:rsid w:val="00802E13"/>
    <w:rsid w:val="0080303C"/>
    <w:rsid w:val="008041FB"/>
    <w:rsid w:val="00804B41"/>
    <w:rsid w:val="00805518"/>
    <w:rsid w:val="00805681"/>
    <w:rsid w:val="008056D5"/>
    <w:rsid w:val="00805718"/>
    <w:rsid w:val="008061A4"/>
    <w:rsid w:val="008068CA"/>
    <w:rsid w:val="00806C82"/>
    <w:rsid w:val="00806EEC"/>
    <w:rsid w:val="00807AB2"/>
    <w:rsid w:val="00807B11"/>
    <w:rsid w:val="00810200"/>
    <w:rsid w:val="00810661"/>
    <w:rsid w:val="00810AC9"/>
    <w:rsid w:val="00810C97"/>
    <w:rsid w:val="008111B9"/>
    <w:rsid w:val="008112BA"/>
    <w:rsid w:val="00811760"/>
    <w:rsid w:val="008117C2"/>
    <w:rsid w:val="008117D7"/>
    <w:rsid w:val="008118EB"/>
    <w:rsid w:val="00811A0B"/>
    <w:rsid w:val="00812726"/>
    <w:rsid w:val="00813315"/>
    <w:rsid w:val="008135C4"/>
    <w:rsid w:val="00815D70"/>
    <w:rsid w:val="0081642E"/>
    <w:rsid w:val="008164B2"/>
    <w:rsid w:val="00817168"/>
    <w:rsid w:val="00817F67"/>
    <w:rsid w:val="0082022C"/>
    <w:rsid w:val="00820A5E"/>
    <w:rsid w:val="00821423"/>
    <w:rsid w:val="00821835"/>
    <w:rsid w:val="008229B8"/>
    <w:rsid w:val="00822DC2"/>
    <w:rsid w:val="008230EA"/>
    <w:rsid w:val="008233F8"/>
    <w:rsid w:val="00823BCB"/>
    <w:rsid w:val="00823F69"/>
    <w:rsid w:val="00824625"/>
    <w:rsid w:val="00824CC7"/>
    <w:rsid w:val="00825226"/>
    <w:rsid w:val="00825EA9"/>
    <w:rsid w:val="0082764F"/>
    <w:rsid w:val="00830449"/>
    <w:rsid w:val="0083067A"/>
    <w:rsid w:val="00830EBA"/>
    <w:rsid w:val="00830FA5"/>
    <w:rsid w:val="00831025"/>
    <w:rsid w:val="0083115C"/>
    <w:rsid w:val="00831C5D"/>
    <w:rsid w:val="00831D0C"/>
    <w:rsid w:val="00831D9F"/>
    <w:rsid w:val="0083203A"/>
    <w:rsid w:val="008323B5"/>
    <w:rsid w:val="00832867"/>
    <w:rsid w:val="0083286D"/>
    <w:rsid w:val="00832DCF"/>
    <w:rsid w:val="00832E97"/>
    <w:rsid w:val="0083367B"/>
    <w:rsid w:val="00833BD3"/>
    <w:rsid w:val="00833D3F"/>
    <w:rsid w:val="00834493"/>
    <w:rsid w:val="0083494D"/>
    <w:rsid w:val="00834F56"/>
    <w:rsid w:val="0083543A"/>
    <w:rsid w:val="00836956"/>
    <w:rsid w:val="00837211"/>
    <w:rsid w:val="008377EE"/>
    <w:rsid w:val="0083785E"/>
    <w:rsid w:val="0083791D"/>
    <w:rsid w:val="00837D01"/>
    <w:rsid w:val="00840083"/>
    <w:rsid w:val="00841127"/>
    <w:rsid w:val="00841324"/>
    <w:rsid w:val="00841D71"/>
    <w:rsid w:val="0084226E"/>
    <w:rsid w:val="00842404"/>
    <w:rsid w:val="0084250E"/>
    <w:rsid w:val="008428EE"/>
    <w:rsid w:val="00842CC3"/>
    <w:rsid w:val="00843253"/>
    <w:rsid w:val="008433AB"/>
    <w:rsid w:val="00843AC6"/>
    <w:rsid w:val="00843D7D"/>
    <w:rsid w:val="00844191"/>
    <w:rsid w:val="00845423"/>
    <w:rsid w:val="008454AF"/>
    <w:rsid w:val="008455EF"/>
    <w:rsid w:val="00845803"/>
    <w:rsid w:val="008459CD"/>
    <w:rsid w:val="00845B56"/>
    <w:rsid w:val="00845C11"/>
    <w:rsid w:val="00845E8B"/>
    <w:rsid w:val="00845EB7"/>
    <w:rsid w:val="008461C1"/>
    <w:rsid w:val="00846206"/>
    <w:rsid w:val="0084628E"/>
    <w:rsid w:val="00846ECA"/>
    <w:rsid w:val="00846EFB"/>
    <w:rsid w:val="0084729A"/>
    <w:rsid w:val="0084759F"/>
    <w:rsid w:val="00847C23"/>
    <w:rsid w:val="00850034"/>
    <w:rsid w:val="0085076C"/>
    <w:rsid w:val="00850D80"/>
    <w:rsid w:val="008512D0"/>
    <w:rsid w:val="008515CD"/>
    <w:rsid w:val="00852C21"/>
    <w:rsid w:val="008539C5"/>
    <w:rsid w:val="00853A2A"/>
    <w:rsid w:val="00853CF8"/>
    <w:rsid w:val="00853F1D"/>
    <w:rsid w:val="008550DF"/>
    <w:rsid w:val="00855201"/>
    <w:rsid w:val="0085523A"/>
    <w:rsid w:val="00855349"/>
    <w:rsid w:val="00855567"/>
    <w:rsid w:val="00856529"/>
    <w:rsid w:val="00856953"/>
    <w:rsid w:val="00856C42"/>
    <w:rsid w:val="008574A5"/>
    <w:rsid w:val="00857628"/>
    <w:rsid w:val="00857772"/>
    <w:rsid w:val="0086044F"/>
    <w:rsid w:val="00860969"/>
    <w:rsid w:val="00860CE9"/>
    <w:rsid w:val="00861B6A"/>
    <w:rsid w:val="00862089"/>
    <w:rsid w:val="00862794"/>
    <w:rsid w:val="008628B9"/>
    <w:rsid w:val="00862FE2"/>
    <w:rsid w:val="008637A0"/>
    <w:rsid w:val="00863A83"/>
    <w:rsid w:val="0086446B"/>
    <w:rsid w:val="008646E1"/>
    <w:rsid w:val="00864C79"/>
    <w:rsid w:val="00864C87"/>
    <w:rsid w:val="00865539"/>
    <w:rsid w:val="0086562F"/>
    <w:rsid w:val="008657C2"/>
    <w:rsid w:val="00867387"/>
    <w:rsid w:val="00867904"/>
    <w:rsid w:val="00867926"/>
    <w:rsid w:val="008679B9"/>
    <w:rsid w:val="00870713"/>
    <w:rsid w:val="00871694"/>
    <w:rsid w:val="00871AD6"/>
    <w:rsid w:val="00871DD9"/>
    <w:rsid w:val="00871FA6"/>
    <w:rsid w:val="00872127"/>
    <w:rsid w:val="00872318"/>
    <w:rsid w:val="0087231C"/>
    <w:rsid w:val="00872461"/>
    <w:rsid w:val="0087253D"/>
    <w:rsid w:val="00872D54"/>
    <w:rsid w:val="00872DBF"/>
    <w:rsid w:val="0087399B"/>
    <w:rsid w:val="00873AD2"/>
    <w:rsid w:val="008742FF"/>
    <w:rsid w:val="00874555"/>
    <w:rsid w:val="008753FD"/>
    <w:rsid w:val="008759B4"/>
    <w:rsid w:val="00875CAC"/>
    <w:rsid w:val="00876AD2"/>
    <w:rsid w:val="00877866"/>
    <w:rsid w:val="0087789C"/>
    <w:rsid w:val="00877B86"/>
    <w:rsid w:val="00877C6A"/>
    <w:rsid w:val="00880CC8"/>
    <w:rsid w:val="00880E6A"/>
    <w:rsid w:val="00880E88"/>
    <w:rsid w:val="00881078"/>
    <w:rsid w:val="00881DE1"/>
    <w:rsid w:val="00881F81"/>
    <w:rsid w:val="008824AE"/>
    <w:rsid w:val="0088259C"/>
    <w:rsid w:val="00882A26"/>
    <w:rsid w:val="008834EC"/>
    <w:rsid w:val="0088373F"/>
    <w:rsid w:val="008844E8"/>
    <w:rsid w:val="00884C0E"/>
    <w:rsid w:val="00884E39"/>
    <w:rsid w:val="008876D6"/>
    <w:rsid w:val="008877C5"/>
    <w:rsid w:val="00890170"/>
    <w:rsid w:val="0089084B"/>
    <w:rsid w:val="008909F7"/>
    <w:rsid w:val="00890A39"/>
    <w:rsid w:val="00890B05"/>
    <w:rsid w:val="0089210A"/>
    <w:rsid w:val="0089248A"/>
    <w:rsid w:val="00893F4C"/>
    <w:rsid w:val="0089430D"/>
    <w:rsid w:val="00894366"/>
    <w:rsid w:val="0089516B"/>
    <w:rsid w:val="0089564D"/>
    <w:rsid w:val="00895BD7"/>
    <w:rsid w:val="00895D79"/>
    <w:rsid w:val="00895FC9"/>
    <w:rsid w:val="00896850"/>
    <w:rsid w:val="00896B59"/>
    <w:rsid w:val="00896B64"/>
    <w:rsid w:val="00897364"/>
    <w:rsid w:val="008A0B20"/>
    <w:rsid w:val="008A0C54"/>
    <w:rsid w:val="008A100A"/>
    <w:rsid w:val="008A1227"/>
    <w:rsid w:val="008A2C23"/>
    <w:rsid w:val="008A2FC0"/>
    <w:rsid w:val="008A36CD"/>
    <w:rsid w:val="008A3A2C"/>
    <w:rsid w:val="008A3B51"/>
    <w:rsid w:val="008A3CE0"/>
    <w:rsid w:val="008A4E19"/>
    <w:rsid w:val="008A6248"/>
    <w:rsid w:val="008A624B"/>
    <w:rsid w:val="008A6622"/>
    <w:rsid w:val="008A6C2F"/>
    <w:rsid w:val="008A7482"/>
    <w:rsid w:val="008A7BB7"/>
    <w:rsid w:val="008A7BDD"/>
    <w:rsid w:val="008B05A1"/>
    <w:rsid w:val="008B0601"/>
    <w:rsid w:val="008B073E"/>
    <w:rsid w:val="008B0E20"/>
    <w:rsid w:val="008B12D5"/>
    <w:rsid w:val="008B1571"/>
    <w:rsid w:val="008B15D8"/>
    <w:rsid w:val="008B21B5"/>
    <w:rsid w:val="008B2348"/>
    <w:rsid w:val="008B25AB"/>
    <w:rsid w:val="008B3918"/>
    <w:rsid w:val="008B420D"/>
    <w:rsid w:val="008B5BCE"/>
    <w:rsid w:val="008B63BB"/>
    <w:rsid w:val="008B6678"/>
    <w:rsid w:val="008B6C90"/>
    <w:rsid w:val="008B6E0F"/>
    <w:rsid w:val="008B76C3"/>
    <w:rsid w:val="008B7AE6"/>
    <w:rsid w:val="008C021D"/>
    <w:rsid w:val="008C05CF"/>
    <w:rsid w:val="008C06AE"/>
    <w:rsid w:val="008C0B07"/>
    <w:rsid w:val="008C0B15"/>
    <w:rsid w:val="008C0E1C"/>
    <w:rsid w:val="008C0F1C"/>
    <w:rsid w:val="008C103F"/>
    <w:rsid w:val="008C1555"/>
    <w:rsid w:val="008C16DB"/>
    <w:rsid w:val="008C1A38"/>
    <w:rsid w:val="008C1E6E"/>
    <w:rsid w:val="008C1ED4"/>
    <w:rsid w:val="008C25AE"/>
    <w:rsid w:val="008C2A43"/>
    <w:rsid w:val="008C30B4"/>
    <w:rsid w:val="008C31F8"/>
    <w:rsid w:val="008C3736"/>
    <w:rsid w:val="008C3778"/>
    <w:rsid w:val="008C3C3D"/>
    <w:rsid w:val="008C4262"/>
    <w:rsid w:val="008C472B"/>
    <w:rsid w:val="008C4B45"/>
    <w:rsid w:val="008C57EE"/>
    <w:rsid w:val="008C5E67"/>
    <w:rsid w:val="008C5F48"/>
    <w:rsid w:val="008C6062"/>
    <w:rsid w:val="008C6FC1"/>
    <w:rsid w:val="008D09DB"/>
    <w:rsid w:val="008D103B"/>
    <w:rsid w:val="008D10EC"/>
    <w:rsid w:val="008D1219"/>
    <w:rsid w:val="008D1BE4"/>
    <w:rsid w:val="008D22E3"/>
    <w:rsid w:val="008D3922"/>
    <w:rsid w:val="008D3C57"/>
    <w:rsid w:val="008D3E3F"/>
    <w:rsid w:val="008D3FD2"/>
    <w:rsid w:val="008D43A8"/>
    <w:rsid w:val="008D5975"/>
    <w:rsid w:val="008D5DD1"/>
    <w:rsid w:val="008D5EB6"/>
    <w:rsid w:val="008D65B9"/>
    <w:rsid w:val="008D6C58"/>
    <w:rsid w:val="008D6D9C"/>
    <w:rsid w:val="008D72CE"/>
    <w:rsid w:val="008D750D"/>
    <w:rsid w:val="008D7758"/>
    <w:rsid w:val="008D7EA1"/>
    <w:rsid w:val="008E0C6C"/>
    <w:rsid w:val="008E0CEC"/>
    <w:rsid w:val="008E1691"/>
    <w:rsid w:val="008E1ABC"/>
    <w:rsid w:val="008E222D"/>
    <w:rsid w:val="008E2347"/>
    <w:rsid w:val="008E29DB"/>
    <w:rsid w:val="008E2D38"/>
    <w:rsid w:val="008E2E3B"/>
    <w:rsid w:val="008E333B"/>
    <w:rsid w:val="008E3A95"/>
    <w:rsid w:val="008E3B2E"/>
    <w:rsid w:val="008E3DC4"/>
    <w:rsid w:val="008E4232"/>
    <w:rsid w:val="008E484C"/>
    <w:rsid w:val="008E4C16"/>
    <w:rsid w:val="008E51E6"/>
    <w:rsid w:val="008E5777"/>
    <w:rsid w:val="008E5B00"/>
    <w:rsid w:val="008E6C8B"/>
    <w:rsid w:val="008E6D02"/>
    <w:rsid w:val="008E6D35"/>
    <w:rsid w:val="008F0090"/>
    <w:rsid w:val="008F0254"/>
    <w:rsid w:val="008F0282"/>
    <w:rsid w:val="008F0A3D"/>
    <w:rsid w:val="008F123C"/>
    <w:rsid w:val="008F13B4"/>
    <w:rsid w:val="008F1FA6"/>
    <w:rsid w:val="008F20B9"/>
    <w:rsid w:val="008F292E"/>
    <w:rsid w:val="008F2ECA"/>
    <w:rsid w:val="008F4BA1"/>
    <w:rsid w:val="008F551B"/>
    <w:rsid w:val="008F5C2D"/>
    <w:rsid w:val="008F5DB9"/>
    <w:rsid w:val="008F5DE7"/>
    <w:rsid w:val="008F60AE"/>
    <w:rsid w:val="008F6301"/>
    <w:rsid w:val="008F745F"/>
    <w:rsid w:val="008F756C"/>
    <w:rsid w:val="008F780C"/>
    <w:rsid w:val="0090047D"/>
    <w:rsid w:val="00900B63"/>
    <w:rsid w:val="00900FB2"/>
    <w:rsid w:val="0090161F"/>
    <w:rsid w:val="0090219E"/>
    <w:rsid w:val="009023A7"/>
    <w:rsid w:val="00903F61"/>
    <w:rsid w:val="00904307"/>
    <w:rsid w:val="009050D1"/>
    <w:rsid w:val="009055EF"/>
    <w:rsid w:val="00905794"/>
    <w:rsid w:val="00905A14"/>
    <w:rsid w:val="00905AC1"/>
    <w:rsid w:val="00906BAD"/>
    <w:rsid w:val="00907A49"/>
    <w:rsid w:val="00907A93"/>
    <w:rsid w:val="00907B23"/>
    <w:rsid w:val="00907B6A"/>
    <w:rsid w:val="00907B89"/>
    <w:rsid w:val="009105A2"/>
    <w:rsid w:val="00910AE3"/>
    <w:rsid w:val="00910B01"/>
    <w:rsid w:val="00910B5F"/>
    <w:rsid w:val="0091173F"/>
    <w:rsid w:val="00911A0C"/>
    <w:rsid w:val="00912505"/>
    <w:rsid w:val="0091251E"/>
    <w:rsid w:val="00912892"/>
    <w:rsid w:val="00912C67"/>
    <w:rsid w:val="00913B6F"/>
    <w:rsid w:val="0091478D"/>
    <w:rsid w:val="009156CE"/>
    <w:rsid w:val="0091571F"/>
    <w:rsid w:val="00915C0D"/>
    <w:rsid w:val="009167F5"/>
    <w:rsid w:val="009172A4"/>
    <w:rsid w:val="00917C0A"/>
    <w:rsid w:val="00917C8A"/>
    <w:rsid w:val="0092027C"/>
    <w:rsid w:val="00920BA5"/>
    <w:rsid w:val="00920D57"/>
    <w:rsid w:val="009210B2"/>
    <w:rsid w:val="009210FD"/>
    <w:rsid w:val="00921978"/>
    <w:rsid w:val="009227FE"/>
    <w:rsid w:val="009228F9"/>
    <w:rsid w:val="00922AFB"/>
    <w:rsid w:val="009235EA"/>
    <w:rsid w:val="00924167"/>
    <w:rsid w:val="00925DFB"/>
    <w:rsid w:val="00926115"/>
    <w:rsid w:val="00926C09"/>
    <w:rsid w:val="00927706"/>
    <w:rsid w:val="009301DD"/>
    <w:rsid w:val="0093088F"/>
    <w:rsid w:val="00930DE3"/>
    <w:rsid w:val="00931762"/>
    <w:rsid w:val="00931D44"/>
    <w:rsid w:val="009337E0"/>
    <w:rsid w:val="00933BF3"/>
    <w:rsid w:val="009340DE"/>
    <w:rsid w:val="009345DE"/>
    <w:rsid w:val="00934662"/>
    <w:rsid w:val="0093483E"/>
    <w:rsid w:val="009349E8"/>
    <w:rsid w:val="009350D2"/>
    <w:rsid w:val="009351F7"/>
    <w:rsid w:val="009354F2"/>
    <w:rsid w:val="00935609"/>
    <w:rsid w:val="00935B60"/>
    <w:rsid w:val="00935D07"/>
    <w:rsid w:val="0093606F"/>
    <w:rsid w:val="00936C92"/>
    <w:rsid w:val="00936DCE"/>
    <w:rsid w:val="00937DBB"/>
    <w:rsid w:val="00940150"/>
    <w:rsid w:val="0094030B"/>
    <w:rsid w:val="0094031E"/>
    <w:rsid w:val="00940649"/>
    <w:rsid w:val="00940A55"/>
    <w:rsid w:val="00940F12"/>
    <w:rsid w:val="009410CE"/>
    <w:rsid w:val="00941271"/>
    <w:rsid w:val="00941928"/>
    <w:rsid w:val="00941F07"/>
    <w:rsid w:val="0094229C"/>
    <w:rsid w:val="0094360A"/>
    <w:rsid w:val="0094361D"/>
    <w:rsid w:val="00943A77"/>
    <w:rsid w:val="0094533F"/>
    <w:rsid w:val="00945B8D"/>
    <w:rsid w:val="009501F9"/>
    <w:rsid w:val="009508C2"/>
    <w:rsid w:val="00951343"/>
    <w:rsid w:val="0095165B"/>
    <w:rsid w:val="009516F8"/>
    <w:rsid w:val="009518BC"/>
    <w:rsid w:val="00951B97"/>
    <w:rsid w:val="009523DE"/>
    <w:rsid w:val="00952DD1"/>
    <w:rsid w:val="00953128"/>
    <w:rsid w:val="009535AA"/>
    <w:rsid w:val="00953D0C"/>
    <w:rsid w:val="00953D56"/>
    <w:rsid w:val="009540E0"/>
    <w:rsid w:val="00955161"/>
    <w:rsid w:val="009553DA"/>
    <w:rsid w:val="00955ACE"/>
    <w:rsid w:val="00955D85"/>
    <w:rsid w:val="00955DF1"/>
    <w:rsid w:val="00955F23"/>
    <w:rsid w:val="0095667A"/>
    <w:rsid w:val="00956F50"/>
    <w:rsid w:val="0095757E"/>
    <w:rsid w:val="009575EA"/>
    <w:rsid w:val="0096053A"/>
    <w:rsid w:val="00960619"/>
    <w:rsid w:val="00960CD5"/>
    <w:rsid w:val="00961C70"/>
    <w:rsid w:val="00961D65"/>
    <w:rsid w:val="00962EBD"/>
    <w:rsid w:val="00962FA7"/>
    <w:rsid w:val="00963179"/>
    <w:rsid w:val="0096399A"/>
    <w:rsid w:val="00963A7F"/>
    <w:rsid w:val="00964D68"/>
    <w:rsid w:val="00965990"/>
    <w:rsid w:val="009668FE"/>
    <w:rsid w:val="0097023F"/>
    <w:rsid w:val="009702F9"/>
    <w:rsid w:val="00970FFC"/>
    <w:rsid w:val="0097106B"/>
    <w:rsid w:val="00971250"/>
    <w:rsid w:val="00971A34"/>
    <w:rsid w:val="00971BF8"/>
    <w:rsid w:val="00972A44"/>
    <w:rsid w:val="00972FDD"/>
    <w:rsid w:val="00973937"/>
    <w:rsid w:val="00974693"/>
    <w:rsid w:val="00974A84"/>
    <w:rsid w:val="0097522E"/>
    <w:rsid w:val="009754B9"/>
    <w:rsid w:val="009764B5"/>
    <w:rsid w:val="00977B2B"/>
    <w:rsid w:val="00980B56"/>
    <w:rsid w:val="00980DD4"/>
    <w:rsid w:val="009813C2"/>
    <w:rsid w:val="009817A9"/>
    <w:rsid w:val="0098279D"/>
    <w:rsid w:val="00982871"/>
    <w:rsid w:val="009845D6"/>
    <w:rsid w:val="00984DBD"/>
    <w:rsid w:val="00986851"/>
    <w:rsid w:val="00986858"/>
    <w:rsid w:val="00986E6F"/>
    <w:rsid w:val="009870C0"/>
    <w:rsid w:val="009878EE"/>
    <w:rsid w:val="00990C1B"/>
    <w:rsid w:val="00990D53"/>
    <w:rsid w:val="00990E12"/>
    <w:rsid w:val="00991C08"/>
    <w:rsid w:val="00991C78"/>
    <w:rsid w:val="009930FE"/>
    <w:rsid w:val="00993110"/>
    <w:rsid w:val="009931E8"/>
    <w:rsid w:val="00993A77"/>
    <w:rsid w:val="00993CC3"/>
    <w:rsid w:val="009950C3"/>
    <w:rsid w:val="00995272"/>
    <w:rsid w:val="00995B37"/>
    <w:rsid w:val="009963F8"/>
    <w:rsid w:val="00996421"/>
    <w:rsid w:val="00996471"/>
    <w:rsid w:val="009964FD"/>
    <w:rsid w:val="00997EA4"/>
    <w:rsid w:val="009A00BE"/>
    <w:rsid w:val="009A04B8"/>
    <w:rsid w:val="009A05C2"/>
    <w:rsid w:val="009A0CAA"/>
    <w:rsid w:val="009A1356"/>
    <w:rsid w:val="009A1687"/>
    <w:rsid w:val="009A19A4"/>
    <w:rsid w:val="009A19B0"/>
    <w:rsid w:val="009A1DAA"/>
    <w:rsid w:val="009A2201"/>
    <w:rsid w:val="009A3532"/>
    <w:rsid w:val="009A3698"/>
    <w:rsid w:val="009A3809"/>
    <w:rsid w:val="009A4083"/>
    <w:rsid w:val="009A4A53"/>
    <w:rsid w:val="009A5424"/>
    <w:rsid w:val="009A5815"/>
    <w:rsid w:val="009A5B0E"/>
    <w:rsid w:val="009A63A6"/>
    <w:rsid w:val="009A6B9A"/>
    <w:rsid w:val="009A6CF1"/>
    <w:rsid w:val="009A748B"/>
    <w:rsid w:val="009A7F27"/>
    <w:rsid w:val="009A7F5C"/>
    <w:rsid w:val="009B042F"/>
    <w:rsid w:val="009B0505"/>
    <w:rsid w:val="009B12BC"/>
    <w:rsid w:val="009B158F"/>
    <w:rsid w:val="009B1CB3"/>
    <w:rsid w:val="009B20DE"/>
    <w:rsid w:val="009B2550"/>
    <w:rsid w:val="009B2603"/>
    <w:rsid w:val="009B33D0"/>
    <w:rsid w:val="009B440E"/>
    <w:rsid w:val="009B4675"/>
    <w:rsid w:val="009B525F"/>
    <w:rsid w:val="009B54AF"/>
    <w:rsid w:val="009B606E"/>
    <w:rsid w:val="009B63CF"/>
    <w:rsid w:val="009B6872"/>
    <w:rsid w:val="009B6A92"/>
    <w:rsid w:val="009B6DB5"/>
    <w:rsid w:val="009B6E64"/>
    <w:rsid w:val="009B6EBD"/>
    <w:rsid w:val="009B6F23"/>
    <w:rsid w:val="009B6FCF"/>
    <w:rsid w:val="009C01F3"/>
    <w:rsid w:val="009C06A3"/>
    <w:rsid w:val="009C0A01"/>
    <w:rsid w:val="009C0ABC"/>
    <w:rsid w:val="009C0E58"/>
    <w:rsid w:val="009C11D8"/>
    <w:rsid w:val="009C23E7"/>
    <w:rsid w:val="009C246B"/>
    <w:rsid w:val="009C285E"/>
    <w:rsid w:val="009C2C53"/>
    <w:rsid w:val="009C3732"/>
    <w:rsid w:val="009C4938"/>
    <w:rsid w:val="009C520E"/>
    <w:rsid w:val="009C6535"/>
    <w:rsid w:val="009C69A7"/>
    <w:rsid w:val="009C6E26"/>
    <w:rsid w:val="009C7C58"/>
    <w:rsid w:val="009C7D6A"/>
    <w:rsid w:val="009D0241"/>
    <w:rsid w:val="009D07D7"/>
    <w:rsid w:val="009D14D6"/>
    <w:rsid w:val="009D1C0D"/>
    <w:rsid w:val="009D1F3E"/>
    <w:rsid w:val="009D243B"/>
    <w:rsid w:val="009D30AB"/>
    <w:rsid w:val="009D420B"/>
    <w:rsid w:val="009D4806"/>
    <w:rsid w:val="009D4A5D"/>
    <w:rsid w:val="009D4AC5"/>
    <w:rsid w:val="009D4C2A"/>
    <w:rsid w:val="009D51F4"/>
    <w:rsid w:val="009D52D9"/>
    <w:rsid w:val="009D5354"/>
    <w:rsid w:val="009D56D9"/>
    <w:rsid w:val="009D5DCC"/>
    <w:rsid w:val="009D606E"/>
    <w:rsid w:val="009D70F5"/>
    <w:rsid w:val="009D757D"/>
    <w:rsid w:val="009D7E9D"/>
    <w:rsid w:val="009E011B"/>
    <w:rsid w:val="009E0153"/>
    <w:rsid w:val="009E0424"/>
    <w:rsid w:val="009E1DA5"/>
    <w:rsid w:val="009E24DF"/>
    <w:rsid w:val="009E26C9"/>
    <w:rsid w:val="009E34F5"/>
    <w:rsid w:val="009E3C76"/>
    <w:rsid w:val="009E432F"/>
    <w:rsid w:val="009E4E97"/>
    <w:rsid w:val="009E525F"/>
    <w:rsid w:val="009E5708"/>
    <w:rsid w:val="009E5DEF"/>
    <w:rsid w:val="009E6DC4"/>
    <w:rsid w:val="009E6EE0"/>
    <w:rsid w:val="009E7147"/>
    <w:rsid w:val="009E71A3"/>
    <w:rsid w:val="009E775B"/>
    <w:rsid w:val="009E7794"/>
    <w:rsid w:val="009E7A88"/>
    <w:rsid w:val="009F0F08"/>
    <w:rsid w:val="009F1CA3"/>
    <w:rsid w:val="009F26B0"/>
    <w:rsid w:val="009F2965"/>
    <w:rsid w:val="009F2E57"/>
    <w:rsid w:val="009F2E5E"/>
    <w:rsid w:val="009F3375"/>
    <w:rsid w:val="009F3CAA"/>
    <w:rsid w:val="009F417C"/>
    <w:rsid w:val="009F4ABF"/>
    <w:rsid w:val="009F5125"/>
    <w:rsid w:val="009F5C5D"/>
    <w:rsid w:val="009F70F5"/>
    <w:rsid w:val="009F7653"/>
    <w:rsid w:val="009F7BB8"/>
    <w:rsid w:val="00A0095D"/>
    <w:rsid w:val="00A0124D"/>
    <w:rsid w:val="00A01B67"/>
    <w:rsid w:val="00A0207F"/>
    <w:rsid w:val="00A02689"/>
    <w:rsid w:val="00A02756"/>
    <w:rsid w:val="00A02EE0"/>
    <w:rsid w:val="00A0340D"/>
    <w:rsid w:val="00A03CA1"/>
    <w:rsid w:val="00A0468B"/>
    <w:rsid w:val="00A047BA"/>
    <w:rsid w:val="00A04801"/>
    <w:rsid w:val="00A05093"/>
    <w:rsid w:val="00A05785"/>
    <w:rsid w:val="00A05A56"/>
    <w:rsid w:val="00A073F9"/>
    <w:rsid w:val="00A07673"/>
    <w:rsid w:val="00A07823"/>
    <w:rsid w:val="00A0787E"/>
    <w:rsid w:val="00A10DFF"/>
    <w:rsid w:val="00A10F6B"/>
    <w:rsid w:val="00A11068"/>
    <w:rsid w:val="00A11DBC"/>
    <w:rsid w:val="00A11F07"/>
    <w:rsid w:val="00A121DC"/>
    <w:rsid w:val="00A12BCD"/>
    <w:rsid w:val="00A12E54"/>
    <w:rsid w:val="00A13169"/>
    <w:rsid w:val="00A13393"/>
    <w:rsid w:val="00A13928"/>
    <w:rsid w:val="00A13E6A"/>
    <w:rsid w:val="00A13F39"/>
    <w:rsid w:val="00A14028"/>
    <w:rsid w:val="00A14085"/>
    <w:rsid w:val="00A141E1"/>
    <w:rsid w:val="00A148C5"/>
    <w:rsid w:val="00A14DEF"/>
    <w:rsid w:val="00A15497"/>
    <w:rsid w:val="00A15925"/>
    <w:rsid w:val="00A16AAE"/>
    <w:rsid w:val="00A16CB4"/>
    <w:rsid w:val="00A176E2"/>
    <w:rsid w:val="00A1795B"/>
    <w:rsid w:val="00A17D1B"/>
    <w:rsid w:val="00A17F4A"/>
    <w:rsid w:val="00A2092B"/>
    <w:rsid w:val="00A2111B"/>
    <w:rsid w:val="00A21D07"/>
    <w:rsid w:val="00A2218E"/>
    <w:rsid w:val="00A23BE0"/>
    <w:rsid w:val="00A24083"/>
    <w:rsid w:val="00A24CB9"/>
    <w:rsid w:val="00A2545D"/>
    <w:rsid w:val="00A25A57"/>
    <w:rsid w:val="00A26A31"/>
    <w:rsid w:val="00A2711A"/>
    <w:rsid w:val="00A277FA"/>
    <w:rsid w:val="00A27C0F"/>
    <w:rsid w:val="00A30247"/>
    <w:rsid w:val="00A30B54"/>
    <w:rsid w:val="00A30D02"/>
    <w:rsid w:val="00A31218"/>
    <w:rsid w:val="00A31926"/>
    <w:rsid w:val="00A3321E"/>
    <w:rsid w:val="00A33EB0"/>
    <w:rsid w:val="00A33F09"/>
    <w:rsid w:val="00A34556"/>
    <w:rsid w:val="00A34883"/>
    <w:rsid w:val="00A34BCB"/>
    <w:rsid w:val="00A35673"/>
    <w:rsid w:val="00A359DD"/>
    <w:rsid w:val="00A35C38"/>
    <w:rsid w:val="00A36544"/>
    <w:rsid w:val="00A36B5E"/>
    <w:rsid w:val="00A36D3E"/>
    <w:rsid w:val="00A37DAA"/>
    <w:rsid w:val="00A41D99"/>
    <w:rsid w:val="00A4233B"/>
    <w:rsid w:val="00A423F9"/>
    <w:rsid w:val="00A424C0"/>
    <w:rsid w:val="00A43746"/>
    <w:rsid w:val="00A43B21"/>
    <w:rsid w:val="00A44044"/>
    <w:rsid w:val="00A440A7"/>
    <w:rsid w:val="00A4483C"/>
    <w:rsid w:val="00A449BD"/>
    <w:rsid w:val="00A45A05"/>
    <w:rsid w:val="00A45B56"/>
    <w:rsid w:val="00A45FEE"/>
    <w:rsid w:val="00A4626E"/>
    <w:rsid w:val="00A463A0"/>
    <w:rsid w:val="00A47DBC"/>
    <w:rsid w:val="00A47E83"/>
    <w:rsid w:val="00A50208"/>
    <w:rsid w:val="00A5046A"/>
    <w:rsid w:val="00A50DBB"/>
    <w:rsid w:val="00A51776"/>
    <w:rsid w:val="00A51B4F"/>
    <w:rsid w:val="00A51D46"/>
    <w:rsid w:val="00A51FAF"/>
    <w:rsid w:val="00A52289"/>
    <w:rsid w:val="00A525CF"/>
    <w:rsid w:val="00A528B9"/>
    <w:rsid w:val="00A53404"/>
    <w:rsid w:val="00A53674"/>
    <w:rsid w:val="00A536BC"/>
    <w:rsid w:val="00A538E1"/>
    <w:rsid w:val="00A54C15"/>
    <w:rsid w:val="00A54CF8"/>
    <w:rsid w:val="00A55938"/>
    <w:rsid w:val="00A55B12"/>
    <w:rsid w:val="00A55CA9"/>
    <w:rsid w:val="00A56B8D"/>
    <w:rsid w:val="00A56C25"/>
    <w:rsid w:val="00A56C56"/>
    <w:rsid w:val="00A56CED"/>
    <w:rsid w:val="00A60106"/>
    <w:rsid w:val="00A6013D"/>
    <w:rsid w:val="00A607A7"/>
    <w:rsid w:val="00A60BD3"/>
    <w:rsid w:val="00A60C90"/>
    <w:rsid w:val="00A60E66"/>
    <w:rsid w:val="00A61CDD"/>
    <w:rsid w:val="00A61D6D"/>
    <w:rsid w:val="00A61F58"/>
    <w:rsid w:val="00A636B3"/>
    <w:rsid w:val="00A63816"/>
    <w:rsid w:val="00A63EB0"/>
    <w:rsid w:val="00A63F96"/>
    <w:rsid w:val="00A642AA"/>
    <w:rsid w:val="00A649D6"/>
    <w:rsid w:val="00A64CCE"/>
    <w:rsid w:val="00A65454"/>
    <w:rsid w:val="00A655E6"/>
    <w:rsid w:val="00A658D0"/>
    <w:rsid w:val="00A65D23"/>
    <w:rsid w:val="00A667F9"/>
    <w:rsid w:val="00A67824"/>
    <w:rsid w:val="00A678F4"/>
    <w:rsid w:val="00A70922"/>
    <w:rsid w:val="00A70C50"/>
    <w:rsid w:val="00A70D70"/>
    <w:rsid w:val="00A70EAE"/>
    <w:rsid w:val="00A71243"/>
    <w:rsid w:val="00A716E7"/>
    <w:rsid w:val="00A71A95"/>
    <w:rsid w:val="00A71E2A"/>
    <w:rsid w:val="00A7218F"/>
    <w:rsid w:val="00A72437"/>
    <w:rsid w:val="00A73944"/>
    <w:rsid w:val="00A73C8A"/>
    <w:rsid w:val="00A74595"/>
    <w:rsid w:val="00A747F7"/>
    <w:rsid w:val="00A74F06"/>
    <w:rsid w:val="00A75A32"/>
    <w:rsid w:val="00A75A9F"/>
    <w:rsid w:val="00A75D15"/>
    <w:rsid w:val="00A7617A"/>
    <w:rsid w:val="00A7635D"/>
    <w:rsid w:val="00A763D6"/>
    <w:rsid w:val="00A76CC1"/>
    <w:rsid w:val="00A7721A"/>
    <w:rsid w:val="00A773CA"/>
    <w:rsid w:val="00A77A28"/>
    <w:rsid w:val="00A77B50"/>
    <w:rsid w:val="00A80311"/>
    <w:rsid w:val="00A80673"/>
    <w:rsid w:val="00A811EE"/>
    <w:rsid w:val="00A81F5D"/>
    <w:rsid w:val="00A81F8D"/>
    <w:rsid w:val="00A8213F"/>
    <w:rsid w:val="00A821F5"/>
    <w:rsid w:val="00A829DE"/>
    <w:rsid w:val="00A82C9F"/>
    <w:rsid w:val="00A83001"/>
    <w:rsid w:val="00A83368"/>
    <w:rsid w:val="00A8345B"/>
    <w:rsid w:val="00A83890"/>
    <w:rsid w:val="00A83D8D"/>
    <w:rsid w:val="00A83F40"/>
    <w:rsid w:val="00A85764"/>
    <w:rsid w:val="00A85A52"/>
    <w:rsid w:val="00A8631B"/>
    <w:rsid w:val="00A869C1"/>
    <w:rsid w:val="00A87C37"/>
    <w:rsid w:val="00A90217"/>
    <w:rsid w:val="00A9026C"/>
    <w:rsid w:val="00A902D7"/>
    <w:rsid w:val="00A90917"/>
    <w:rsid w:val="00A90943"/>
    <w:rsid w:val="00A90E25"/>
    <w:rsid w:val="00A910E7"/>
    <w:rsid w:val="00A916E7"/>
    <w:rsid w:val="00A919A8"/>
    <w:rsid w:val="00A92291"/>
    <w:rsid w:val="00A927FB"/>
    <w:rsid w:val="00A92C5E"/>
    <w:rsid w:val="00A93A6F"/>
    <w:rsid w:val="00A943B0"/>
    <w:rsid w:val="00A94A40"/>
    <w:rsid w:val="00A94DBB"/>
    <w:rsid w:val="00A9591B"/>
    <w:rsid w:val="00A95FBB"/>
    <w:rsid w:val="00A96880"/>
    <w:rsid w:val="00A968AE"/>
    <w:rsid w:val="00A968C3"/>
    <w:rsid w:val="00A970F8"/>
    <w:rsid w:val="00A974AE"/>
    <w:rsid w:val="00A974D3"/>
    <w:rsid w:val="00A978C7"/>
    <w:rsid w:val="00AA00E0"/>
    <w:rsid w:val="00AA0394"/>
    <w:rsid w:val="00AA0540"/>
    <w:rsid w:val="00AA0804"/>
    <w:rsid w:val="00AA1760"/>
    <w:rsid w:val="00AA1F71"/>
    <w:rsid w:val="00AA2151"/>
    <w:rsid w:val="00AA2A4F"/>
    <w:rsid w:val="00AA302F"/>
    <w:rsid w:val="00AA37D5"/>
    <w:rsid w:val="00AA3D97"/>
    <w:rsid w:val="00AA4DEB"/>
    <w:rsid w:val="00AA5227"/>
    <w:rsid w:val="00AA586F"/>
    <w:rsid w:val="00AA6174"/>
    <w:rsid w:val="00AA73B4"/>
    <w:rsid w:val="00AA746C"/>
    <w:rsid w:val="00AB02E0"/>
    <w:rsid w:val="00AB078B"/>
    <w:rsid w:val="00AB0B63"/>
    <w:rsid w:val="00AB0E31"/>
    <w:rsid w:val="00AB1D83"/>
    <w:rsid w:val="00AB1F20"/>
    <w:rsid w:val="00AB2885"/>
    <w:rsid w:val="00AB2C04"/>
    <w:rsid w:val="00AB35BB"/>
    <w:rsid w:val="00AB3698"/>
    <w:rsid w:val="00AB36F7"/>
    <w:rsid w:val="00AB3A5B"/>
    <w:rsid w:val="00AB3A75"/>
    <w:rsid w:val="00AB40FF"/>
    <w:rsid w:val="00AB4494"/>
    <w:rsid w:val="00AB4C31"/>
    <w:rsid w:val="00AB53BB"/>
    <w:rsid w:val="00AB5809"/>
    <w:rsid w:val="00AB5893"/>
    <w:rsid w:val="00AB6579"/>
    <w:rsid w:val="00AB6BA4"/>
    <w:rsid w:val="00AC04B9"/>
    <w:rsid w:val="00AC12EF"/>
    <w:rsid w:val="00AC15B0"/>
    <w:rsid w:val="00AC29F3"/>
    <w:rsid w:val="00AC3F6B"/>
    <w:rsid w:val="00AC4318"/>
    <w:rsid w:val="00AC4368"/>
    <w:rsid w:val="00AC4EF9"/>
    <w:rsid w:val="00AC527B"/>
    <w:rsid w:val="00AC5AF5"/>
    <w:rsid w:val="00AC5C32"/>
    <w:rsid w:val="00AC5F89"/>
    <w:rsid w:val="00AC6645"/>
    <w:rsid w:val="00AC6EDA"/>
    <w:rsid w:val="00AC7090"/>
    <w:rsid w:val="00AC71C2"/>
    <w:rsid w:val="00AC7376"/>
    <w:rsid w:val="00AC7A7A"/>
    <w:rsid w:val="00AC7EEB"/>
    <w:rsid w:val="00AD04B6"/>
    <w:rsid w:val="00AD04F3"/>
    <w:rsid w:val="00AD0652"/>
    <w:rsid w:val="00AD0E2E"/>
    <w:rsid w:val="00AD1F18"/>
    <w:rsid w:val="00AD224C"/>
    <w:rsid w:val="00AD2274"/>
    <w:rsid w:val="00AD26F3"/>
    <w:rsid w:val="00AD2AE5"/>
    <w:rsid w:val="00AD2B32"/>
    <w:rsid w:val="00AD3284"/>
    <w:rsid w:val="00AD33E7"/>
    <w:rsid w:val="00AD38F7"/>
    <w:rsid w:val="00AD3D22"/>
    <w:rsid w:val="00AD3F29"/>
    <w:rsid w:val="00AD4809"/>
    <w:rsid w:val="00AD6B24"/>
    <w:rsid w:val="00AD70A5"/>
    <w:rsid w:val="00AD73D4"/>
    <w:rsid w:val="00AD794E"/>
    <w:rsid w:val="00AD7BDE"/>
    <w:rsid w:val="00AE0044"/>
    <w:rsid w:val="00AE0BEC"/>
    <w:rsid w:val="00AE169D"/>
    <w:rsid w:val="00AE1984"/>
    <w:rsid w:val="00AE1D46"/>
    <w:rsid w:val="00AE2B97"/>
    <w:rsid w:val="00AE3615"/>
    <w:rsid w:val="00AE3A03"/>
    <w:rsid w:val="00AE446A"/>
    <w:rsid w:val="00AE4584"/>
    <w:rsid w:val="00AE5374"/>
    <w:rsid w:val="00AE5D5E"/>
    <w:rsid w:val="00AE5E6E"/>
    <w:rsid w:val="00AE5F9C"/>
    <w:rsid w:val="00AE638C"/>
    <w:rsid w:val="00AE6598"/>
    <w:rsid w:val="00AE67CB"/>
    <w:rsid w:val="00AE69C4"/>
    <w:rsid w:val="00AE6AAB"/>
    <w:rsid w:val="00AE6AAF"/>
    <w:rsid w:val="00AE6ADD"/>
    <w:rsid w:val="00AE7A8F"/>
    <w:rsid w:val="00AF04DF"/>
    <w:rsid w:val="00AF06CD"/>
    <w:rsid w:val="00AF0F2E"/>
    <w:rsid w:val="00AF0F50"/>
    <w:rsid w:val="00AF1285"/>
    <w:rsid w:val="00AF35DD"/>
    <w:rsid w:val="00AF3714"/>
    <w:rsid w:val="00AF3E51"/>
    <w:rsid w:val="00AF410A"/>
    <w:rsid w:val="00AF4120"/>
    <w:rsid w:val="00AF4D4F"/>
    <w:rsid w:val="00AF5541"/>
    <w:rsid w:val="00AF5C66"/>
    <w:rsid w:val="00AF5D84"/>
    <w:rsid w:val="00AF6132"/>
    <w:rsid w:val="00AF640E"/>
    <w:rsid w:val="00AF64A4"/>
    <w:rsid w:val="00AF6C54"/>
    <w:rsid w:val="00AF7094"/>
    <w:rsid w:val="00AF7491"/>
    <w:rsid w:val="00AF7CF9"/>
    <w:rsid w:val="00B0059C"/>
    <w:rsid w:val="00B00F8B"/>
    <w:rsid w:val="00B01172"/>
    <w:rsid w:val="00B01236"/>
    <w:rsid w:val="00B01B03"/>
    <w:rsid w:val="00B01B0B"/>
    <w:rsid w:val="00B01BF6"/>
    <w:rsid w:val="00B02515"/>
    <w:rsid w:val="00B027F5"/>
    <w:rsid w:val="00B02AA6"/>
    <w:rsid w:val="00B02B63"/>
    <w:rsid w:val="00B030AA"/>
    <w:rsid w:val="00B034E6"/>
    <w:rsid w:val="00B0376F"/>
    <w:rsid w:val="00B0446C"/>
    <w:rsid w:val="00B04690"/>
    <w:rsid w:val="00B04819"/>
    <w:rsid w:val="00B04EED"/>
    <w:rsid w:val="00B05809"/>
    <w:rsid w:val="00B05CBC"/>
    <w:rsid w:val="00B06100"/>
    <w:rsid w:val="00B062F9"/>
    <w:rsid w:val="00B06DBA"/>
    <w:rsid w:val="00B109CC"/>
    <w:rsid w:val="00B11171"/>
    <w:rsid w:val="00B1134B"/>
    <w:rsid w:val="00B1193D"/>
    <w:rsid w:val="00B11D5A"/>
    <w:rsid w:val="00B12AFD"/>
    <w:rsid w:val="00B12CE6"/>
    <w:rsid w:val="00B12ECB"/>
    <w:rsid w:val="00B12FF6"/>
    <w:rsid w:val="00B13A1F"/>
    <w:rsid w:val="00B143AA"/>
    <w:rsid w:val="00B14436"/>
    <w:rsid w:val="00B14D4A"/>
    <w:rsid w:val="00B16B5D"/>
    <w:rsid w:val="00B16CCB"/>
    <w:rsid w:val="00B1724B"/>
    <w:rsid w:val="00B17B05"/>
    <w:rsid w:val="00B17D8D"/>
    <w:rsid w:val="00B20057"/>
    <w:rsid w:val="00B2084E"/>
    <w:rsid w:val="00B21AEC"/>
    <w:rsid w:val="00B21B6C"/>
    <w:rsid w:val="00B21B80"/>
    <w:rsid w:val="00B21ED4"/>
    <w:rsid w:val="00B227BA"/>
    <w:rsid w:val="00B23669"/>
    <w:rsid w:val="00B23F83"/>
    <w:rsid w:val="00B240D4"/>
    <w:rsid w:val="00B2417B"/>
    <w:rsid w:val="00B24919"/>
    <w:rsid w:val="00B25678"/>
    <w:rsid w:val="00B256D5"/>
    <w:rsid w:val="00B25EA9"/>
    <w:rsid w:val="00B26615"/>
    <w:rsid w:val="00B26653"/>
    <w:rsid w:val="00B270CD"/>
    <w:rsid w:val="00B272E5"/>
    <w:rsid w:val="00B27E80"/>
    <w:rsid w:val="00B27ECA"/>
    <w:rsid w:val="00B3018A"/>
    <w:rsid w:val="00B301CF"/>
    <w:rsid w:val="00B30284"/>
    <w:rsid w:val="00B303D6"/>
    <w:rsid w:val="00B30987"/>
    <w:rsid w:val="00B30C92"/>
    <w:rsid w:val="00B31170"/>
    <w:rsid w:val="00B31258"/>
    <w:rsid w:val="00B317F8"/>
    <w:rsid w:val="00B31963"/>
    <w:rsid w:val="00B324D8"/>
    <w:rsid w:val="00B32AC5"/>
    <w:rsid w:val="00B32D6F"/>
    <w:rsid w:val="00B340F0"/>
    <w:rsid w:val="00B341FC"/>
    <w:rsid w:val="00B347C9"/>
    <w:rsid w:val="00B3503E"/>
    <w:rsid w:val="00B35048"/>
    <w:rsid w:val="00B352C4"/>
    <w:rsid w:val="00B36ABC"/>
    <w:rsid w:val="00B36CAF"/>
    <w:rsid w:val="00B37288"/>
    <w:rsid w:val="00B3753F"/>
    <w:rsid w:val="00B3770C"/>
    <w:rsid w:val="00B37CC1"/>
    <w:rsid w:val="00B40082"/>
    <w:rsid w:val="00B40E00"/>
    <w:rsid w:val="00B41B75"/>
    <w:rsid w:val="00B42629"/>
    <w:rsid w:val="00B42804"/>
    <w:rsid w:val="00B42EEB"/>
    <w:rsid w:val="00B43491"/>
    <w:rsid w:val="00B438D2"/>
    <w:rsid w:val="00B43C4A"/>
    <w:rsid w:val="00B43C7B"/>
    <w:rsid w:val="00B43FD1"/>
    <w:rsid w:val="00B459D0"/>
    <w:rsid w:val="00B46017"/>
    <w:rsid w:val="00B46661"/>
    <w:rsid w:val="00B46AA6"/>
    <w:rsid w:val="00B46C4C"/>
    <w:rsid w:val="00B473CF"/>
    <w:rsid w:val="00B473FD"/>
    <w:rsid w:val="00B4748B"/>
    <w:rsid w:val="00B47A11"/>
    <w:rsid w:val="00B50200"/>
    <w:rsid w:val="00B511A9"/>
    <w:rsid w:val="00B512EE"/>
    <w:rsid w:val="00B5140B"/>
    <w:rsid w:val="00B51558"/>
    <w:rsid w:val="00B516EB"/>
    <w:rsid w:val="00B5218D"/>
    <w:rsid w:val="00B523DF"/>
    <w:rsid w:val="00B528C2"/>
    <w:rsid w:val="00B52B31"/>
    <w:rsid w:val="00B53170"/>
    <w:rsid w:val="00B533C8"/>
    <w:rsid w:val="00B53667"/>
    <w:rsid w:val="00B53DF4"/>
    <w:rsid w:val="00B53F14"/>
    <w:rsid w:val="00B54ACF"/>
    <w:rsid w:val="00B55C32"/>
    <w:rsid w:val="00B55E13"/>
    <w:rsid w:val="00B562A6"/>
    <w:rsid w:val="00B564A9"/>
    <w:rsid w:val="00B56DFD"/>
    <w:rsid w:val="00B56E53"/>
    <w:rsid w:val="00B57048"/>
    <w:rsid w:val="00B570A4"/>
    <w:rsid w:val="00B576F9"/>
    <w:rsid w:val="00B57B33"/>
    <w:rsid w:val="00B57D18"/>
    <w:rsid w:val="00B57EAB"/>
    <w:rsid w:val="00B57F49"/>
    <w:rsid w:val="00B603E1"/>
    <w:rsid w:val="00B60B8F"/>
    <w:rsid w:val="00B60D0E"/>
    <w:rsid w:val="00B614D9"/>
    <w:rsid w:val="00B62677"/>
    <w:rsid w:val="00B62FBE"/>
    <w:rsid w:val="00B62FC0"/>
    <w:rsid w:val="00B63E27"/>
    <w:rsid w:val="00B64E66"/>
    <w:rsid w:val="00B65016"/>
    <w:rsid w:val="00B654A7"/>
    <w:rsid w:val="00B662A4"/>
    <w:rsid w:val="00B66906"/>
    <w:rsid w:val="00B703B6"/>
    <w:rsid w:val="00B706D0"/>
    <w:rsid w:val="00B70752"/>
    <w:rsid w:val="00B70E7E"/>
    <w:rsid w:val="00B71232"/>
    <w:rsid w:val="00B71821"/>
    <w:rsid w:val="00B71C22"/>
    <w:rsid w:val="00B71CD2"/>
    <w:rsid w:val="00B721D7"/>
    <w:rsid w:val="00B7230B"/>
    <w:rsid w:val="00B72477"/>
    <w:rsid w:val="00B73115"/>
    <w:rsid w:val="00B73133"/>
    <w:rsid w:val="00B73363"/>
    <w:rsid w:val="00B73A11"/>
    <w:rsid w:val="00B73B52"/>
    <w:rsid w:val="00B73F36"/>
    <w:rsid w:val="00B7421E"/>
    <w:rsid w:val="00B748E8"/>
    <w:rsid w:val="00B750F8"/>
    <w:rsid w:val="00B75410"/>
    <w:rsid w:val="00B75A1A"/>
    <w:rsid w:val="00B75A8D"/>
    <w:rsid w:val="00B75AEF"/>
    <w:rsid w:val="00B76AEA"/>
    <w:rsid w:val="00B76E61"/>
    <w:rsid w:val="00B7708F"/>
    <w:rsid w:val="00B774E4"/>
    <w:rsid w:val="00B77BE2"/>
    <w:rsid w:val="00B80788"/>
    <w:rsid w:val="00B8128F"/>
    <w:rsid w:val="00B8150D"/>
    <w:rsid w:val="00B8177B"/>
    <w:rsid w:val="00B818B1"/>
    <w:rsid w:val="00B81CF4"/>
    <w:rsid w:val="00B81E29"/>
    <w:rsid w:val="00B830BE"/>
    <w:rsid w:val="00B8327C"/>
    <w:rsid w:val="00B8382E"/>
    <w:rsid w:val="00B83AC9"/>
    <w:rsid w:val="00B83E0E"/>
    <w:rsid w:val="00B847A0"/>
    <w:rsid w:val="00B848BD"/>
    <w:rsid w:val="00B8526F"/>
    <w:rsid w:val="00B859D8"/>
    <w:rsid w:val="00B85C79"/>
    <w:rsid w:val="00B86764"/>
    <w:rsid w:val="00B867ED"/>
    <w:rsid w:val="00B86E92"/>
    <w:rsid w:val="00B87337"/>
    <w:rsid w:val="00B87761"/>
    <w:rsid w:val="00B91AC8"/>
    <w:rsid w:val="00B929E3"/>
    <w:rsid w:val="00B9323C"/>
    <w:rsid w:val="00B93754"/>
    <w:rsid w:val="00B93E2D"/>
    <w:rsid w:val="00B945A1"/>
    <w:rsid w:val="00B94A09"/>
    <w:rsid w:val="00B9531A"/>
    <w:rsid w:val="00B95F14"/>
    <w:rsid w:val="00B9644C"/>
    <w:rsid w:val="00B96852"/>
    <w:rsid w:val="00B96BAD"/>
    <w:rsid w:val="00B96E26"/>
    <w:rsid w:val="00B97004"/>
    <w:rsid w:val="00B9715D"/>
    <w:rsid w:val="00B97890"/>
    <w:rsid w:val="00B97B1D"/>
    <w:rsid w:val="00B97FCA"/>
    <w:rsid w:val="00BA0119"/>
    <w:rsid w:val="00BA0282"/>
    <w:rsid w:val="00BA09E8"/>
    <w:rsid w:val="00BA0B7C"/>
    <w:rsid w:val="00BA125B"/>
    <w:rsid w:val="00BA15C1"/>
    <w:rsid w:val="00BA1A1F"/>
    <w:rsid w:val="00BA1A75"/>
    <w:rsid w:val="00BA1C88"/>
    <w:rsid w:val="00BA276D"/>
    <w:rsid w:val="00BA2B9A"/>
    <w:rsid w:val="00BA2CA9"/>
    <w:rsid w:val="00BA2D47"/>
    <w:rsid w:val="00BA2E70"/>
    <w:rsid w:val="00BA3440"/>
    <w:rsid w:val="00BA345F"/>
    <w:rsid w:val="00BA359A"/>
    <w:rsid w:val="00BA3603"/>
    <w:rsid w:val="00BA3865"/>
    <w:rsid w:val="00BA40DD"/>
    <w:rsid w:val="00BA41FC"/>
    <w:rsid w:val="00BA47D3"/>
    <w:rsid w:val="00BA4B97"/>
    <w:rsid w:val="00BA590B"/>
    <w:rsid w:val="00BA5AAD"/>
    <w:rsid w:val="00BA5E99"/>
    <w:rsid w:val="00BA6020"/>
    <w:rsid w:val="00BA62E6"/>
    <w:rsid w:val="00BA65A4"/>
    <w:rsid w:val="00BA65D8"/>
    <w:rsid w:val="00BA6628"/>
    <w:rsid w:val="00BA728A"/>
    <w:rsid w:val="00BA74DD"/>
    <w:rsid w:val="00BA7585"/>
    <w:rsid w:val="00BB00F6"/>
    <w:rsid w:val="00BB0382"/>
    <w:rsid w:val="00BB04D6"/>
    <w:rsid w:val="00BB0C35"/>
    <w:rsid w:val="00BB124B"/>
    <w:rsid w:val="00BB1688"/>
    <w:rsid w:val="00BB18D1"/>
    <w:rsid w:val="00BB20D9"/>
    <w:rsid w:val="00BB286F"/>
    <w:rsid w:val="00BB2D7F"/>
    <w:rsid w:val="00BB3C16"/>
    <w:rsid w:val="00BB42F5"/>
    <w:rsid w:val="00BB462A"/>
    <w:rsid w:val="00BB48C8"/>
    <w:rsid w:val="00BB4956"/>
    <w:rsid w:val="00BB4E29"/>
    <w:rsid w:val="00BB4FC0"/>
    <w:rsid w:val="00BB5960"/>
    <w:rsid w:val="00BB5995"/>
    <w:rsid w:val="00BB5E0B"/>
    <w:rsid w:val="00BB6777"/>
    <w:rsid w:val="00BB7596"/>
    <w:rsid w:val="00BB7EB8"/>
    <w:rsid w:val="00BC04E3"/>
    <w:rsid w:val="00BC09E5"/>
    <w:rsid w:val="00BC0BD6"/>
    <w:rsid w:val="00BC0C51"/>
    <w:rsid w:val="00BC119C"/>
    <w:rsid w:val="00BC1791"/>
    <w:rsid w:val="00BC24EC"/>
    <w:rsid w:val="00BC432A"/>
    <w:rsid w:val="00BC5073"/>
    <w:rsid w:val="00BC5187"/>
    <w:rsid w:val="00BC59CC"/>
    <w:rsid w:val="00BC645F"/>
    <w:rsid w:val="00BC67E8"/>
    <w:rsid w:val="00BC68FD"/>
    <w:rsid w:val="00BC71D2"/>
    <w:rsid w:val="00BC743B"/>
    <w:rsid w:val="00BC7A2F"/>
    <w:rsid w:val="00BC7B7B"/>
    <w:rsid w:val="00BC7BD8"/>
    <w:rsid w:val="00BC7C70"/>
    <w:rsid w:val="00BD0145"/>
    <w:rsid w:val="00BD043D"/>
    <w:rsid w:val="00BD054A"/>
    <w:rsid w:val="00BD0A04"/>
    <w:rsid w:val="00BD1393"/>
    <w:rsid w:val="00BD17A7"/>
    <w:rsid w:val="00BD1A21"/>
    <w:rsid w:val="00BD1AD2"/>
    <w:rsid w:val="00BD1FB9"/>
    <w:rsid w:val="00BD2758"/>
    <w:rsid w:val="00BD3532"/>
    <w:rsid w:val="00BD36C9"/>
    <w:rsid w:val="00BD3BF6"/>
    <w:rsid w:val="00BD585B"/>
    <w:rsid w:val="00BD598E"/>
    <w:rsid w:val="00BD59F1"/>
    <w:rsid w:val="00BD5CE8"/>
    <w:rsid w:val="00BD6399"/>
    <w:rsid w:val="00BD695C"/>
    <w:rsid w:val="00BD7158"/>
    <w:rsid w:val="00BE0649"/>
    <w:rsid w:val="00BE13A2"/>
    <w:rsid w:val="00BE1440"/>
    <w:rsid w:val="00BE1EE8"/>
    <w:rsid w:val="00BE2177"/>
    <w:rsid w:val="00BE2A73"/>
    <w:rsid w:val="00BE2BE4"/>
    <w:rsid w:val="00BE3EDD"/>
    <w:rsid w:val="00BE3FD6"/>
    <w:rsid w:val="00BE4177"/>
    <w:rsid w:val="00BE4C09"/>
    <w:rsid w:val="00BE5026"/>
    <w:rsid w:val="00BE536A"/>
    <w:rsid w:val="00BE5D7A"/>
    <w:rsid w:val="00BE63BB"/>
    <w:rsid w:val="00BE66B7"/>
    <w:rsid w:val="00BE6B07"/>
    <w:rsid w:val="00BE7791"/>
    <w:rsid w:val="00BF0608"/>
    <w:rsid w:val="00BF086D"/>
    <w:rsid w:val="00BF10EF"/>
    <w:rsid w:val="00BF15F9"/>
    <w:rsid w:val="00BF1892"/>
    <w:rsid w:val="00BF1A6F"/>
    <w:rsid w:val="00BF1C96"/>
    <w:rsid w:val="00BF2C2D"/>
    <w:rsid w:val="00BF36F5"/>
    <w:rsid w:val="00BF3B9B"/>
    <w:rsid w:val="00BF3EBC"/>
    <w:rsid w:val="00BF3FEB"/>
    <w:rsid w:val="00BF4067"/>
    <w:rsid w:val="00BF43CF"/>
    <w:rsid w:val="00BF481F"/>
    <w:rsid w:val="00BF4B1E"/>
    <w:rsid w:val="00BF586E"/>
    <w:rsid w:val="00BF592A"/>
    <w:rsid w:val="00BF5B0A"/>
    <w:rsid w:val="00BF60CD"/>
    <w:rsid w:val="00BF61FD"/>
    <w:rsid w:val="00BF72C2"/>
    <w:rsid w:val="00BF72F7"/>
    <w:rsid w:val="00BF76B1"/>
    <w:rsid w:val="00BF79CB"/>
    <w:rsid w:val="00C0072D"/>
    <w:rsid w:val="00C00B84"/>
    <w:rsid w:val="00C01AC9"/>
    <w:rsid w:val="00C01B65"/>
    <w:rsid w:val="00C01E22"/>
    <w:rsid w:val="00C01F0F"/>
    <w:rsid w:val="00C02580"/>
    <w:rsid w:val="00C02F1A"/>
    <w:rsid w:val="00C03592"/>
    <w:rsid w:val="00C036E5"/>
    <w:rsid w:val="00C04246"/>
    <w:rsid w:val="00C04614"/>
    <w:rsid w:val="00C046CE"/>
    <w:rsid w:val="00C04963"/>
    <w:rsid w:val="00C052E4"/>
    <w:rsid w:val="00C05A78"/>
    <w:rsid w:val="00C05B52"/>
    <w:rsid w:val="00C05E5C"/>
    <w:rsid w:val="00C06538"/>
    <w:rsid w:val="00C07419"/>
    <w:rsid w:val="00C07A15"/>
    <w:rsid w:val="00C07EF1"/>
    <w:rsid w:val="00C10517"/>
    <w:rsid w:val="00C10B64"/>
    <w:rsid w:val="00C119C2"/>
    <w:rsid w:val="00C119F4"/>
    <w:rsid w:val="00C11AED"/>
    <w:rsid w:val="00C11C4A"/>
    <w:rsid w:val="00C11DF5"/>
    <w:rsid w:val="00C1259F"/>
    <w:rsid w:val="00C12688"/>
    <w:rsid w:val="00C128D6"/>
    <w:rsid w:val="00C13335"/>
    <w:rsid w:val="00C13403"/>
    <w:rsid w:val="00C136DC"/>
    <w:rsid w:val="00C1376C"/>
    <w:rsid w:val="00C13AC3"/>
    <w:rsid w:val="00C145B6"/>
    <w:rsid w:val="00C1472D"/>
    <w:rsid w:val="00C14D97"/>
    <w:rsid w:val="00C1534E"/>
    <w:rsid w:val="00C155D2"/>
    <w:rsid w:val="00C15E09"/>
    <w:rsid w:val="00C15F08"/>
    <w:rsid w:val="00C1646A"/>
    <w:rsid w:val="00C20624"/>
    <w:rsid w:val="00C21110"/>
    <w:rsid w:val="00C212F2"/>
    <w:rsid w:val="00C2164E"/>
    <w:rsid w:val="00C21685"/>
    <w:rsid w:val="00C22224"/>
    <w:rsid w:val="00C22788"/>
    <w:rsid w:val="00C2364B"/>
    <w:rsid w:val="00C2432F"/>
    <w:rsid w:val="00C25441"/>
    <w:rsid w:val="00C26051"/>
    <w:rsid w:val="00C261B2"/>
    <w:rsid w:val="00C267D4"/>
    <w:rsid w:val="00C26A4F"/>
    <w:rsid w:val="00C26AB5"/>
    <w:rsid w:val="00C30377"/>
    <w:rsid w:val="00C303A6"/>
    <w:rsid w:val="00C3045E"/>
    <w:rsid w:val="00C305E5"/>
    <w:rsid w:val="00C306AD"/>
    <w:rsid w:val="00C30AC5"/>
    <w:rsid w:val="00C30CD5"/>
    <w:rsid w:val="00C30F9A"/>
    <w:rsid w:val="00C31600"/>
    <w:rsid w:val="00C31E90"/>
    <w:rsid w:val="00C31EA0"/>
    <w:rsid w:val="00C328C1"/>
    <w:rsid w:val="00C32AB5"/>
    <w:rsid w:val="00C32D06"/>
    <w:rsid w:val="00C341C5"/>
    <w:rsid w:val="00C342F6"/>
    <w:rsid w:val="00C3684E"/>
    <w:rsid w:val="00C370CC"/>
    <w:rsid w:val="00C37D73"/>
    <w:rsid w:val="00C407F1"/>
    <w:rsid w:val="00C40BFD"/>
    <w:rsid w:val="00C414DD"/>
    <w:rsid w:val="00C41B09"/>
    <w:rsid w:val="00C41BF0"/>
    <w:rsid w:val="00C41E74"/>
    <w:rsid w:val="00C42220"/>
    <w:rsid w:val="00C42551"/>
    <w:rsid w:val="00C42686"/>
    <w:rsid w:val="00C4327E"/>
    <w:rsid w:val="00C432D0"/>
    <w:rsid w:val="00C448B4"/>
    <w:rsid w:val="00C44B3E"/>
    <w:rsid w:val="00C44C29"/>
    <w:rsid w:val="00C44D13"/>
    <w:rsid w:val="00C45767"/>
    <w:rsid w:val="00C45A1A"/>
    <w:rsid w:val="00C47183"/>
    <w:rsid w:val="00C47637"/>
    <w:rsid w:val="00C476FD"/>
    <w:rsid w:val="00C477F7"/>
    <w:rsid w:val="00C47D87"/>
    <w:rsid w:val="00C5070E"/>
    <w:rsid w:val="00C51875"/>
    <w:rsid w:val="00C51E8D"/>
    <w:rsid w:val="00C522B4"/>
    <w:rsid w:val="00C52481"/>
    <w:rsid w:val="00C52B2D"/>
    <w:rsid w:val="00C52DCC"/>
    <w:rsid w:val="00C53160"/>
    <w:rsid w:val="00C538EB"/>
    <w:rsid w:val="00C53DA4"/>
    <w:rsid w:val="00C53F2B"/>
    <w:rsid w:val="00C54408"/>
    <w:rsid w:val="00C544E9"/>
    <w:rsid w:val="00C54DBA"/>
    <w:rsid w:val="00C55223"/>
    <w:rsid w:val="00C552E7"/>
    <w:rsid w:val="00C55DC7"/>
    <w:rsid w:val="00C55FAC"/>
    <w:rsid w:val="00C560C7"/>
    <w:rsid w:val="00C5652C"/>
    <w:rsid w:val="00C568D8"/>
    <w:rsid w:val="00C5698A"/>
    <w:rsid w:val="00C56B4A"/>
    <w:rsid w:val="00C57105"/>
    <w:rsid w:val="00C577BE"/>
    <w:rsid w:val="00C57B0C"/>
    <w:rsid w:val="00C57CBD"/>
    <w:rsid w:val="00C6093F"/>
    <w:rsid w:val="00C60ACD"/>
    <w:rsid w:val="00C6102C"/>
    <w:rsid w:val="00C612F4"/>
    <w:rsid w:val="00C616FB"/>
    <w:rsid w:val="00C6388D"/>
    <w:rsid w:val="00C64003"/>
    <w:rsid w:val="00C648B9"/>
    <w:rsid w:val="00C65044"/>
    <w:rsid w:val="00C65609"/>
    <w:rsid w:val="00C6598B"/>
    <w:rsid w:val="00C66396"/>
    <w:rsid w:val="00C66639"/>
    <w:rsid w:val="00C66BB4"/>
    <w:rsid w:val="00C66C04"/>
    <w:rsid w:val="00C66C47"/>
    <w:rsid w:val="00C67897"/>
    <w:rsid w:val="00C67C5D"/>
    <w:rsid w:val="00C67D42"/>
    <w:rsid w:val="00C700F5"/>
    <w:rsid w:val="00C7023B"/>
    <w:rsid w:val="00C709D3"/>
    <w:rsid w:val="00C70DEA"/>
    <w:rsid w:val="00C715C9"/>
    <w:rsid w:val="00C71A90"/>
    <w:rsid w:val="00C7232F"/>
    <w:rsid w:val="00C72F0B"/>
    <w:rsid w:val="00C73900"/>
    <w:rsid w:val="00C742B5"/>
    <w:rsid w:val="00C74376"/>
    <w:rsid w:val="00C74455"/>
    <w:rsid w:val="00C74489"/>
    <w:rsid w:val="00C749B8"/>
    <w:rsid w:val="00C74DAF"/>
    <w:rsid w:val="00C74DB1"/>
    <w:rsid w:val="00C74F3E"/>
    <w:rsid w:val="00C7539C"/>
    <w:rsid w:val="00C759F0"/>
    <w:rsid w:val="00C75C82"/>
    <w:rsid w:val="00C7662F"/>
    <w:rsid w:val="00C76801"/>
    <w:rsid w:val="00C76853"/>
    <w:rsid w:val="00C76A2B"/>
    <w:rsid w:val="00C76DE4"/>
    <w:rsid w:val="00C76DF5"/>
    <w:rsid w:val="00C77437"/>
    <w:rsid w:val="00C77857"/>
    <w:rsid w:val="00C77B13"/>
    <w:rsid w:val="00C80D1B"/>
    <w:rsid w:val="00C81046"/>
    <w:rsid w:val="00C811E0"/>
    <w:rsid w:val="00C812D9"/>
    <w:rsid w:val="00C823D7"/>
    <w:rsid w:val="00C82C7F"/>
    <w:rsid w:val="00C82F99"/>
    <w:rsid w:val="00C831E7"/>
    <w:rsid w:val="00C83DF9"/>
    <w:rsid w:val="00C8471A"/>
    <w:rsid w:val="00C85687"/>
    <w:rsid w:val="00C85B8C"/>
    <w:rsid w:val="00C85CF5"/>
    <w:rsid w:val="00C86258"/>
    <w:rsid w:val="00C873AC"/>
    <w:rsid w:val="00C878FD"/>
    <w:rsid w:val="00C90C70"/>
    <w:rsid w:val="00C910D2"/>
    <w:rsid w:val="00C917E3"/>
    <w:rsid w:val="00C924D3"/>
    <w:rsid w:val="00C92779"/>
    <w:rsid w:val="00C92DC9"/>
    <w:rsid w:val="00C92E1A"/>
    <w:rsid w:val="00C92EF4"/>
    <w:rsid w:val="00C92F12"/>
    <w:rsid w:val="00C93069"/>
    <w:rsid w:val="00C93FDF"/>
    <w:rsid w:val="00C94EE0"/>
    <w:rsid w:val="00C95591"/>
    <w:rsid w:val="00C9560C"/>
    <w:rsid w:val="00C95925"/>
    <w:rsid w:val="00C95D13"/>
    <w:rsid w:val="00C95FBE"/>
    <w:rsid w:val="00C96201"/>
    <w:rsid w:val="00C96291"/>
    <w:rsid w:val="00C969DC"/>
    <w:rsid w:val="00C96CAD"/>
    <w:rsid w:val="00C96D38"/>
    <w:rsid w:val="00C973F9"/>
    <w:rsid w:val="00CA0088"/>
    <w:rsid w:val="00CA06B0"/>
    <w:rsid w:val="00CA0BA6"/>
    <w:rsid w:val="00CA12F4"/>
    <w:rsid w:val="00CA1387"/>
    <w:rsid w:val="00CA16B5"/>
    <w:rsid w:val="00CA3910"/>
    <w:rsid w:val="00CA3F80"/>
    <w:rsid w:val="00CA4269"/>
    <w:rsid w:val="00CA50B9"/>
    <w:rsid w:val="00CA5240"/>
    <w:rsid w:val="00CA5379"/>
    <w:rsid w:val="00CA578B"/>
    <w:rsid w:val="00CA5BD9"/>
    <w:rsid w:val="00CA5C8A"/>
    <w:rsid w:val="00CA610E"/>
    <w:rsid w:val="00CA6B07"/>
    <w:rsid w:val="00CA6C10"/>
    <w:rsid w:val="00CA6CC7"/>
    <w:rsid w:val="00CA707C"/>
    <w:rsid w:val="00CA7329"/>
    <w:rsid w:val="00CA7D03"/>
    <w:rsid w:val="00CA7F75"/>
    <w:rsid w:val="00CB0057"/>
    <w:rsid w:val="00CB0199"/>
    <w:rsid w:val="00CB098E"/>
    <w:rsid w:val="00CB1457"/>
    <w:rsid w:val="00CB1A4D"/>
    <w:rsid w:val="00CB2603"/>
    <w:rsid w:val="00CB26A9"/>
    <w:rsid w:val="00CB2AB8"/>
    <w:rsid w:val="00CB2BB2"/>
    <w:rsid w:val="00CB2C9F"/>
    <w:rsid w:val="00CB3146"/>
    <w:rsid w:val="00CB3B98"/>
    <w:rsid w:val="00CB422B"/>
    <w:rsid w:val="00CB4C9F"/>
    <w:rsid w:val="00CB5C92"/>
    <w:rsid w:val="00CB623D"/>
    <w:rsid w:val="00CB6331"/>
    <w:rsid w:val="00CB63FD"/>
    <w:rsid w:val="00CB6E9C"/>
    <w:rsid w:val="00CB6F16"/>
    <w:rsid w:val="00CC0626"/>
    <w:rsid w:val="00CC0C1B"/>
    <w:rsid w:val="00CC130B"/>
    <w:rsid w:val="00CC18BD"/>
    <w:rsid w:val="00CC23C4"/>
    <w:rsid w:val="00CC23D4"/>
    <w:rsid w:val="00CC2B4B"/>
    <w:rsid w:val="00CC343C"/>
    <w:rsid w:val="00CC4A99"/>
    <w:rsid w:val="00CC5088"/>
    <w:rsid w:val="00CC52C9"/>
    <w:rsid w:val="00CC5E30"/>
    <w:rsid w:val="00CC6248"/>
    <w:rsid w:val="00CC63A3"/>
    <w:rsid w:val="00CC6790"/>
    <w:rsid w:val="00CC6BEE"/>
    <w:rsid w:val="00CC70FC"/>
    <w:rsid w:val="00CC7467"/>
    <w:rsid w:val="00CC75E2"/>
    <w:rsid w:val="00CC7D76"/>
    <w:rsid w:val="00CD099A"/>
    <w:rsid w:val="00CD0C47"/>
    <w:rsid w:val="00CD1AD9"/>
    <w:rsid w:val="00CD1C36"/>
    <w:rsid w:val="00CD2192"/>
    <w:rsid w:val="00CD25FF"/>
    <w:rsid w:val="00CD26F7"/>
    <w:rsid w:val="00CD2D3A"/>
    <w:rsid w:val="00CD3288"/>
    <w:rsid w:val="00CD3936"/>
    <w:rsid w:val="00CD393C"/>
    <w:rsid w:val="00CD3E01"/>
    <w:rsid w:val="00CD4303"/>
    <w:rsid w:val="00CD4740"/>
    <w:rsid w:val="00CD4A23"/>
    <w:rsid w:val="00CD6310"/>
    <w:rsid w:val="00CD648E"/>
    <w:rsid w:val="00CD6ED6"/>
    <w:rsid w:val="00CD7088"/>
    <w:rsid w:val="00CD7800"/>
    <w:rsid w:val="00CD7EF8"/>
    <w:rsid w:val="00CE00C9"/>
    <w:rsid w:val="00CE0700"/>
    <w:rsid w:val="00CE0F42"/>
    <w:rsid w:val="00CE1380"/>
    <w:rsid w:val="00CE170C"/>
    <w:rsid w:val="00CE1B70"/>
    <w:rsid w:val="00CE1EE6"/>
    <w:rsid w:val="00CE296E"/>
    <w:rsid w:val="00CE3106"/>
    <w:rsid w:val="00CE357E"/>
    <w:rsid w:val="00CE3669"/>
    <w:rsid w:val="00CE3864"/>
    <w:rsid w:val="00CE4954"/>
    <w:rsid w:val="00CE4F9A"/>
    <w:rsid w:val="00CE5479"/>
    <w:rsid w:val="00CE6363"/>
    <w:rsid w:val="00CE6AE1"/>
    <w:rsid w:val="00CE73ED"/>
    <w:rsid w:val="00CE7C4E"/>
    <w:rsid w:val="00CF00B3"/>
    <w:rsid w:val="00CF00D0"/>
    <w:rsid w:val="00CF08C5"/>
    <w:rsid w:val="00CF0BED"/>
    <w:rsid w:val="00CF1441"/>
    <w:rsid w:val="00CF1928"/>
    <w:rsid w:val="00CF2131"/>
    <w:rsid w:val="00CF2292"/>
    <w:rsid w:val="00CF23E8"/>
    <w:rsid w:val="00CF244C"/>
    <w:rsid w:val="00CF2F6B"/>
    <w:rsid w:val="00CF341F"/>
    <w:rsid w:val="00CF3CFE"/>
    <w:rsid w:val="00CF41D5"/>
    <w:rsid w:val="00CF4D03"/>
    <w:rsid w:val="00CF5AB5"/>
    <w:rsid w:val="00CF5C1A"/>
    <w:rsid w:val="00CF5EE8"/>
    <w:rsid w:val="00CF6AE3"/>
    <w:rsid w:val="00CF6DA8"/>
    <w:rsid w:val="00CF7051"/>
    <w:rsid w:val="00D002F9"/>
    <w:rsid w:val="00D00AA6"/>
    <w:rsid w:val="00D00D07"/>
    <w:rsid w:val="00D01010"/>
    <w:rsid w:val="00D015B7"/>
    <w:rsid w:val="00D02769"/>
    <w:rsid w:val="00D02F23"/>
    <w:rsid w:val="00D03436"/>
    <w:rsid w:val="00D039CB"/>
    <w:rsid w:val="00D03A1D"/>
    <w:rsid w:val="00D03D9B"/>
    <w:rsid w:val="00D03DB1"/>
    <w:rsid w:val="00D040FA"/>
    <w:rsid w:val="00D04292"/>
    <w:rsid w:val="00D043DA"/>
    <w:rsid w:val="00D0471E"/>
    <w:rsid w:val="00D04A63"/>
    <w:rsid w:val="00D04C3E"/>
    <w:rsid w:val="00D05763"/>
    <w:rsid w:val="00D05A77"/>
    <w:rsid w:val="00D06022"/>
    <w:rsid w:val="00D060F5"/>
    <w:rsid w:val="00D06678"/>
    <w:rsid w:val="00D06B09"/>
    <w:rsid w:val="00D06D4C"/>
    <w:rsid w:val="00D07C20"/>
    <w:rsid w:val="00D1015C"/>
    <w:rsid w:val="00D102A0"/>
    <w:rsid w:val="00D11077"/>
    <w:rsid w:val="00D11209"/>
    <w:rsid w:val="00D11287"/>
    <w:rsid w:val="00D11B59"/>
    <w:rsid w:val="00D11DD5"/>
    <w:rsid w:val="00D121A1"/>
    <w:rsid w:val="00D126AC"/>
    <w:rsid w:val="00D13ADA"/>
    <w:rsid w:val="00D13CF1"/>
    <w:rsid w:val="00D13D3F"/>
    <w:rsid w:val="00D15993"/>
    <w:rsid w:val="00D20021"/>
    <w:rsid w:val="00D20D58"/>
    <w:rsid w:val="00D20F9B"/>
    <w:rsid w:val="00D219FF"/>
    <w:rsid w:val="00D21C08"/>
    <w:rsid w:val="00D21E18"/>
    <w:rsid w:val="00D22277"/>
    <w:rsid w:val="00D22409"/>
    <w:rsid w:val="00D2334B"/>
    <w:rsid w:val="00D2339B"/>
    <w:rsid w:val="00D2366D"/>
    <w:rsid w:val="00D2379B"/>
    <w:rsid w:val="00D23A8D"/>
    <w:rsid w:val="00D23CD7"/>
    <w:rsid w:val="00D23FC6"/>
    <w:rsid w:val="00D24931"/>
    <w:rsid w:val="00D24CCA"/>
    <w:rsid w:val="00D25062"/>
    <w:rsid w:val="00D25296"/>
    <w:rsid w:val="00D25A22"/>
    <w:rsid w:val="00D269DF"/>
    <w:rsid w:val="00D26B81"/>
    <w:rsid w:val="00D26CB9"/>
    <w:rsid w:val="00D26D73"/>
    <w:rsid w:val="00D27342"/>
    <w:rsid w:val="00D276BB"/>
    <w:rsid w:val="00D27714"/>
    <w:rsid w:val="00D27DE9"/>
    <w:rsid w:val="00D30040"/>
    <w:rsid w:val="00D3055C"/>
    <w:rsid w:val="00D32017"/>
    <w:rsid w:val="00D321BC"/>
    <w:rsid w:val="00D336CF"/>
    <w:rsid w:val="00D34436"/>
    <w:rsid w:val="00D34708"/>
    <w:rsid w:val="00D3545D"/>
    <w:rsid w:val="00D35AA0"/>
    <w:rsid w:val="00D35AB6"/>
    <w:rsid w:val="00D35DE3"/>
    <w:rsid w:val="00D35FAE"/>
    <w:rsid w:val="00D36426"/>
    <w:rsid w:val="00D3669A"/>
    <w:rsid w:val="00D367B2"/>
    <w:rsid w:val="00D36D3C"/>
    <w:rsid w:val="00D36EC5"/>
    <w:rsid w:val="00D37AA0"/>
    <w:rsid w:val="00D37FBA"/>
    <w:rsid w:val="00D40252"/>
    <w:rsid w:val="00D4087C"/>
    <w:rsid w:val="00D40993"/>
    <w:rsid w:val="00D40E22"/>
    <w:rsid w:val="00D40F95"/>
    <w:rsid w:val="00D41F59"/>
    <w:rsid w:val="00D422BD"/>
    <w:rsid w:val="00D43707"/>
    <w:rsid w:val="00D43731"/>
    <w:rsid w:val="00D44185"/>
    <w:rsid w:val="00D448E5"/>
    <w:rsid w:val="00D44E14"/>
    <w:rsid w:val="00D453CC"/>
    <w:rsid w:val="00D459E4"/>
    <w:rsid w:val="00D461E0"/>
    <w:rsid w:val="00D466CD"/>
    <w:rsid w:val="00D46AE2"/>
    <w:rsid w:val="00D47136"/>
    <w:rsid w:val="00D5018A"/>
    <w:rsid w:val="00D5051B"/>
    <w:rsid w:val="00D505D7"/>
    <w:rsid w:val="00D50EC6"/>
    <w:rsid w:val="00D512AE"/>
    <w:rsid w:val="00D51D19"/>
    <w:rsid w:val="00D52B95"/>
    <w:rsid w:val="00D52E79"/>
    <w:rsid w:val="00D52EA0"/>
    <w:rsid w:val="00D53118"/>
    <w:rsid w:val="00D539CF"/>
    <w:rsid w:val="00D53D6C"/>
    <w:rsid w:val="00D53DEC"/>
    <w:rsid w:val="00D543DA"/>
    <w:rsid w:val="00D5454F"/>
    <w:rsid w:val="00D54877"/>
    <w:rsid w:val="00D548CE"/>
    <w:rsid w:val="00D5498A"/>
    <w:rsid w:val="00D54E61"/>
    <w:rsid w:val="00D56684"/>
    <w:rsid w:val="00D56699"/>
    <w:rsid w:val="00D56F50"/>
    <w:rsid w:val="00D571F9"/>
    <w:rsid w:val="00D5734B"/>
    <w:rsid w:val="00D57458"/>
    <w:rsid w:val="00D57BA6"/>
    <w:rsid w:val="00D60541"/>
    <w:rsid w:val="00D61719"/>
    <w:rsid w:val="00D620A1"/>
    <w:rsid w:val="00D624F3"/>
    <w:rsid w:val="00D62EB2"/>
    <w:rsid w:val="00D62FBC"/>
    <w:rsid w:val="00D638AE"/>
    <w:rsid w:val="00D64292"/>
    <w:rsid w:val="00D644F0"/>
    <w:rsid w:val="00D64620"/>
    <w:rsid w:val="00D6540C"/>
    <w:rsid w:val="00D6601E"/>
    <w:rsid w:val="00D6685A"/>
    <w:rsid w:val="00D6695B"/>
    <w:rsid w:val="00D71F51"/>
    <w:rsid w:val="00D72460"/>
    <w:rsid w:val="00D72DDE"/>
    <w:rsid w:val="00D73141"/>
    <w:rsid w:val="00D7328A"/>
    <w:rsid w:val="00D73683"/>
    <w:rsid w:val="00D73D28"/>
    <w:rsid w:val="00D73DE7"/>
    <w:rsid w:val="00D73F4E"/>
    <w:rsid w:val="00D74145"/>
    <w:rsid w:val="00D76334"/>
    <w:rsid w:val="00D76594"/>
    <w:rsid w:val="00D769A7"/>
    <w:rsid w:val="00D76A2D"/>
    <w:rsid w:val="00D76EC7"/>
    <w:rsid w:val="00D77239"/>
    <w:rsid w:val="00D7753C"/>
    <w:rsid w:val="00D803E2"/>
    <w:rsid w:val="00D8050A"/>
    <w:rsid w:val="00D8135C"/>
    <w:rsid w:val="00D815F8"/>
    <w:rsid w:val="00D81FA4"/>
    <w:rsid w:val="00D829A7"/>
    <w:rsid w:val="00D829CB"/>
    <w:rsid w:val="00D83305"/>
    <w:rsid w:val="00D83BA3"/>
    <w:rsid w:val="00D83C01"/>
    <w:rsid w:val="00D83CAA"/>
    <w:rsid w:val="00D850E6"/>
    <w:rsid w:val="00D85D1D"/>
    <w:rsid w:val="00D862B3"/>
    <w:rsid w:val="00D86F36"/>
    <w:rsid w:val="00D86FAF"/>
    <w:rsid w:val="00D876D4"/>
    <w:rsid w:val="00D87A82"/>
    <w:rsid w:val="00D87CDA"/>
    <w:rsid w:val="00D900C9"/>
    <w:rsid w:val="00D9020D"/>
    <w:rsid w:val="00D9116A"/>
    <w:rsid w:val="00D91337"/>
    <w:rsid w:val="00D9149B"/>
    <w:rsid w:val="00D9194B"/>
    <w:rsid w:val="00D920E1"/>
    <w:rsid w:val="00D920FA"/>
    <w:rsid w:val="00D9296B"/>
    <w:rsid w:val="00D9353C"/>
    <w:rsid w:val="00D93E33"/>
    <w:rsid w:val="00D93F46"/>
    <w:rsid w:val="00D940A0"/>
    <w:rsid w:val="00D9410D"/>
    <w:rsid w:val="00D9461B"/>
    <w:rsid w:val="00D94A44"/>
    <w:rsid w:val="00D94B45"/>
    <w:rsid w:val="00D94F56"/>
    <w:rsid w:val="00D953E5"/>
    <w:rsid w:val="00D95B72"/>
    <w:rsid w:val="00D95C67"/>
    <w:rsid w:val="00D973AF"/>
    <w:rsid w:val="00D97D55"/>
    <w:rsid w:val="00DA0717"/>
    <w:rsid w:val="00DA0BD0"/>
    <w:rsid w:val="00DA0DBD"/>
    <w:rsid w:val="00DA3034"/>
    <w:rsid w:val="00DA332D"/>
    <w:rsid w:val="00DA38FC"/>
    <w:rsid w:val="00DA3B95"/>
    <w:rsid w:val="00DA3D0C"/>
    <w:rsid w:val="00DA4AE2"/>
    <w:rsid w:val="00DA54EB"/>
    <w:rsid w:val="00DA60C7"/>
    <w:rsid w:val="00DA6295"/>
    <w:rsid w:val="00DA630D"/>
    <w:rsid w:val="00DA6441"/>
    <w:rsid w:val="00DA65A0"/>
    <w:rsid w:val="00DA6825"/>
    <w:rsid w:val="00DA6DE2"/>
    <w:rsid w:val="00DA6ED6"/>
    <w:rsid w:val="00DA77BF"/>
    <w:rsid w:val="00DA7DC9"/>
    <w:rsid w:val="00DB192B"/>
    <w:rsid w:val="00DB1959"/>
    <w:rsid w:val="00DB2310"/>
    <w:rsid w:val="00DB246A"/>
    <w:rsid w:val="00DB2B9B"/>
    <w:rsid w:val="00DB2BC2"/>
    <w:rsid w:val="00DB2C0A"/>
    <w:rsid w:val="00DB2E55"/>
    <w:rsid w:val="00DB3773"/>
    <w:rsid w:val="00DB4EEF"/>
    <w:rsid w:val="00DB4F1F"/>
    <w:rsid w:val="00DB5611"/>
    <w:rsid w:val="00DB5E8C"/>
    <w:rsid w:val="00DB6070"/>
    <w:rsid w:val="00DB75A3"/>
    <w:rsid w:val="00DB7E8C"/>
    <w:rsid w:val="00DB7E9A"/>
    <w:rsid w:val="00DB7EA6"/>
    <w:rsid w:val="00DB7EB5"/>
    <w:rsid w:val="00DC06BF"/>
    <w:rsid w:val="00DC0986"/>
    <w:rsid w:val="00DC0A4B"/>
    <w:rsid w:val="00DC182D"/>
    <w:rsid w:val="00DC199B"/>
    <w:rsid w:val="00DC2A6E"/>
    <w:rsid w:val="00DC2BC1"/>
    <w:rsid w:val="00DC3F07"/>
    <w:rsid w:val="00DC3F1A"/>
    <w:rsid w:val="00DC4E62"/>
    <w:rsid w:val="00DC52B3"/>
    <w:rsid w:val="00DC58D3"/>
    <w:rsid w:val="00DC6204"/>
    <w:rsid w:val="00DC670C"/>
    <w:rsid w:val="00DC6C4A"/>
    <w:rsid w:val="00DC705F"/>
    <w:rsid w:val="00DC75EC"/>
    <w:rsid w:val="00DD0375"/>
    <w:rsid w:val="00DD0984"/>
    <w:rsid w:val="00DD11EA"/>
    <w:rsid w:val="00DD1E05"/>
    <w:rsid w:val="00DD2560"/>
    <w:rsid w:val="00DD25A1"/>
    <w:rsid w:val="00DD26AD"/>
    <w:rsid w:val="00DD28A2"/>
    <w:rsid w:val="00DD2AAA"/>
    <w:rsid w:val="00DD3458"/>
    <w:rsid w:val="00DD3C05"/>
    <w:rsid w:val="00DD3C98"/>
    <w:rsid w:val="00DD4330"/>
    <w:rsid w:val="00DD4B67"/>
    <w:rsid w:val="00DD509B"/>
    <w:rsid w:val="00DD5201"/>
    <w:rsid w:val="00DD5204"/>
    <w:rsid w:val="00DD537F"/>
    <w:rsid w:val="00DD5749"/>
    <w:rsid w:val="00DD5D1B"/>
    <w:rsid w:val="00DD6121"/>
    <w:rsid w:val="00DD6CD0"/>
    <w:rsid w:val="00DD6E45"/>
    <w:rsid w:val="00DD7590"/>
    <w:rsid w:val="00DD75C9"/>
    <w:rsid w:val="00DD76A4"/>
    <w:rsid w:val="00DE131F"/>
    <w:rsid w:val="00DE17CD"/>
    <w:rsid w:val="00DE1AA6"/>
    <w:rsid w:val="00DE1F72"/>
    <w:rsid w:val="00DE20D5"/>
    <w:rsid w:val="00DE2520"/>
    <w:rsid w:val="00DE262D"/>
    <w:rsid w:val="00DE34AC"/>
    <w:rsid w:val="00DE40E9"/>
    <w:rsid w:val="00DE4177"/>
    <w:rsid w:val="00DE55A7"/>
    <w:rsid w:val="00DE5884"/>
    <w:rsid w:val="00DE5CC0"/>
    <w:rsid w:val="00DE5E77"/>
    <w:rsid w:val="00DE64AE"/>
    <w:rsid w:val="00DE69B9"/>
    <w:rsid w:val="00DE6BE1"/>
    <w:rsid w:val="00DE77EF"/>
    <w:rsid w:val="00DE7A9E"/>
    <w:rsid w:val="00DF0548"/>
    <w:rsid w:val="00DF0591"/>
    <w:rsid w:val="00DF13D2"/>
    <w:rsid w:val="00DF1573"/>
    <w:rsid w:val="00DF1D28"/>
    <w:rsid w:val="00DF275E"/>
    <w:rsid w:val="00DF28C0"/>
    <w:rsid w:val="00DF2B48"/>
    <w:rsid w:val="00DF3AD9"/>
    <w:rsid w:val="00DF3D94"/>
    <w:rsid w:val="00DF3E20"/>
    <w:rsid w:val="00DF403F"/>
    <w:rsid w:val="00DF4807"/>
    <w:rsid w:val="00DF5250"/>
    <w:rsid w:val="00DF572D"/>
    <w:rsid w:val="00DF62EC"/>
    <w:rsid w:val="00DF6BE9"/>
    <w:rsid w:val="00E0024F"/>
    <w:rsid w:val="00E009FC"/>
    <w:rsid w:val="00E00C81"/>
    <w:rsid w:val="00E00DF7"/>
    <w:rsid w:val="00E010AE"/>
    <w:rsid w:val="00E0130F"/>
    <w:rsid w:val="00E018ED"/>
    <w:rsid w:val="00E01976"/>
    <w:rsid w:val="00E01FDC"/>
    <w:rsid w:val="00E0207B"/>
    <w:rsid w:val="00E0237A"/>
    <w:rsid w:val="00E02508"/>
    <w:rsid w:val="00E02CED"/>
    <w:rsid w:val="00E033D9"/>
    <w:rsid w:val="00E0340D"/>
    <w:rsid w:val="00E03761"/>
    <w:rsid w:val="00E03A91"/>
    <w:rsid w:val="00E0462C"/>
    <w:rsid w:val="00E04660"/>
    <w:rsid w:val="00E04BA5"/>
    <w:rsid w:val="00E04C7E"/>
    <w:rsid w:val="00E04CC6"/>
    <w:rsid w:val="00E04CEB"/>
    <w:rsid w:val="00E0570D"/>
    <w:rsid w:val="00E068EF"/>
    <w:rsid w:val="00E06D6C"/>
    <w:rsid w:val="00E06D79"/>
    <w:rsid w:val="00E06DA7"/>
    <w:rsid w:val="00E07C2D"/>
    <w:rsid w:val="00E10CE0"/>
    <w:rsid w:val="00E1154E"/>
    <w:rsid w:val="00E11A7A"/>
    <w:rsid w:val="00E11DE8"/>
    <w:rsid w:val="00E12309"/>
    <w:rsid w:val="00E128B6"/>
    <w:rsid w:val="00E12A36"/>
    <w:rsid w:val="00E12B4F"/>
    <w:rsid w:val="00E12BD8"/>
    <w:rsid w:val="00E130DC"/>
    <w:rsid w:val="00E1311E"/>
    <w:rsid w:val="00E13207"/>
    <w:rsid w:val="00E1412F"/>
    <w:rsid w:val="00E14179"/>
    <w:rsid w:val="00E14264"/>
    <w:rsid w:val="00E1450D"/>
    <w:rsid w:val="00E148F7"/>
    <w:rsid w:val="00E15C6F"/>
    <w:rsid w:val="00E16257"/>
    <w:rsid w:val="00E16631"/>
    <w:rsid w:val="00E16657"/>
    <w:rsid w:val="00E16725"/>
    <w:rsid w:val="00E1705E"/>
    <w:rsid w:val="00E172B4"/>
    <w:rsid w:val="00E177C7"/>
    <w:rsid w:val="00E17AEA"/>
    <w:rsid w:val="00E2000F"/>
    <w:rsid w:val="00E203F2"/>
    <w:rsid w:val="00E216A4"/>
    <w:rsid w:val="00E222BC"/>
    <w:rsid w:val="00E22351"/>
    <w:rsid w:val="00E238B8"/>
    <w:rsid w:val="00E24363"/>
    <w:rsid w:val="00E247D1"/>
    <w:rsid w:val="00E25EDD"/>
    <w:rsid w:val="00E25F51"/>
    <w:rsid w:val="00E26562"/>
    <w:rsid w:val="00E26E37"/>
    <w:rsid w:val="00E270C7"/>
    <w:rsid w:val="00E2725A"/>
    <w:rsid w:val="00E273CB"/>
    <w:rsid w:val="00E276F6"/>
    <w:rsid w:val="00E277B5"/>
    <w:rsid w:val="00E30580"/>
    <w:rsid w:val="00E30E47"/>
    <w:rsid w:val="00E3106D"/>
    <w:rsid w:val="00E314A4"/>
    <w:rsid w:val="00E31B2D"/>
    <w:rsid w:val="00E32089"/>
    <w:rsid w:val="00E3219C"/>
    <w:rsid w:val="00E32668"/>
    <w:rsid w:val="00E34687"/>
    <w:rsid w:val="00E349D9"/>
    <w:rsid w:val="00E34DBE"/>
    <w:rsid w:val="00E35BA7"/>
    <w:rsid w:val="00E35E65"/>
    <w:rsid w:val="00E35F2B"/>
    <w:rsid w:val="00E361C5"/>
    <w:rsid w:val="00E36F01"/>
    <w:rsid w:val="00E40869"/>
    <w:rsid w:val="00E41488"/>
    <w:rsid w:val="00E41B3C"/>
    <w:rsid w:val="00E41E8B"/>
    <w:rsid w:val="00E41FEF"/>
    <w:rsid w:val="00E421F1"/>
    <w:rsid w:val="00E426C5"/>
    <w:rsid w:val="00E4331E"/>
    <w:rsid w:val="00E43322"/>
    <w:rsid w:val="00E4393B"/>
    <w:rsid w:val="00E4439A"/>
    <w:rsid w:val="00E44AEA"/>
    <w:rsid w:val="00E45829"/>
    <w:rsid w:val="00E45A21"/>
    <w:rsid w:val="00E46253"/>
    <w:rsid w:val="00E464F3"/>
    <w:rsid w:val="00E46AAF"/>
    <w:rsid w:val="00E46BF6"/>
    <w:rsid w:val="00E4723B"/>
    <w:rsid w:val="00E47599"/>
    <w:rsid w:val="00E47CE8"/>
    <w:rsid w:val="00E47E68"/>
    <w:rsid w:val="00E47EA1"/>
    <w:rsid w:val="00E505A7"/>
    <w:rsid w:val="00E50C51"/>
    <w:rsid w:val="00E50CB4"/>
    <w:rsid w:val="00E52710"/>
    <w:rsid w:val="00E52758"/>
    <w:rsid w:val="00E53112"/>
    <w:rsid w:val="00E53184"/>
    <w:rsid w:val="00E53190"/>
    <w:rsid w:val="00E53206"/>
    <w:rsid w:val="00E53749"/>
    <w:rsid w:val="00E539BD"/>
    <w:rsid w:val="00E53C9F"/>
    <w:rsid w:val="00E540DD"/>
    <w:rsid w:val="00E54500"/>
    <w:rsid w:val="00E54834"/>
    <w:rsid w:val="00E560D4"/>
    <w:rsid w:val="00E571DA"/>
    <w:rsid w:val="00E605A2"/>
    <w:rsid w:val="00E60EDC"/>
    <w:rsid w:val="00E60FEB"/>
    <w:rsid w:val="00E618F0"/>
    <w:rsid w:val="00E6206A"/>
    <w:rsid w:val="00E622E3"/>
    <w:rsid w:val="00E62F2A"/>
    <w:rsid w:val="00E640E6"/>
    <w:rsid w:val="00E641D0"/>
    <w:rsid w:val="00E643A4"/>
    <w:rsid w:val="00E648AB"/>
    <w:rsid w:val="00E64E8A"/>
    <w:rsid w:val="00E6534B"/>
    <w:rsid w:val="00E65623"/>
    <w:rsid w:val="00E65E1E"/>
    <w:rsid w:val="00E66157"/>
    <w:rsid w:val="00E66D73"/>
    <w:rsid w:val="00E673A0"/>
    <w:rsid w:val="00E6764D"/>
    <w:rsid w:val="00E714DA"/>
    <w:rsid w:val="00E71957"/>
    <w:rsid w:val="00E71C0A"/>
    <w:rsid w:val="00E7228B"/>
    <w:rsid w:val="00E725CE"/>
    <w:rsid w:val="00E72705"/>
    <w:rsid w:val="00E72CF5"/>
    <w:rsid w:val="00E72F26"/>
    <w:rsid w:val="00E7305D"/>
    <w:rsid w:val="00E73D4E"/>
    <w:rsid w:val="00E742A3"/>
    <w:rsid w:val="00E74786"/>
    <w:rsid w:val="00E74A3F"/>
    <w:rsid w:val="00E74EFB"/>
    <w:rsid w:val="00E753DE"/>
    <w:rsid w:val="00E75CC8"/>
    <w:rsid w:val="00E761CF"/>
    <w:rsid w:val="00E76E11"/>
    <w:rsid w:val="00E800C9"/>
    <w:rsid w:val="00E800F9"/>
    <w:rsid w:val="00E801F2"/>
    <w:rsid w:val="00E807EE"/>
    <w:rsid w:val="00E813FB"/>
    <w:rsid w:val="00E825F4"/>
    <w:rsid w:val="00E830FD"/>
    <w:rsid w:val="00E83570"/>
    <w:rsid w:val="00E83596"/>
    <w:rsid w:val="00E8379C"/>
    <w:rsid w:val="00E83A17"/>
    <w:rsid w:val="00E84586"/>
    <w:rsid w:val="00E84724"/>
    <w:rsid w:val="00E847C2"/>
    <w:rsid w:val="00E84FAC"/>
    <w:rsid w:val="00E8589D"/>
    <w:rsid w:val="00E87948"/>
    <w:rsid w:val="00E87CB1"/>
    <w:rsid w:val="00E90032"/>
    <w:rsid w:val="00E906F0"/>
    <w:rsid w:val="00E908FD"/>
    <w:rsid w:val="00E90FB8"/>
    <w:rsid w:val="00E9186E"/>
    <w:rsid w:val="00E91A2B"/>
    <w:rsid w:val="00E91BF1"/>
    <w:rsid w:val="00E92016"/>
    <w:rsid w:val="00E92805"/>
    <w:rsid w:val="00E92EA7"/>
    <w:rsid w:val="00E93AC2"/>
    <w:rsid w:val="00E93B60"/>
    <w:rsid w:val="00E93ED2"/>
    <w:rsid w:val="00E94202"/>
    <w:rsid w:val="00E94932"/>
    <w:rsid w:val="00E94B84"/>
    <w:rsid w:val="00E9538F"/>
    <w:rsid w:val="00E954E1"/>
    <w:rsid w:val="00E95765"/>
    <w:rsid w:val="00E966D4"/>
    <w:rsid w:val="00E96B28"/>
    <w:rsid w:val="00E972BD"/>
    <w:rsid w:val="00E97768"/>
    <w:rsid w:val="00E97EDD"/>
    <w:rsid w:val="00EA0019"/>
    <w:rsid w:val="00EA08E4"/>
    <w:rsid w:val="00EA0B37"/>
    <w:rsid w:val="00EA0EFD"/>
    <w:rsid w:val="00EA1CAA"/>
    <w:rsid w:val="00EA2349"/>
    <w:rsid w:val="00EA2569"/>
    <w:rsid w:val="00EA2FD4"/>
    <w:rsid w:val="00EA3294"/>
    <w:rsid w:val="00EA3D40"/>
    <w:rsid w:val="00EA4D56"/>
    <w:rsid w:val="00EA4D7C"/>
    <w:rsid w:val="00EA557C"/>
    <w:rsid w:val="00EA55A8"/>
    <w:rsid w:val="00EA7883"/>
    <w:rsid w:val="00EB0D12"/>
    <w:rsid w:val="00EB1861"/>
    <w:rsid w:val="00EB1B78"/>
    <w:rsid w:val="00EB2678"/>
    <w:rsid w:val="00EB27CA"/>
    <w:rsid w:val="00EB2D0D"/>
    <w:rsid w:val="00EB3727"/>
    <w:rsid w:val="00EB3979"/>
    <w:rsid w:val="00EB3CDA"/>
    <w:rsid w:val="00EB3E05"/>
    <w:rsid w:val="00EB4335"/>
    <w:rsid w:val="00EB4705"/>
    <w:rsid w:val="00EB488B"/>
    <w:rsid w:val="00EB4C66"/>
    <w:rsid w:val="00EB58F1"/>
    <w:rsid w:val="00EB62C1"/>
    <w:rsid w:val="00EB6483"/>
    <w:rsid w:val="00EB70B3"/>
    <w:rsid w:val="00EB76ED"/>
    <w:rsid w:val="00EB7AAA"/>
    <w:rsid w:val="00EB7EAB"/>
    <w:rsid w:val="00EC009C"/>
    <w:rsid w:val="00EC0ED5"/>
    <w:rsid w:val="00EC10BA"/>
    <w:rsid w:val="00EC126C"/>
    <w:rsid w:val="00EC183D"/>
    <w:rsid w:val="00EC1884"/>
    <w:rsid w:val="00EC3A33"/>
    <w:rsid w:val="00EC43EA"/>
    <w:rsid w:val="00EC4512"/>
    <w:rsid w:val="00EC517D"/>
    <w:rsid w:val="00EC5436"/>
    <w:rsid w:val="00EC591E"/>
    <w:rsid w:val="00EC5987"/>
    <w:rsid w:val="00EC5DCB"/>
    <w:rsid w:val="00EC5EA9"/>
    <w:rsid w:val="00EC69D5"/>
    <w:rsid w:val="00EC6F90"/>
    <w:rsid w:val="00EC6FE4"/>
    <w:rsid w:val="00EC70C3"/>
    <w:rsid w:val="00EC733B"/>
    <w:rsid w:val="00EC745F"/>
    <w:rsid w:val="00EC7E44"/>
    <w:rsid w:val="00ED09BF"/>
    <w:rsid w:val="00ED1169"/>
    <w:rsid w:val="00ED173F"/>
    <w:rsid w:val="00ED17FB"/>
    <w:rsid w:val="00ED1E21"/>
    <w:rsid w:val="00ED28C0"/>
    <w:rsid w:val="00ED3E32"/>
    <w:rsid w:val="00ED3EF2"/>
    <w:rsid w:val="00ED422E"/>
    <w:rsid w:val="00ED449F"/>
    <w:rsid w:val="00ED4934"/>
    <w:rsid w:val="00ED495C"/>
    <w:rsid w:val="00ED4D06"/>
    <w:rsid w:val="00ED5550"/>
    <w:rsid w:val="00ED579D"/>
    <w:rsid w:val="00ED6BB0"/>
    <w:rsid w:val="00ED7BFA"/>
    <w:rsid w:val="00EE02A4"/>
    <w:rsid w:val="00EE03DB"/>
    <w:rsid w:val="00EE049C"/>
    <w:rsid w:val="00EE0659"/>
    <w:rsid w:val="00EE16DC"/>
    <w:rsid w:val="00EE171A"/>
    <w:rsid w:val="00EE171B"/>
    <w:rsid w:val="00EE19C8"/>
    <w:rsid w:val="00EE2171"/>
    <w:rsid w:val="00EE261A"/>
    <w:rsid w:val="00EE2670"/>
    <w:rsid w:val="00EE2CD5"/>
    <w:rsid w:val="00EE2D12"/>
    <w:rsid w:val="00EE2D39"/>
    <w:rsid w:val="00EE2E5C"/>
    <w:rsid w:val="00EE32AC"/>
    <w:rsid w:val="00EE33E6"/>
    <w:rsid w:val="00EE4207"/>
    <w:rsid w:val="00EE428F"/>
    <w:rsid w:val="00EE4444"/>
    <w:rsid w:val="00EE47CF"/>
    <w:rsid w:val="00EE6157"/>
    <w:rsid w:val="00EE6596"/>
    <w:rsid w:val="00EE692F"/>
    <w:rsid w:val="00EE6FC8"/>
    <w:rsid w:val="00EE727D"/>
    <w:rsid w:val="00EE733E"/>
    <w:rsid w:val="00EE75E8"/>
    <w:rsid w:val="00EE76C8"/>
    <w:rsid w:val="00EF0238"/>
    <w:rsid w:val="00EF0F9E"/>
    <w:rsid w:val="00EF1E0C"/>
    <w:rsid w:val="00EF2489"/>
    <w:rsid w:val="00EF2867"/>
    <w:rsid w:val="00EF2893"/>
    <w:rsid w:val="00EF2A81"/>
    <w:rsid w:val="00EF2A9B"/>
    <w:rsid w:val="00EF2DB5"/>
    <w:rsid w:val="00EF2E80"/>
    <w:rsid w:val="00EF3103"/>
    <w:rsid w:val="00EF35EB"/>
    <w:rsid w:val="00EF35F1"/>
    <w:rsid w:val="00EF3794"/>
    <w:rsid w:val="00EF3DB0"/>
    <w:rsid w:val="00EF45A4"/>
    <w:rsid w:val="00EF4B07"/>
    <w:rsid w:val="00EF4D3D"/>
    <w:rsid w:val="00EF50A1"/>
    <w:rsid w:val="00EF5131"/>
    <w:rsid w:val="00EF5AE5"/>
    <w:rsid w:val="00EF5B78"/>
    <w:rsid w:val="00EF6742"/>
    <w:rsid w:val="00EF69C4"/>
    <w:rsid w:val="00EF6B23"/>
    <w:rsid w:val="00EF74E5"/>
    <w:rsid w:val="00EF7AA3"/>
    <w:rsid w:val="00F0075E"/>
    <w:rsid w:val="00F00DA7"/>
    <w:rsid w:val="00F00FE4"/>
    <w:rsid w:val="00F0268C"/>
    <w:rsid w:val="00F0286B"/>
    <w:rsid w:val="00F02DE3"/>
    <w:rsid w:val="00F02E18"/>
    <w:rsid w:val="00F03C03"/>
    <w:rsid w:val="00F04661"/>
    <w:rsid w:val="00F0518E"/>
    <w:rsid w:val="00F057DA"/>
    <w:rsid w:val="00F05B8A"/>
    <w:rsid w:val="00F069AC"/>
    <w:rsid w:val="00F077A8"/>
    <w:rsid w:val="00F07ED7"/>
    <w:rsid w:val="00F106AA"/>
    <w:rsid w:val="00F10B96"/>
    <w:rsid w:val="00F10DCC"/>
    <w:rsid w:val="00F11DF5"/>
    <w:rsid w:val="00F12791"/>
    <w:rsid w:val="00F13102"/>
    <w:rsid w:val="00F13AE3"/>
    <w:rsid w:val="00F14149"/>
    <w:rsid w:val="00F148AE"/>
    <w:rsid w:val="00F148F7"/>
    <w:rsid w:val="00F14AB7"/>
    <w:rsid w:val="00F15613"/>
    <w:rsid w:val="00F15EBF"/>
    <w:rsid w:val="00F16962"/>
    <w:rsid w:val="00F16C94"/>
    <w:rsid w:val="00F16D0B"/>
    <w:rsid w:val="00F170FE"/>
    <w:rsid w:val="00F1767E"/>
    <w:rsid w:val="00F178DC"/>
    <w:rsid w:val="00F17AE8"/>
    <w:rsid w:val="00F17C9D"/>
    <w:rsid w:val="00F17D06"/>
    <w:rsid w:val="00F203B7"/>
    <w:rsid w:val="00F20B37"/>
    <w:rsid w:val="00F20B6B"/>
    <w:rsid w:val="00F210FD"/>
    <w:rsid w:val="00F2188B"/>
    <w:rsid w:val="00F21FFA"/>
    <w:rsid w:val="00F22489"/>
    <w:rsid w:val="00F225F1"/>
    <w:rsid w:val="00F22CC0"/>
    <w:rsid w:val="00F235C6"/>
    <w:rsid w:val="00F237DF"/>
    <w:rsid w:val="00F23E12"/>
    <w:rsid w:val="00F247CE"/>
    <w:rsid w:val="00F24A15"/>
    <w:rsid w:val="00F24A49"/>
    <w:rsid w:val="00F24E08"/>
    <w:rsid w:val="00F2503D"/>
    <w:rsid w:val="00F254C1"/>
    <w:rsid w:val="00F2561A"/>
    <w:rsid w:val="00F25CB6"/>
    <w:rsid w:val="00F26110"/>
    <w:rsid w:val="00F2634A"/>
    <w:rsid w:val="00F264AC"/>
    <w:rsid w:val="00F26F1A"/>
    <w:rsid w:val="00F27765"/>
    <w:rsid w:val="00F2798A"/>
    <w:rsid w:val="00F27BEB"/>
    <w:rsid w:val="00F27C22"/>
    <w:rsid w:val="00F27ED5"/>
    <w:rsid w:val="00F30022"/>
    <w:rsid w:val="00F30269"/>
    <w:rsid w:val="00F3056F"/>
    <w:rsid w:val="00F30B28"/>
    <w:rsid w:val="00F30F84"/>
    <w:rsid w:val="00F31AF9"/>
    <w:rsid w:val="00F32106"/>
    <w:rsid w:val="00F32238"/>
    <w:rsid w:val="00F325C4"/>
    <w:rsid w:val="00F3264B"/>
    <w:rsid w:val="00F32B8E"/>
    <w:rsid w:val="00F33717"/>
    <w:rsid w:val="00F33AB9"/>
    <w:rsid w:val="00F33EEB"/>
    <w:rsid w:val="00F34335"/>
    <w:rsid w:val="00F343E0"/>
    <w:rsid w:val="00F34C3D"/>
    <w:rsid w:val="00F34DFA"/>
    <w:rsid w:val="00F3529A"/>
    <w:rsid w:val="00F35904"/>
    <w:rsid w:val="00F365FB"/>
    <w:rsid w:val="00F37032"/>
    <w:rsid w:val="00F3762D"/>
    <w:rsid w:val="00F37E3F"/>
    <w:rsid w:val="00F37EF4"/>
    <w:rsid w:val="00F4049D"/>
    <w:rsid w:val="00F4186A"/>
    <w:rsid w:val="00F41A57"/>
    <w:rsid w:val="00F4210C"/>
    <w:rsid w:val="00F422C4"/>
    <w:rsid w:val="00F42907"/>
    <w:rsid w:val="00F42DDE"/>
    <w:rsid w:val="00F432A0"/>
    <w:rsid w:val="00F4397D"/>
    <w:rsid w:val="00F43B68"/>
    <w:rsid w:val="00F441CC"/>
    <w:rsid w:val="00F44860"/>
    <w:rsid w:val="00F459E8"/>
    <w:rsid w:val="00F4618A"/>
    <w:rsid w:val="00F46DA0"/>
    <w:rsid w:val="00F478B9"/>
    <w:rsid w:val="00F47D3E"/>
    <w:rsid w:val="00F47FE5"/>
    <w:rsid w:val="00F50C55"/>
    <w:rsid w:val="00F514BA"/>
    <w:rsid w:val="00F517A7"/>
    <w:rsid w:val="00F52168"/>
    <w:rsid w:val="00F533C6"/>
    <w:rsid w:val="00F535AD"/>
    <w:rsid w:val="00F53DDC"/>
    <w:rsid w:val="00F53EFD"/>
    <w:rsid w:val="00F546C8"/>
    <w:rsid w:val="00F54A15"/>
    <w:rsid w:val="00F54F1E"/>
    <w:rsid w:val="00F554D4"/>
    <w:rsid w:val="00F55580"/>
    <w:rsid w:val="00F55CED"/>
    <w:rsid w:val="00F55E32"/>
    <w:rsid w:val="00F55F6C"/>
    <w:rsid w:val="00F56002"/>
    <w:rsid w:val="00F5600D"/>
    <w:rsid w:val="00F561D3"/>
    <w:rsid w:val="00F5665A"/>
    <w:rsid w:val="00F56A60"/>
    <w:rsid w:val="00F56B63"/>
    <w:rsid w:val="00F570C5"/>
    <w:rsid w:val="00F57300"/>
    <w:rsid w:val="00F57C07"/>
    <w:rsid w:val="00F57C8B"/>
    <w:rsid w:val="00F602C1"/>
    <w:rsid w:val="00F602CB"/>
    <w:rsid w:val="00F602D4"/>
    <w:rsid w:val="00F60A2A"/>
    <w:rsid w:val="00F61AD8"/>
    <w:rsid w:val="00F61C60"/>
    <w:rsid w:val="00F61EDA"/>
    <w:rsid w:val="00F61F06"/>
    <w:rsid w:val="00F62A0F"/>
    <w:rsid w:val="00F64250"/>
    <w:rsid w:val="00F647E8"/>
    <w:rsid w:val="00F65DAD"/>
    <w:rsid w:val="00F65DE1"/>
    <w:rsid w:val="00F66014"/>
    <w:rsid w:val="00F66F6C"/>
    <w:rsid w:val="00F67516"/>
    <w:rsid w:val="00F67DD7"/>
    <w:rsid w:val="00F67DFE"/>
    <w:rsid w:val="00F702CF"/>
    <w:rsid w:val="00F7048C"/>
    <w:rsid w:val="00F70A37"/>
    <w:rsid w:val="00F712E1"/>
    <w:rsid w:val="00F72C06"/>
    <w:rsid w:val="00F72F0A"/>
    <w:rsid w:val="00F73018"/>
    <w:rsid w:val="00F7357E"/>
    <w:rsid w:val="00F73891"/>
    <w:rsid w:val="00F74CAA"/>
    <w:rsid w:val="00F755A6"/>
    <w:rsid w:val="00F761D1"/>
    <w:rsid w:val="00F761F5"/>
    <w:rsid w:val="00F7651B"/>
    <w:rsid w:val="00F77865"/>
    <w:rsid w:val="00F77C23"/>
    <w:rsid w:val="00F800E2"/>
    <w:rsid w:val="00F80727"/>
    <w:rsid w:val="00F80CEE"/>
    <w:rsid w:val="00F81094"/>
    <w:rsid w:val="00F81380"/>
    <w:rsid w:val="00F8165B"/>
    <w:rsid w:val="00F81800"/>
    <w:rsid w:val="00F81E0F"/>
    <w:rsid w:val="00F8264A"/>
    <w:rsid w:val="00F8270F"/>
    <w:rsid w:val="00F82DA6"/>
    <w:rsid w:val="00F83ACA"/>
    <w:rsid w:val="00F83EFB"/>
    <w:rsid w:val="00F847CF"/>
    <w:rsid w:val="00F84979"/>
    <w:rsid w:val="00F84D03"/>
    <w:rsid w:val="00F84D46"/>
    <w:rsid w:val="00F85091"/>
    <w:rsid w:val="00F85301"/>
    <w:rsid w:val="00F8547A"/>
    <w:rsid w:val="00F8577D"/>
    <w:rsid w:val="00F86486"/>
    <w:rsid w:val="00F866C2"/>
    <w:rsid w:val="00F86DF1"/>
    <w:rsid w:val="00F86F3D"/>
    <w:rsid w:val="00F86FF1"/>
    <w:rsid w:val="00F874DC"/>
    <w:rsid w:val="00F879FA"/>
    <w:rsid w:val="00F90665"/>
    <w:rsid w:val="00F90838"/>
    <w:rsid w:val="00F90B9F"/>
    <w:rsid w:val="00F91CCA"/>
    <w:rsid w:val="00F91FA5"/>
    <w:rsid w:val="00F92E98"/>
    <w:rsid w:val="00F933AB"/>
    <w:rsid w:val="00F93495"/>
    <w:rsid w:val="00F938DA"/>
    <w:rsid w:val="00F93E77"/>
    <w:rsid w:val="00F94591"/>
    <w:rsid w:val="00F95874"/>
    <w:rsid w:val="00F9595D"/>
    <w:rsid w:val="00F95C7C"/>
    <w:rsid w:val="00F9602D"/>
    <w:rsid w:val="00F96279"/>
    <w:rsid w:val="00F962B5"/>
    <w:rsid w:val="00F96340"/>
    <w:rsid w:val="00F963FE"/>
    <w:rsid w:val="00F96C83"/>
    <w:rsid w:val="00F97CA8"/>
    <w:rsid w:val="00FA05B4"/>
    <w:rsid w:val="00FA08CB"/>
    <w:rsid w:val="00FA107C"/>
    <w:rsid w:val="00FA126D"/>
    <w:rsid w:val="00FA12BC"/>
    <w:rsid w:val="00FA17A1"/>
    <w:rsid w:val="00FA1EEF"/>
    <w:rsid w:val="00FA257D"/>
    <w:rsid w:val="00FA2D3C"/>
    <w:rsid w:val="00FA3290"/>
    <w:rsid w:val="00FA3560"/>
    <w:rsid w:val="00FA358F"/>
    <w:rsid w:val="00FA387E"/>
    <w:rsid w:val="00FA3AA9"/>
    <w:rsid w:val="00FA3ABE"/>
    <w:rsid w:val="00FA4176"/>
    <w:rsid w:val="00FA48AB"/>
    <w:rsid w:val="00FA5B84"/>
    <w:rsid w:val="00FA65DD"/>
    <w:rsid w:val="00FA66EF"/>
    <w:rsid w:val="00FA6A94"/>
    <w:rsid w:val="00FA6C78"/>
    <w:rsid w:val="00FA7024"/>
    <w:rsid w:val="00FA72A2"/>
    <w:rsid w:val="00FA754F"/>
    <w:rsid w:val="00FA7E11"/>
    <w:rsid w:val="00FB0032"/>
    <w:rsid w:val="00FB05B1"/>
    <w:rsid w:val="00FB085C"/>
    <w:rsid w:val="00FB0CEE"/>
    <w:rsid w:val="00FB0D66"/>
    <w:rsid w:val="00FB1693"/>
    <w:rsid w:val="00FB183C"/>
    <w:rsid w:val="00FB24BF"/>
    <w:rsid w:val="00FB26A8"/>
    <w:rsid w:val="00FB2BCA"/>
    <w:rsid w:val="00FB32B1"/>
    <w:rsid w:val="00FB3B5D"/>
    <w:rsid w:val="00FB3B89"/>
    <w:rsid w:val="00FB3C9B"/>
    <w:rsid w:val="00FB3D85"/>
    <w:rsid w:val="00FB4134"/>
    <w:rsid w:val="00FB4325"/>
    <w:rsid w:val="00FB4D3A"/>
    <w:rsid w:val="00FB5023"/>
    <w:rsid w:val="00FB54F4"/>
    <w:rsid w:val="00FB5B2A"/>
    <w:rsid w:val="00FB662B"/>
    <w:rsid w:val="00FB7770"/>
    <w:rsid w:val="00FB7BDA"/>
    <w:rsid w:val="00FC0694"/>
    <w:rsid w:val="00FC0FA6"/>
    <w:rsid w:val="00FC1489"/>
    <w:rsid w:val="00FC16D2"/>
    <w:rsid w:val="00FC16E8"/>
    <w:rsid w:val="00FC171A"/>
    <w:rsid w:val="00FC1A7D"/>
    <w:rsid w:val="00FC206F"/>
    <w:rsid w:val="00FC2F5B"/>
    <w:rsid w:val="00FC3735"/>
    <w:rsid w:val="00FC3B54"/>
    <w:rsid w:val="00FC4AE3"/>
    <w:rsid w:val="00FC5560"/>
    <w:rsid w:val="00FC5856"/>
    <w:rsid w:val="00FC5DBF"/>
    <w:rsid w:val="00FC677E"/>
    <w:rsid w:val="00FC6982"/>
    <w:rsid w:val="00FC6E5F"/>
    <w:rsid w:val="00FC6F90"/>
    <w:rsid w:val="00FC6FB6"/>
    <w:rsid w:val="00FC7455"/>
    <w:rsid w:val="00FC7462"/>
    <w:rsid w:val="00FC75C3"/>
    <w:rsid w:val="00FC7A7A"/>
    <w:rsid w:val="00FC7A96"/>
    <w:rsid w:val="00FC7AD1"/>
    <w:rsid w:val="00FC7C03"/>
    <w:rsid w:val="00FC7D5F"/>
    <w:rsid w:val="00FD053A"/>
    <w:rsid w:val="00FD0672"/>
    <w:rsid w:val="00FD092C"/>
    <w:rsid w:val="00FD0D2D"/>
    <w:rsid w:val="00FD0EA2"/>
    <w:rsid w:val="00FD1075"/>
    <w:rsid w:val="00FD148F"/>
    <w:rsid w:val="00FD158E"/>
    <w:rsid w:val="00FD2301"/>
    <w:rsid w:val="00FD25F8"/>
    <w:rsid w:val="00FD2E0D"/>
    <w:rsid w:val="00FD356D"/>
    <w:rsid w:val="00FD3BEE"/>
    <w:rsid w:val="00FD41BE"/>
    <w:rsid w:val="00FD5773"/>
    <w:rsid w:val="00FD63AB"/>
    <w:rsid w:val="00FD65DF"/>
    <w:rsid w:val="00FD678B"/>
    <w:rsid w:val="00FD6C95"/>
    <w:rsid w:val="00FE0091"/>
    <w:rsid w:val="00FE06B3"/>
    <w:rsid w:val="00FE0C53"/>
    <w:rsid w:val="00FE13C9"/>
    <w:rsid w:val="00FE165D"/>
    <w:rsid w:val="00FE1955"/>
    <w:rsid w:val="00FE2A13"/>
    <w:rsid w:val="00FE2B5F"/>
    <w:rsid w:val="00FE2C3F"/>
    <w:rsid w:val="00FE2D74"/>
    <w:rsid w:val="00FE2F26"/>
    <w:rsid w:val="00FE3F1D"/>
    <w:rsid w:val="00FE40BD"/>
    <w:rsid w:val="00FE49C6"/>
    <w:rsid w:val="00FE562A"/>
    <w:rsid w:val="00FE5A81"/>
    <w:rsid w:val="00FE696D"/>
    <w:rsid w:val="00FE6CAB"/>
    <w:rsid w:val="00FF036E"/>
    <w:rsid w:val="00FF0610"/>
    <w:rsid w:val="00FF0839"/>
    <w:rsid w:val="00FF0D04"/>
    <w:rsid w:val="00FF1941"/>
    <w:rsid w:val="00FF230C"/>
    <w:rsid w:val="00FF273B"/>
    <w:rsid w:val="00FF2B16"/>
    <w:rsid w:val="00FF2C9A"/>
    <w:rsid w:val="00FF375E"/>
    <w:rsid w:val="00FF3B56"/>
    <w:rsid w:val="00FF3CCC"/>
    <w:rsid w:val="00FF4F2D"/>
    <w:rsid w:val="00FF52DE"/>
    <w:rsid w:val="00FF54AB"/>
    <w:rsid w:val="00FF5C1F"/>
    <w:rsid w:val="00FF5F85"/>
    <w:rsid w:val="00FF6369"/>
    <w:rsid w:val="00FF6B6E"/>
    <w:rsid w:val="00FF71F9"/>
    <w:rsid w:val="00FF71FA"/>
    <w:rsid w:val="00FF789D"/>
    <w:rsid w:val="00FF7F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0B3"/>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70B3"/>
    <w:pPr>
      <w:autoSpaceDE w:val="0"/>
      <w:autoSpaceDN w:val="0"/>
      <w:adjustRightInd w:val="0"/>
      <w:spacing w:line="240" w:lineRule="auto"/>
    </w:pPr>
    <w:rPr>
      <w:rFonts w:ascii="Times New Roman" w:eastAsia="Calibri" w:hAnsi="Times New Roman" w:cs="Times New Roman"/>
      <w:color w:val="000000"/>
      <w:sz w:val="24"/>
      <w:szCs w:val="24"/>
      <w:lang w:val="en-US"/>
    </w:rPr>
  </w:style>
  <w:style w:type="paragraph" w:styleId="ListParagraph">
    <w:name w:val="List Paragraph"/>
    <w:basedOn w:val="Normal"/>
    <w:uiPriority w:val="34"/>
    <w:qFormat/>
    <w:rsid w:val="00EB70B3"/>
    <w:pPr>
      <w:ind w:left="720"/>
      <w:contextualSpacing/>
    </w:pPr>
  </w:style>
  <w:style w:type="character" w:styleId="Hyperlink">
    <w:name w:val="Hyperlink"/>
    <w:basedOn w:val="DefaultParagraphFont"/>
    <w:uiPriority w:val="99"/>
    <w:unhideWhenUsed/>
    <w:rsid w:val="00EB70B3"/>
    <w:rPr>
      <w:color w:val="0000FF"/>
      <w:u w:val="single"/>
    </w:rPr>
  </w:style>
  <w:style w:type="character" w:customStyle="1" w:styleId="apple-converted-space">
    <w:name w:val="apple-converted-space"/>
    <w:basedOn w:val="DefaultParagraphFont"/>
    <w:rsid w:val="00EB70B3"/>
  </w:style>
  <w:style w:type="paragraph" w:styleId="NormalWeb">
    <w:name w:val="Normal (Web)"/>
    <w:basedOn w:val="Normal"/>
    <w:unhideWhenUsed/>
    <w:rsid w:val="00EB70B3"/>
    <w:pPr>
      <w:spacing w:before="100" w:beforeAutospacing="1" w:after="100" w:afterAutospacing="1" w:line="240" w:lineRule="auto"/>
    </w:pPr>
    <w:rPr>
      <w:rFonts w:ascii="Times New Roman" w:eastAsia="Times New Roman" w:hAnsi="Times New Roman"/>
      <w:sz w:val="24"/>
      <w:szCs w:val="24"/>
    </w:rPr>
  </w:style>
  <w:style w:type="character" w:customStyle="1" w:styleId="highlight">
    <w:name w:val="highlight"/>
    <w:basedOn w:val="DefaultParagraphFont"/>
    <w:rsid w:val="00EB70B3"/>
  </w:style>
  <w:style w:type="paragraph" w:styleId="Header">
    <w:name w:val="header"/>
    <w:basedOn w:val="Normal"/>
    <w:link w:val="HeaderChar"/>
    <w:uiPriority w:val="99"/>
    <w:unhideWhenUsed/>
    <w:rsid w:val="00EB7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0B3"/>
    <w:rPr>
      <w:rFonts w:ascii="Calibri" w:eastAsia="Calibri" w:hAnsi="Calibri" w:cs="Times New Roman"/>
      <w:lang w:val="en-US"/>
    </w:rPr>
  </w:style>
  <w:style w:type="paragraph" w:styleId="BodyTextIndent2">
    <w:name w:val="Body Text Indent 2"/>
    <w:basedOn w:val="Normal"/>
    <w:link w:val="BodyTextIndent2Char"/>
    <w:rsid w:val="00EB70B3"/>
    <w:pPr>
      <w:suppressAutoHyphens/>
      <w:spacing w:after="0" w:line="360" w:lineRule="auto"/>
      <w:ind w:left="360"/>
      <w:jc w:val="both"/>
    </w:pPr>
    <w:rPr>
      <w:rFonts w:ascii="Times New Roman" w:eastAsia="Times New Roman" w:hAnsi="Times New Roman"/>
      <w:sz w:val="28"/>
      <w:szCs w:val="20"/>
      <w:lang w:eastAsia="ar-SA"/>
    </w:rPr>
  </w:style>
  <w:style w:type="character" w:customStyle="1" w:styleId="BodyTextIndent2Char">
    <w:name w:val="Body Text Indent 2 Char"/>
    <w:basedOn w:val="DefaultParagraphFont"/>
    <w:link w:val="BodyTextIndent2"/>
    <w:rsid w:val="00EB70B3"/>
    <w:rPr>
      <w:rFonts w:ascii="Times New Roman" w:eastAsia="Times New Roman" w:hAnsi="Times New Roman" w:cs="Times New Roman"/>
      <w:sz w:val="28"/>
      <w:szCs w:val="20"/>
      <w:lang w:val="en-US" w:eastAsia="ar-SA"/>
    </w:rPr>
  </w:style>
  <w:style w:type="paragraph" w:customStyle="1" w:styleId="BodyA">
    <w:name w:val="Body A"/>
    <w:rsid w:val="00EB70B3"/>
    <w:pPr>
      <w:pBdr>
        <w:top w:val="nil"/>
        <w:left w:val="nil"/>
        <w:bottom w:val="nil"/>
        <w:right w:val="nil"/>
        <w:between w:val="nil"/>
        <w:bar w:val="nil"/>
      </w:pBdr>
      <w:spacing w:line="240" w:lineRule="auto"/>
    </w:pPr>
    <w:rPr>
      <w:rFonts w:ascii="Times New Roman" w:eastAsia="Times New Roman" w:hAnsi="Times New Roman" w:cs="Times New Roman"/>
      <w:color w:val="000000"/>
      <w:sz w:val="24"/>
      <w:szCs w:val="24"/>
      <w:u w:color="000000"/>
      <w:bdr w:val="nil"/>
      <w:lang w:val="en-US"/>
    </w:rPr>
  </w:style>
  <w:style w:type="character" w:customStyle="1" w:styleId="elsevierstylesup">
    <w:name w:val="elsevierstylesup"/>
    <w:basedOn w:val="DefaultParagraphFont"/>
    <w:rsid w:val="00EB70B3"/>
  </w:style>
  <w:style w:type="paragraph" w:customStyle="1" w:styleId="BodyAA">
    <w:name w:val="Body A A"/>
    <w:rsid w:val="00EB70B3"/>
    <w:pPr>
      <w:pBdr>
        <w:top w:val="nil"/>
        <w:left w:val="nil"/>
        <w:bottom w:val="nil"/>
        <w:right w:val="nil"/>
        <w:between w:val="nil"/>
        <w:bar w:val="nil"/>
      </w:pBdr>
      <w:spacing w:after="200" w:line="276" w:lineRule="auto"/>
    </w:pPr>
    <w:rPr>
      <w:rFonts w:ascii="Trebuchet MS" w:eastAsia="Arial Unicode MS" w:hAnsi="Arial Unicode MS" w:cs="Arial Unicode MS"/>
      <w:color w:val="000000"/>
      <w:u w:color="000000"/>
      <w:bdr w:val="nil"/>
      <w:lang w:val="en-US"/>
    </w:rPr>
  </w:style>
  <w:style w:type="paragraph" w:customStyle="1" w:styleId="EndNoteBibliography">
    <w:name w:val="EndNote Bibliography"/>
    <w:basedOn w:val="Normal"/>
    <w:rsid w:val="00EB70B3"/>
    <w:pPr>
      <w:spacing w:line="240" w:lineRule="auto"/>
    </w:pPr>
  </w:style>
  <w:style w:type="paragraph" w:styleId="Footer">
    <w:name w:val="footer"/>
    <w:basedOn w:val="Normal"/>
    <w:link w:val="FooterChar"/>
    <w:uiPriority w:val="99"/>
    <w:unhideWhenUsed/>
    <w:rsid w:val="00EB7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0B3"/>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jpmonline.org/searchresult.asp?search=&amp;author=Shano+Naseem&amp;journal=Y&amp;but_search=Search&amp;entries=10&amp;pg=1&amp;s=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ictionary.reference.com/browse/bl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13705</Words>
  <Characters>78121</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Blood Bank</cp:lastModifiedBy>
  <cp:revision>5</cp:revision>
  <cp:lastPrinted>2017-11-21T04:31:00Z</cp:lastPrinted>
  <dcterms:created xsi:type="dcterms:W3CDTF">2017-11-21T04:24:00Z</dcterms:created>
  <dcterms:modified xsi:type="dcterms:W3CDTF">2018-09-03T05:06:00Z</dcterms:modified>
</cp:coreProperties>
</file>