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794" w:rsidRDefault="003C0794" w:rsidP="000502DF">
      <w:pPr>
        <w:pStyle w:val="Author"/>
        <w:jc w:val="both"/>
        <w:rPr>
          <w:rFonts w:eastAsia="MS Mincho"/>
          <w:sz w:val="18"/>
          <w:szCs w:val="18"/>
        </w:rPr>
      </w:pPr>
    </w:p>
    <w:p w:rsidR="0005164C" w:rsidRPr="0005164C" w:rsidRDefault="0005164C">
      <w:pPr>
        <w:pStyle w:val="Author"/>
        <w:rPr>
          <w:rFonts w:eastAsia="MS Mincho"/>
          <w:sz w:val="18"/>
          <w:szCs w:val="18"/>
        </w:rPr>
        <w:sectPr w:rsidR="0005164C" w:rsidRPr="0005164C" w:rsidSect="00144FA3">
          <w:headerReference w:type="even" r:id="rId7"/>
          <w:headerReference w:type="default" r:id="rId8"/>
          <w:footerReference w:type="default" r:id="rId9"/>
          <w:headerReference w:type="first" r:id="rId10"/>
          <w:pgSz w:w="11909" w:h="16834" w:code="9"/>
          <w:pgMar w:top="1080" w:right="734" w:bottom="2434" w:left="734" w:header="0" w:footer="144" w:gutter="0"/>
          <w:cols w:space="720"/>
          <w:docGrid w:linePitch="360"/>
        </w:sectPr>
      </w:pPr>
    </w:p>
    <w:p w:rsidR="003C0794" w:rsidRPr="009D49B8" w:rsidRDefault="000502DF" w:rsidP="000502DF">
      <w:pPr>
        <w:rPr>
          <w:rFonts w:eastAsia="MS PGothic"/>
          <w:b/>
          <w:color w:val="000000"/>
          <w:sz w:val="22"/>
          <w:szCs w:val="22"/>
        </w:rPr>
      </w:pPr>
      <w:r>
        <w:rPr>
          <w:rFonts w:eastAsia="Calibri"/>
          <w:b/>
          <w:bCs/>
          <w:sz w:val="32"/>
          <w:szCs w:val="32"/>
          <w:lang w:bidi="ar-LY"/>
        </w:rPr>
        <w:lastRenderedPageBreak/>
        <w:t>Effect of Egyptian and Libyan Bee Honeys Phenolic Compounds on Squamous Cell Carcinoma Cell Line Hep-2</w:t>
      </w:r>
    </w:p>
    <w:p w:rsidR="0005164C" w:rsidRPr="009D49B8" w:rsidRDefault="0005164C" w:rsidP="003C0794">
      <w:pPr>
        <w:jc w:val="both"/>
        <w:rPr>
          <w:rFonts w:eastAsia="MS PGothic"/>
          <w:color w:val="000000"/>
          <w:sz w:val="22"/>
          <w:szCs w:val="22"/>
        </w:rPr>
      </w:pPr>
    </w:p>
    <w:p w:rsidR="003C0794" w:rsidRPr="000502DF" w:rsidRDefault="000502DF" w:rsidP="00765EB7">
      <w:pPr>
        <w:shd w:val="clear" w:color="auto" w:fill="FFFFFF"/>
        <w:spacing w:after="150"/>
        <w:jc w:val="both"/>
        <w:rPr>
          <w:sz w:val="19"/>
          <w:szCs w:val="19"/>
          <w:lang w:val="en-IN" w:eastAsia="en-IN"/>
        </w:rPr>
      </w:pPr>
      <w:r w:rsidRPr="000502DF">
        <w:rPr>
          <w:b/>
          <w:bCs/>
          <w:sz w:val="19"/>
          <w:szCs w:val="19"/>
          <w:lang w:val="en-IN" w:eastAsia="en-IN"/>
        </w:rPr>
        <w:t>Abd Elhamid ES</w:t>
      </w:r>
      <w:r w:rsidRPr="000502DF">
        <w:rPr>
          <w:b/>
          <w:bCs/>
          <w:sz w:val="19"/>
          <w:szCs w:val="19"/>
          <w:vertAlign w:val="superscript"/>
          <w:lang w:val="en-IN" w:eastAsia="en-IN"/>
        </w:rPr>
        <w:t>1</w:t>
      </w:r>
      <w:r w:rsidRPr="000502DF">
        <w:rPr>
          <w:b/>
          <w:bCs/>
          <w:sz w:val="19"/>
          <w:szCs w:val="19"/>
          <w:lang w:val="en-IN" w:eastAsia="en-IN"/>
        </w:rPr>
        <w:t xml:space="preserve">, </w:t>
      </w:r>
      <w:r w:rsidRPr="000502DF">
        <w:rPr>
          <w:b/>
          <w:bCs/>
          <w:iCs/>
          <w:sz w:val="19"/>
          <w:szCs w:val="19"/>
        </w:rPr>
        <w:t>El-Gihani</w:t>
      </w:r>
      <w:r w:rsidR="003C0794" w:rsidRPr="000502DF">
        <w:rPr>
          <w:b/>
          <w:bCs/>
          <w:sz w:val="19"/>
          <w:szCs w:val="19"/>
          <w:lang w:val="en-IN" w:eastAsia="en-IN"/>
        </w:rPr>
        <w:t xml:space="preserve"> </w:t>
      </w:r>
      <w:r w:rsidRPr="000502DF">
        <w:rPr>
          <w:b/>
          <w:bCs/>
          <w:sz w:val="19"/>
          <w:szCs w:val="19"/>
          <w:lang w:val="en-IN" w:eastAsia="en-IN"/>
        </w:rPr>
        <w:t>GA</w:t>
      </w:r>
      <w:r w:rsidR="00765EB7">
        <w:rPr>
          <w:b/>
          <w:bCs/>
          <w:sz w:val="19"/>
          <w:szCs w:val="19"/>
          <w:vertAlign w:val="superscript"/>
          <w:lang w:val="en-IN" w:eastAsia="en-IN"/>
        </w:rPr>
        <w:t>2</w:t>
      </w:r>
      <w:r w:rsidRPr="000502DF">
        <w:rPr>
          <w:b/>
          <w:bCs/>
          <w:sz w:val="19"/>
          <w:szCs w:val="19"/>
          <w:lang w:val="en-IN" w:eastAsia="en-IN"/>
        </w:rPr>
        <w:t>, El-Malahy MH</w:t>
      </w:r>
      <w:r w:rsidR="00765EB7">
        <w:rPr>
          <w:b/>
          <w:bCs/>
          <w:sz w:val="19"/>
          <w:szCs w:val="19"/>
          <w:vertAlign w:val="superscript"/>
          <w:lang w:val="en-IN" w:eastAsia="en-IN"/>
        </w:rPr>
        <w:t>3</w:t>
      </w:r>
      <w:r w:rsidRPr="000502DF">
        <w:rPr>
          <w:b/>
          <w:bCs/>
          <w:sz w:val="19"/>
          <w:szCs w:val="19"/>
          <w:lang w:val="en-IN" w:eastAsia="en-IN"/>
        </w:rPr>
        <w:t>, El-Sayed AF</w:t>
      </w:r>
      <w:r w:rsidR="00765EB7">
        <w:rPr>
          <w:b/>
          <w:bCs/>
          <w:sz w:val="19"/>
          <w:szCs w:val="19"/>
          <w:vertAlign w:val="superscript"/>
          <w:lang w:val="en-IN" w:eastAsia="en-IN"/>
        </w:rPr>
        <w:t>4</w:t>
      </w:r>
    </w:p>
    <w:p w:rsidR="003C0794" w:rsidRPr="00351E9B" w:rsidRDefault="003C0794" w:rsidP="00765EB7">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765EB7">
        <w:rPr>
          <w:sz w:val="19"/>
          <w:szCs w:val="19"/>
          <w:lang w:val="en-IN" w:eastAsia="en-IN"/>
        </w:rPr>
        <w:t>Oral Histopathology, Faculty of Oral and Dental Medicine, Misr International University, Cairo, Egypt</w:t>
      </w:r>
    </w:p>
    <w:p w:rsidR="003C0794" w:rsidRDefault="00765EB7" w:rsidP="00765EB7">
      <w:pPr>
        <w:shd w:val="clear" w:color="auto" w:fill="FFFFFF"/>
        <w:jc w:val="both"/>
        <w:rPr>
          <w:sz w:val="19"/>
          <w:szCs w:val="19"/>
          <w:lang w:val="en-IN" w:eastAsia="en-IN"/>
        </w:rPr>
      </w:pPr>
      <w:r>
        <w:rPr>
          <w:sz w:val="19"/>
          <w:szCs w:val="19"/>
          <w:vertAlign w:val="superscript"/>
          <w:lang w:val="en-IN" w:eastAsia="en-IN"/>
        </w:rPr>
        <w:t>2</w:t>
      </w:r>
      <w:r w:rsidRPr="00351E9B">
        <w:rPr>
          <w:sz w:val="19"/>
          <w:szCs w:val="19"/>
          <w:lang w:val="en-IN" w:eastAsia="en-IN"/>
        </w:rPr>
        <w:t xml:space="preserve">Department of </w:t>
      </w:r>
      <w:r>
        <w:rPr>
          <w:sz w:val="19"/>
          <w:szCs w:val="19"/>
          <w:lang w:val="en-IN" w:eastAsia="en-IN"/>
        </w:rPr>
        <w:t>Oral Pathology, Faculty of Dentistry, Ben Ghazi University, Ben Ghazi, Lybia</w:t>
      </w:r>
    </w:p>
    <w:p w:rsidR="00765EB7" w:rsidRDefault="00765EB7" w:rsidP="00765EB7">
      <w:pPr>
        <w:shd w:val="clear" w:color="auto" w:fill="FFFFFF"/>
        <w:jc w:val="both"/>
        <w:rPr>
          <w:sz w:val="19"/>
          <w:szCs w:val="19"/>
          <w:lang w:val="en-IN" w:eastAsia="en-IN"/>
        </w:rPr>
      </w:pPr>
      <w:r>
        <w:rPr>
          <w:sz w:val="19"/>
          <w:szCs w:val="19"/>
          <w:vertAlign w:val="superscript"/>
          <w:lang w:val="en-IN" w:eastAsia="en-IN"/>
        </w:rPr>
        <w:t>3</w:t>
      </w:r>
      <w:r w:rsidRPr="00351E9B">
        <w:rPr>
          <w:sz w:val="19"/>
          <w:szCs w:val="19"/>
          <w:lang w:val="en-IN" w:eastAsia="en-IN"/>
        </w:rPr>
        <w:t xml:space="preserve">Department of </w:t>
      </w:r>
      <w:r>
        <w:rPr>
          <w:sz w:val="19"/>
          <w:szCs w:val="19"/>
          <w:lang w:val="en-IN" w:eastAsia="en-IN"/>
        </w:rPr>
        <w:t>Oral Pathology, Faculty of Dentistry, Ain Shams University, Cairo, Egypt</w:t>
      </w:r>
    </w:p>
    <w:p w:rsidR="00765EB7" w:rsidRPr="00351E9B" w:rsidRDefault="00765EB7" w:rsidP="00765EB7">
      <w:pPr>
        <w:shd w:val="clear" w:color="auto" w:fill="FFFFFF"/>
        <w:jc w:val="both"/>
        <w:rPr>
          <w:sz w:val="19"/>
          <w:szCs w:val="19"/>
          <w:lang w:val="en-IN" w:eastAsia="en-IN"/>
        </w:rPr>
      </w:pPr>
      <w:r>
        <w:rPr>
          <w:sz w:val="19"/>
          <w:szCs w:val="19"/>
          <w:vertAlign w:val="superscript"/>
          <w:lang w:val="en-IN" w:eastAsia="en-IN"/>
        </w:rPr>
        <w:t>4</w:t>
      </w:r>
      <w:r>
        <w:rPr>
          <w:sz w:val="19"/>
          <w:szCs w:val="19"/>
          <w:lang w:val="en-IN" w:eastAsia="en-IN"/>
        </w:rPr>
        <w:t>Research Center, VACSERA, Cairo, Egypt</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765EB7">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765EB7" w:rsidRPr="00765EB7">
        <w:rPr>
          <w:rFonts w:eastAsia="Calibri"/>
          <w:sz w:val="19"/>
          <w:szCs w:val="19"/>
          <w:lang w:bidi="ar-LY"/>
        </w:rPr>
        <w:t>Bee</w:t>
      </w:r>
      <w:r w:rsidR="00765EB7">
        <w:rPr>
          <w:rFonts w:eastAsia="Calibri"/>
          <w:sz w:val="19"/>
          <w:szCs w:val="19"/>
          <w:lang w:bidi="ar-LY"/>
        </w:rPr>
        <w:t xml:space="preserve"> Honey </w:t>
      </w:r>
      <w:r w:rsidR="00765EB7" w:rsidRPr="00765EB7">
        <w:rPr>
          <w:rFonts w:eastAsia="Calibri"/>
          <w:sz w:val="19"/>
          <w:szCs w:val="19"/>
          <w:lang w:bidi="ar-LY"/>
        </w:rPr>
        <w:t>Phenolic Compounds, Hep-2 cell line</w:t>
      </w:r>
      <w:r w:rsidR="00765EB7">
        <w:rPr>
          <w:rFonts w:eastAsia="Calibri"/>
          <w:sz w:val="19"/>
          <w:szCs w:val="19"/>
          <w:lang w:bidi="ar-LY"/>
        </w:rPr>
        <w:t xml:space="preserve">, </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765EB7">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w:t>
      </w:r>
    </w:p>
    <w:p w:rsidR="00883A50" w:rsidRPr="00765EB7" w:rsidRDefault="00765EB7" w:rsidP="00883A50">
      <w:pPr>
        <w:jc w:val="both"/>
        <w:rPr>
          <w:sz w:val="19"/>
          <w:szCs w:val="19"/>
          <w:lang w:val="en-IN" w:eastAsia="en-IN"/>
        </w:rPr>
      </w:pPr>
      <w:r w:rsidRPr="00765EB7">
        <w:rPr>
          <w:rFonts w:eastAsia="Calibri"/>
          <w:b/>
          <w:bCs/>
          <w:sz w:val="19"/>
          <w:szCs w:val="19"/>
          <w:lang w:bidi="ar-LY"/>
        </w:rPr>
        <w:t>Background:</w:t>
      </w:r>
      <w:r w:rsidRPr="00765EB7">
        <w:rPr>
          <w:sz w:val="19"/>
          <w:szCs w:val="19"/>
        </w:rPr>
        <w:t xml:space="preserve"> </w:t>
      </w:r>
      <w:r w:rsidRPr="00765EB7">
        <w:rPr>
          <w:rFonts w:eastAsia="Calibri"/>
          <w:sz w:val="19"/>
          <w:szCs w:val="19"/>
          <w:lang w:bidi="ar-LY"/>
        </w:rPr>
        <w:t>Honey has been used as food and a traditional medicament since ancient times. However, recently many scientists have been concentrating on the anti-oxidant, anti-proliferative, anti-inflammatory and other properties of honey. This work is conducted t</w:t>
      </w:r>
      <w:r w:rsidRPr="00765EB7">
        <w:rPr>
          <w:sz w:val="19"/>
          <w:szCs w:val="19"/>
        </w:rPr>
        <w:t>o investigate the potential anticancer effect of various types of natural bee honey obtained from different Arabic regions on Hep-2 carcinoma cell line in comparison with 5-fluorouracil (5-FU).</w:t>
      </w:r>
      <w:r w:rsidRPr="00765EB7">
        <w:rPr>
          <w:rFonts w:eastAsia="Calibri"/>
          <w:b/>
          <w:bCs/>
          <w:sz w:val="19"/>
          <w:szCs w:val="19"/>
          <w:lang w:bidi="ar-LY"/>
        </w:rPr>
        <w:t xml:space="preserve"> Methods: </w:t>
      </w:r>
      <w:r w:rsidRPr="00765EB7">
        <w:rPr>
          <w:rFonts w:eastAsia="Calibri"/>
          <w:sz w:val="19"/>
          <w:szCs w:val="19"/>
          <w:lang w:bidi="ar-LY"/>
        </w:rPr>
        <w:t xml:space="preserve">Anti-cancer activities of all samples were determined against the Hep-2 cell line using cytotoxicity assay, cytological analysis, DNA fragmentation assay and flow cytometry. </w:t>
      </w:r>
      <w:r w:rsidRPr="00765EB7">
        <w:rPr>
          <w:rFonts w:eastAsia="Calibri"/>
          <w:b/>
          <w:bCs/>
          <w:sz w:val="19"/>
          <w:szCs w:val="19"/>
          <w:lang w:bidi="ar-LY"/>
        </w:rPr>
        <w:t xml:space="preserve">Results: </w:t>
      </w:r>
      <w:r w:rsidRPr="00765EB7">
        <w:rPr>
          <w:rFonts w:eastAsia="Calibri"/>
          <w:sz w:val="19"/>
          <w:szCs w:val="19"/>
          <w:lang w:bidi="ar-LY"/>
        </w:rPr>
        <w:t xml:space="preserve">All honey samples </w:t>
      </w:r>
      <w:r w:rsidRPr="00765EB7">
        <w:rPr>
          <w:sz w:val="19"/>
          <w:szCs w:val="19"/>
        </w:rPr>
        <w:t>obtained from different Arabic botanical</w:t>
      </w:r>
      <w:r w:rsidRPr="00765EB7">
        <w:rPr>
          <w:rFonts w:eastAsia="Calibri"/>
          <w:sz w:val="19"/>
          <w:szCs w:val="19"/>
          <w:lang w:bidi="ar-LY"/>
        </w:rPr>
        <w:t xml:space="preserve"> showed anti-proliferative and apoptotic inducing activities when tested against Hp-2 cells in a time-dependent manner.  </w:t>
      </w:r>
      <w:r w:rsidRPr="00765EB7">
        <w:rPr>
          <w:rFonts w:eastAsia="Calibri"/>
          <w:b/>
          <w:bCs/>
          <w:sz w:val="19"/>
          <w:szCs w:val="19"/>
          <w:lang w:bidi="ar-LY"/>
        </w:rPr>
        <w:t>Conclusions</w:t>
      </w:r>
      <w:r w:rsidRPr="00765EB7">
        <w:rPr>
          <w:rFonts w:eastAsia="Calibri"/>
          <w:sz w:val="19"/>
          <w:szCs w:val="19"/>
          <w:lang w:bidi="ar-LY"/>
        </w:rPr>
        <w:t xml:space="preserve">: </w:t>
      </w:r>
      <w:r w:rsidRPr="00765EB7">
        <w:rPr>
          <w:sz w:val="19"/>
          <w:szCs w:val="19"/>
        </w:rPr>
        <w:t>Different types of natural bee honey are cytotoxic and showed anti-proliferative activity to Hep-2 cell line. Total phenolic content (TPC) on the analysed honeys had impact on their anti-cancerous activity. Eucalyptus honey which has the highest TPC also showed the best apoptotic effect on Hep-2 cells.</w:t>
      </w:r>
    </w:p>
    <w:p w:rsidR="00883A50" w:rsidRDefault="00883A50" w:rsidP="00883A50">
      <w:pPr>
        <w:jc w:val="both"/>
        <w:rPr>
          <w:sz w:val="19"/>
          <w:szCs w:val="19"/>
          <w:lang w:val="en-IN" w:eastAsia="en-IN"/>
        </w:rPr>
      </w:pPr>
    </w:p>
    <w:p w:rsidR="00861508" w:rsidRPr="00A055E7" w:rsidRDefault="00883A50" w:rsidP="00A055E7">
      <w:pPr>
        <w:numPr>
          <w:ilvl w:val="0"/>
          <w:numId w:val="22"/>
        </w:numPr>
        <w:jc w:val="both"/>
        <w:rPr>
          <w:b/>
          <w:sz w:val="19"/>
          <w:szCs w:val="19"/>
        </w:rPr>
      </w:pPr>
      <w:r w:rsidRPr="00883A50">
        <w:rPr>
          <w:sz w:val="19"/>
          <w:szCs w:val="19"/>
          <w:lang w:val="en-IN" w:eastAsia="en-IN"/>
        </w:rPr>
        <w:t xml:space="preserve"> </w:t>
      </w:r>
      <w:r w:rsidR="00742E53">
        <w:rPr>
          <w:b/>
          <w:sz w:val="19"/>
          <w:szCs w:val="19"/>
        </w:rPr>
        <w:t>Image</w:t>
      </w:r>
    </w:p>
    <w:tbl>
      <w:tblPr>
        <w:tblW w:w="0" w:type="auto"/>
        <w:tblInd w:w="558" w:type="dxa"/>
        <w:tblBorders>
          <w:top w:val="double" w:sz="4" w:space="0" w:color="4472C4"/>
          <w:left w:val="double" w:sz="4" w:space="0" w:color="4472C4"/>
          <w:bottom w:val="double" w:sz="4" w:space="0" w:color="4472C4"/>
          <w:right w:val="double" w:sz="4" w:space="0" w:color="4472C4"/>
        </w:tblBorders>
        <w:tblLook w:val="04A0" w:firstRow="1" w:lastRow="0" w:firstColumn="1" w:lastColumn="0" w:noHBand="0" w:noVBand="1"/>
      </w:tblPr>
      <w:tblGrid>
        <w:gridCol w:w="4410"/>
      </w:tblGrid>
      <w:tr w:rsidR="00742E53" w:rsidRPr="00F82333" w:rsidTr="00F82333">
        <w:tc>
          <w:tcPr>
            <w:tcW w:w="4410" w:type="dxa"/>
            <w:shd w:val="clear" w:color="auto" w:fill="auto"/>
          </w:tcPr>
          <w:p w:rsidR="00742E53" w:rsidRPr="00F82333" w:rsidRDefault="00AD1317" w:rsidP="00F82333">
            <w:pPr>
              <w:pStyle w:val="BodyText"/>
              <w:ind w:firstLine="0"/>
              <w:jc w:val="center"/>
              <w:rPr>
                <w:sz w:val="19"/>
                <w:szCs w:val="19"/>
              </w:rPr>
            </w:pPr>
            <w:r w:rsidRPr="00F82333">
              <w:rPr>
                <w:noProof/>
                <w:sz w:val="19"/>
                <w:szCs w:val="19"/>
              </w:rPr>
              <w:drawing>
                <wp:inline distT="0" distB="0" distL="0" distR="0">
                  <wp:extent cx="2657475" cy="1581150"/>
                  <wp:effectExtent l="0" t="0" r="0" b="0"/>
                  <wp:docPr id="2" name="Picture 2" descr="Figur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_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7475" cy="1581150"/>
                          </a:xfrm>
                          <a:prstGeom prst="rect">
                            <a:avLst/>
                          </a:prstGeom>
                          <a:noFill/>
                          <a:ln>
                            <a:noFill/>
                          </a:ln>
                        </pic:spPr>
                      </pic:pic>
                    </a:graphicData>
                  </a:graphic>
                </wp:inline>
              </w:drawing>
            </w:r>
          </w:p>
        </w:tc>
      </w:tr>
    </w:tbl>
    <w:p w:rsidR="003C0794" w:rsidRPr="0005164C" w:rsidRDefault="003C0794" w:rsidP="003C0794">
      <w:pPr>
        <w:pStyle w:val="BodyText"/>
        <w:ind w:firstLine="0"/>
        <w:rPr>
          <w:sz w:val="19"/>
          <w:szCs w:val="19"/>
        </w:rPr>
      </w:pPr>
    </w:p>
    <w:p w:rsidR="003C0794" w:rsidRDefault="003C0794" w:rsidP="003C0794">
      <w:pPr>
        <w:pStyle w:val="BodyText"/>
        <w:jc w:val="left"/>
        <w:rPr>
          <w:sz w:val="19"/>
          <w:szCs w:val="19"/>
        </w:rPr>
      </w:pPr>
    </w:p>
    <w:p w:rsidR="00742E53" w:rsidRPr="0005164C" w:rsidRDefault="00742E53"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lastRenderedPageBreak/>
        <w:t>Referen</w:t>
      </w:r>
      <w:bookmarkStart w:id="1" w:name="_GoBack"/>
      <w:bookmarkEnd w:id="1"/>
      <w:r w:rsidRPr="0005164C">
        <w:rPr>
          <w:b/>
          <w:sz w:val="19"/>
          <w:szCs w:val="19"/>
        </w:rPr>
        <w:t>ce:</w:t>
      </w:r>
    </w:p>
    <w:bookmarkStart w:id="2" w:name="2"/>
    <w:bookmarkEnd w:id="2"/>
    <w:p w:rsidR="000F21F1" w:rsidRPr="000F21F1" w:rsidRDefault="000F21F1" w:rsidP="000F21F1">
      <w:pPr>
        <w:numPr>
          <w:ilvl w:val="0"/>
          <w:numId w:val="28"/>
        </w:numPr>
        <w:spacing w:after="120"/>
        <w:jc w:val="lowKashida"/>
        <w:rPr>
          <w:sz w:val="19"/>
          <w:szCs w:val="19"/>
        </w:rPr>
      </w:pPr>
      <w:r w:rsidRPr="000F21F1">
        <w:rPr>
          <w:sz w:val="19"/>
          <w:szCs w:val="19"/>
        </w:rPr>
        <w:fldChar w:fldCharType="begin"/>
      </w:r>
      <w:r w:rsidRPr="000F21F1">
        <w:rPr>
          <w:sz w:val="19"/>
          <w:szCs w:val="19"/>
        </w:rPr>
        <w:instrText xml:space="preserve"> HYPERLINK "https://www.ncbi.nlm.nih.gov/pubmed/?term=Forouzanfar%20MH" </w:instrText>
      </w:r>
      <w:r w:rsidRPr="000F21F1">
        <w:rPr>
          <w:sz w:val="19"/>
          <w:szCs w:val="19"/>
        </w:rPr>
        <w:fldChar w:fldCharType="separate"/>
      </w:r>
      <w:r w:rsidRPr="000F21F1">
        <w:rPr>
          <w:sz w:val="19"/>
          <w:szCs w:val="19"/>
        </w:rPr>
        <w:t>Forouzanfar M</w:t>
      </w:r>
      <w:r w:rsidRPr="000F21F1">
        <w:rPr>
          <w:sz w:val="19"/>
          <w:szCs w:val="19"/>
        </w:rPr>
        <w:fldChar w:fldCharType="end"/>
      </w:r>
      <w:r w:rsidRPr="000F21F1">
        <w:rPr>
          <w:sz w:val="19"/>
          <w:szCs w:val="19"/>
        </w:rPr>
        <w:t xml:space="preserve">, </w:t>
      </w:r>
      <w:hyperlink r:id="rId12" w:history="1">
        <w:r w:rsidRPr="000F21F1">
          <w:rPr>
            <w:sz w:val="19"/>
            <w:szCs w:val="19"/>
          </w:rPr>
          <w:t>Afshin A</w:t>
        </w:r>
      </w:hyperlink>
      <w:r w:rsidRPr="000F21F1">
        <w:rPr>
          <w:sz w:val="19"/>
          <w:szCs w:val="19"/>
        </w:rPr>
        <w:t xml:space="preserve">, </w:t>
      </w:r>
      <w:hyperlink r:id="rId13" w:history="1">
        <w:r w:rsidRPr="000F21F1">
          <w:rPr>
            <w:sz w:val="19"/>
            <w:szCs w:val="19"/>
          </w:rPr>
          <w:t>Alexander L</w:t>
        </w:r>
      </w:hyperlink>
      <w:r w:rsidRPr="000F21F1">
        <w:rPr>
          <w:sz w:val="19"/>
          <w:szCs w:val="19"/>
        </w:rPr>
        <w:t xml:space="preserve">, </w:t>
      </w:r>
      <w:hyperlink r:id="rId14" w:history="1">
        <w:r w:rsidRPr="000F21F1">
          <w:rPr>
            <w:sz w:val="19"/>
            <w:szCs w:val="19"/>
          </w:rPr>
          <w:t>Anderson H</w:t>
        </w:r>
      </w:hyperlink>
      <w:r w:rsidRPr="000F21F1">
        <w:rPr>
          <w:sz w:val="19"/>
          <w:szCs w:val="19"/>
        </w:rPr>
        <w:t xml:space="preserve">, </w:t>
      </w:r>
      <w:hyperlink r:id="rId15" w:history="1">
        <w:r w:rsidRPr="000F21F1">
          <w:rPr>
            <w:sz w:val="19"/>
            <w:szCs w:val="19"/>
          </w:rPr>
          <w:t>Bhutta Z</w:t>
        </w:r>
      </w:hyperlink>
      <w:r w:rsidRPr="000F21F1">
        <w:rPr>
          <w:sz w:val="19"/>
          <w:szCs w:val="19"/>
        </w:rPr>
        <w:t xml:space="preserve">, </w:t>
      </w:r>
      <w:hyperlink r:id="rId16" w:history="1">
        <w:r w:rsidRPr="000F21F1">
          <w:rPr>
            <w:sz w:val="19"/>
            <w:szCs w:val="19"/>
          </w:rPr>
          <w:t>Biryukov S</w:t>
        </w:r>
      </w:hyperlink>
      <w:r w:rsidRPr="000F21F1">
        <w:rPr>
          <w:sz w:val="19"/>
          <w:szCs w:val="19"/>
        </w:rPr>
        <w:t xml:space="preserve">, </w:t>
      </w:r>
      <w:hyperlink r:id="rId17" w:history="1">
        <w:r w:rsidRPr="000F21F1">
          <w:rPr>
            <w:sz w:val="19"/>
            <w:szCs w:val="19"/>
          </w:rPr>
          <w:t>Brauer M</w:t>
        </w:r>
      </w:hyperlink>
      <w:r w:rsidRPr="000F21F1">
        <w:rPr>
          <w:sz w:val="19"/>
          <w:szCs w:val="19"/>
        </w:rPr>
        <w:t xml:space="preserve">, </w:t>
      </w:r>
      <w:hyperlink r:id="rId18" w:history="1">
        <w:r w:rsidRPr="000F21F1">
          <w:rPr>
            <w:sz w:val="19"/>
            <w:szCs w:val="19"/>
          </w:rPr>
          <w:t>Burnett R</w:t>
        </w:r>
      </w:hyperlink>
      <w:r w:rsidRPr="000F21F1">
        <w:rPr>
          <w:sz w:val="19"/>
          <w:szCs w:val="19"/>
        </w:rPr>
        <w:t xml:space="preserve">, </w:t>
      </w:r>
      <w:hyperlink r:id="rId19" w:history="1">
        <w:r w:rsidRPr="000F21F1">
          <w:rPr>
            <w:sz w:val="19"/>
            <w:szCs w:val="19"/>
          </w:rPr>
          <w:t>Cercy K</w:t>
        </w:r>
      </w:hyperlink>
      <w:r w:rsidRPr="000F21F1">
        <w:rPr>
          <w:sz w:val="19"/>
          <w:szCs w:val="19"/>
        </w:rPr>
        <w:t xml:space="preserve">, </w:t>
      </w:r>
      <w:hyperlink r:id="rId20" w:history="1">
        <w:r w:rsidRPr="000F21F1">
          <w:rPr>
            <w:sz w:val="19"/>
            <w:szCs w:val="19"/>
          </w:rPr>
          <w:t>Charlson F</w:t>
        </w:r>
      </w:hyperlink>
      <w:r w:rsidRPr="000F21F1">
        <w:rPr>
          <w:sz w:val="19"/>
          <w:szCs w:val="19"/>
        </w:rPr>
        <w:t>, et al.</w:t>
      </w:r>
      <w:r w:rsidRPr="000F21F1">
        <w:rPr>
          <w:color w:val="FF0000"/>
          <w:sz w:val="19"/>
          <w:szCs w:val="19"/>
        </w:rPr>
        <w:t xml:space="preserve"> </w:t>
      </w:r>
      <w:r w:rsidRPr="000F21F1">
        <w:rPr>
          <w:sz w:val="19"/>
          <w:szCs w:val="19"/>
        </w:rPr>
        <w:t>(2016) Risk Factors Collaborators. Global, regional, and national comparative risk assessment of 79 behavioural, environmental and occupational, and metabolic risks or clusters of risks, 1990-2015: a systematic analysis for the Global Burden of Disease Study. Lancet. 388(10053), pp.1659-1724.</w:t>
      </w:r>
    </w:p>
    <w:p w:rsidR="000F21F1" w:rsidRPr="000F21F1" w:rsidRDefault="000F21F1" w:rsidP="000F21F1">
      <w:pPr>
        <w:numPr>
          <w:ilvl w:val="0"/>
          <w:numId w:val="28"/>
        </w:numPr>
        <w:spacing w:after="120"/>
        <w:jc w:val="lowKashida"/>
        <w:rPr>
          <w:sz w:val="19"/>
          <w:szCs w:val="19"/>
        </w:rPr>
      </w:pPr>
      <w:r w:rsidRPr="000F21F1">
        <w:rPr>
          <w:sz w:val="19"/>
          <w:szCs w:val="19"/>
        </w:rPr>
        <w:t>Aggarwal B and Shishodia S. (2006) Molecular targets of dietary agents for prevention and therapy of cancer. Biochem Pharmacol.71(10), pp.1397–1421.</w:t>
      </w:r>
    </w:p>
    <w:p w:rsidR="000F21F1" w:rsidRPr="000F21F1" w:rsidRDefault="000F21F1" w:rsidP="000F21F1">
      <w:pPr>
        <w:numPr>
          <w:ilvl w:val="0"/>
          <w:numId w:val="28"/>
        </w:numPr>
        <w:spacing w:after="120"/>
        <w:jc w:val="lowKashida"/>
        <w:rPr>
          <w:sz w:val="19"/>
          <w:szCs w:val="19"/>
        </w:rPr>
      </w:pPr>
      <w:r w:rsidRPr="000F21F1">
        <w:rPr>
          <w:sz w:val="19"/>
          <w:szCs w:val="19"/>
        </w:rPr>
        <w:t>Chari R. (2008) Targeted cancer therapy: conferring specificity to cytotoxic drugs. Accounts of Chem Res. 41(1), pp.98–107.</w:t>
      </w:r>
    </w:p>
    <w:p w:rsidR="000F21F1" w:rsidRPr="000F21F1" w:rsidRDefault="000F21F1" w:rsidP="000F21F1">
      <w:pPr>
        <w:numPr>
          <w:ilvl w:val="0"/>
          <w:numId w:val="28"/>
        </w:numPr>
        <w:spacing w:after="120"/>
        <w:jc w:val="lowKashida"/>
        <w:rPr>
          <w:sz w:val="19"/>
          <w:szCs w:val="19"/>
        </w:rPr>
      </w:pPr>
      <w:r w:rsidRPr="000F21F1">
        <w:rPr>
          <w:sz w:val="19"/>
          <w:szCs w:val="19"/>
        </w:rPr>
        <w:t>Goldman B. (2003) Combinations of targeted therapies take aim at multiple pathways. J Nat Cancer Institute.95(22), pp.1656–7.</w:t>
      </w:r>
    </w:p>
    <w:p w:rsidR="000F21F1" w:rsidRPr="000F21F1" w:rsidRDefault="000F21F1" w:rsidP="000F21F1">
      <w:pPr>
        <w:numPr>
          <w:ilvl w:val="0"/>
          <w:numId w:val="28"/>
        </w:numPr>
        <w:spacing w:after="120"/>
        <w:jc w:val="lowKashida"/>
        <w:rPr>
          <w:kern w:val="36"/>
          <w:sz w:val="19"/>
          <w:szCs w:val="19"/>
          <w:lang w:eastAsia="en-GB"/>
        </w:rPr>
      </w:pPr>
      <w:hyperlink r:id="rId21" w:history="1">
        <w:r w:rsidRPr="000F21F1">
          <w:rPr>
            <w:kern w:val="36"/>
            <w:sz w:val="19"/>
            <w:szCs w:val="19"/>
            <w:lang w:eastAsia="en-GB"/>
          </w:rPr>
          <w:t>Hatakeyama H</w:t>
        </w:r>
      </w:hyperlink>
      <w:r w:rsidRPr="000F21F1">
        <w:rPr>
          <w:kern w:val="36"/>
          <w:sz w:val="19"/>
          <w:szCs w:val="19"/>
          <w:lang w:eastAsia="en-GB"/>
        </w:rPr>
        <w:t xml:space="preserve"> and</w:t>
      </w:r>
      <w:hyperlink r:id="rId22" w:history="1">
        <w:r w:rsidRPr="000F21F1">
          <w:rPr>
            <w:kern w:val="36"/>
            <w:sz w:val="19"/>
            <w:szCs w:val="19"/>
            <w:lang w:eastAsia="en-GB"/>
          </w:rPr>
          <w:t>Harashima H</w:t>
        </w:r>
      </w:hyperlink>
      <w:r w:rsidRPr="000F21F1">
        <w:rPr>
          <w:kern w:val="36"/>
          <w:sz w:val="19"/>
          <w:szCs w:val="19"/>
          <w:lang w:eastAsia="en-GB"/>
        </w:rPr>
        <w:t xml:space="preserve">. (2014) Cancer multidrug resistance: mechanisms involved and strategies for circumvention using a drug delivery system. </w:t>
      </w:r>
      <w:hyperlink r:id="rId23" w:tooltip="Archives of pharmacal research." w:history="1">
        <w:r w:rsidRPr="000F21F1">
          <w:rPr>
            <w:kern w:val="36"/>
            <w:sz w:val="19"/>
            <w:szCs w:val="19"/>
            <w:lang w:eastAsia="en-GB"/>
          </w:rPr>
          <w:t>Arch Pharm Res.</w:t>
        </w:r>
      </w:hyperlink>
      <w:r w:rsidRPr="000F21F1">
        <w:rPr>
          <w:kern w:val="36"/>
          <w:sz w:val="19"/>
          <w:szCs w:val="19"/>
          <w:lang w:eastAsia="en-GB"/>
        </w:rPr>
        <w:t xml:space="preserve"> 37(1), pp4-15.</w:t>
      </w:r>
    </w:p>
    <w:p w:rsidR="000F21F1" w:rsidRPr="000F21F1" w:rsidRDefault="000F21F1" w:rsidP="000F21F1">
      <w:pPr>
        <w:numPr>
          <w:ilvl w:val="0"/>
          <w:numId w:val="28"/>
        </w:numPr>
        <w:spacing w:after="120"/>
        <w:jc w:val="lowKashida"/>
        <w:rPr>
          <w:sz w:val="19"/>
          <w:szCs w:val="19"/>
        </w:rPr>
      </w:pPr>
      <w:r w:rsidRPr="000F21F1">
        <w:rPr>
          <w:sz w:val="19"/>
          <w:szCs w:val="19"/>
        </w:rPr>
        <w:t>Sherlock O, Dolan A, Athman R, Power A, Gethin G, Cowman S, Humphreys H. (2010) Comparison of the antimicrobial activity of Ulmo honey from Chile and Manuka honey against methicillin-resistant Staphylococcus aureus, Escherichia coli and Pseudomonas aeruginosa. BMC Compl Alternative Med. 10(47), pp1-5.</w:t>
      </w:r>
    </w:p>
    <w:p w:rsidR="000F21F1" w:rsidRPr="000F21F1" w:rsidRDefault="000F21F1" w:rsidP="000F21F1">
      <w:pPr>
        <w:numPr>
          <w:ilvl w:val="0"/>
          <w:numId w:val="28"/>
        </w:numPr>
        <w:spacing w:after="120"/>
        <w:jc w:val="lowKashida"/>
        <w:rPr>
          <w:color w:val="000000"/>
          <w:sz w:val="19"/>
          <w:szCs w:val="19"/>
          <w:lang w:eastAsia="en-GB"/>
        </w:rPr>
      </w:pPr>
      <w:hyperlink r:id="rId24" w:history="1">
        <w:r w:rsidRPr="000F21F1">
          <w:rPr>
            <w:color w:val="000000"/>
            <w:sz w:val="19"/>
            <w:szCs w:val="19"/>
            <w:lang w:eastAsia="en-GB"/>
          </w:rPr>
          <w:t>Tomasin R</w:t>
        </w:r>
      </w:hyperlink>
      <w:r w:rsidRPr="000F21F1">
        <w:rPr>
          <w:color w:val="000000"/>
          <w:sz w:val="19"/>
          <w:szCs w:val="19"/>
          <w:lang w:eastAsia="en-GB"/>
        </w:rPr>
        <w:t xml:space="preserve">, </w:t>
      </w:r>
      <w:hyperlink r:id="rId25" w:history="1">
        <w:r w:rsidRPr="000F21F1">
          <w:rPr>
            <w:color w:val="000000"/>
            <w:sz w:val="19"/>
            <w:szCs w:val="19"/>
            <w:lang w:eastAsia="en-GB"/>
          </w:rPr>
          <w:t>de Andrade R</w:t>
        </w:r>
      </w:hyperlink>
      <w:r w:rsidRPr="000F21F1">
        <w:rPr>
          <w:color w:val="000000"/>
          <w:sz w:val="19"/>
          <w:szCs w:val="19"/>
          <w:lang w:eastAsia="en-GB"/>
        </w:rPr>
        <w:t xml:space="preserve">, </w:t>
      </w:r>
      <w:hyperlink r:id="rId26" w:history="1">
        <w:r w:rsidRPr="000F21F1">
          <w:rPr>
            <w:color w:val="000000"/>
            <w:sz w:val="19"/>
            <w:szCs w:val="19"/>
            <w:lang w:eastAsia="en-GB"/>
          </w:rPr>
          <w:t>Gomes-Marcondes M</w:t>
        </w:r>
      </w:hyperlink>
      <w:r w:rsidRPr="000F21F1">
        <w:rPr>
          <w:color w:val="000000"/>
          <w:sz w:val="19"/>
          <w:szCs w:val="19"/>
          <w:lang w:eastAsia="en-GB"/>
        </w:rPr>
        <w:t xml:space="preserve">. (2015) </w:t>
      </w:r>
      <w:r w:rsidRPr="000F21F1">
        <w:rPr>
          <w:color w:val="000000"/>
          <w:kern w:val="36"/>
          <w:sz w:val="19"/>
          <w:szCs w:val="19"/>
          <w:lang w:eastAsia="en-GB"/>
        </w:rPr>
        <w:t xml:space="preserve">Oral administration of Aloe vera and honey improves the host body composition and modulates proteolysis through reduction of tumor progression and oxidative stress in rats. </w:t>
      </w:r>
      <w:hyperlink r:id="rId27" w:tooltip="Journal of medicinal food." w:history="1">
        <w:r w:rsidRPr="000F21F1">
          <w:rPr>
            <w:color w:val="000000"/>
            <w:sz w:val="19"/>
            <w:szCs w:val="19"/>
            <w:lang w:eastAsia="en-GB"/>
          </w:rPr>
          <w:t>J Med Food.</w:t>
        </w:r>
      </w:hyperlink>
      <w:r w:rsidRPr="000F21F1">
        <w:rPr>
          <w:color w:val="000000"/>
          <w:sz w:val="19"/>
          <w:szCs w:val="19"/>
          <w:lang w:eastAsia="en-GB"/>
        </w:rPr>
        <w:t>18(10), pp1128-35.</w:t>
      </w:r>
    </w:p>
    <w:p w:rsidR="000F21F1" w:rsidRPr="000F21F1" w:rsidRDefault="000F21F1" w:rsidP="000F21F1">
      <w:pPr>
        <w:numPr>
          <w:ilvl w:val="0"/>
          <w:numId w:val="28"/>
        </w:numPr>
        <w:spacing w:after="120"/>
        <w:jc w:val="lowKashida"/>
        <w:rPr>
          <w:color w:val="000000"/>
          <w:sz w:val="19"/>
          <w:szCs w:val="19"/>
          <w:lang w:eastAsia="en-GB"/>
        </w:rPr>
      </w:pPr>
      <w:hyperlink r:id="rId28" w:history="1">
        <w:r w:rsidRPr="000F21F1">
          <w:rPr>
            <w:color w:val="000000"/>
            <w:sz w:val="19"/>
            <w:szCs w:val="19"/>
            <w:lang w:eastAsia="en-GB"/>
          </w:rPr>
          <w:t>Ozcan M</w:t>
        </w:r>
      </w:hyperlink>
      <w:r w:rsidRPr="000F21F1">
        <w:rPr>
          <w:color w:val="000000"/>
          <w:sz w:val="19"/>
          <w:szCs w:val="19"/>
          <w:lang w:eastAsia="en-GB"/>
        </w:rPr>
        <w:t xml:space="preserve"> and</w:t>
      </w:r>
      <w:hyperlink r:id="rId29" w:history="1">
        <w:r w:rsidRPr="000F21F1">
          <w:rPr>
            <w:color w:val="000000"/>
            <w:sz w:val="19"/>
            <w:szCs w:val="19"/>
            <w:lang w:eastAsia="en-GB"/>
          </w:rPr>
          <w:t>Olmez C</w:t>
        </w:r>
      </w:hyperlink>
      <w:r w:rsidRPr="000F21F1">
        <w:rPr>
          <w:color w:val="000000"/>
          <w:sz w:val="19"/>
          <w:szCs w:val="19"/>
          <w:lang w:eastAsia="en-GB"/>
        </w:rPr>
        <w:t xml:space="preserve">. (2014) </w:t>
      </w:r>
      <w:r w:rsidRPr="000F21F1">
        <w:rPr>
          <w:color w:val="000000"/>
          <w:kern w:val="36"/>
          <w:sz w:val="19"/>
          <w:szCs w:val="19"/>
          <w:lang w:eastAsia="en-GB"/>
        </w:rPr>
        <w:t xml:space="preserve">Some qualitative properties of different monofloral honeys. </w:t>
      </w:r>
      <w:hyperlink r:id="rId30" w:tooltip="Food chemistry." w:history="1">
        <w:r w:rsidRPr="000F21F1">
          <w:rPr>
            <w:color w:val="000000"/>
            <w:sz w:val="19"/>
            <w:szCs w:val="19"/>
            <w:lang w:eastAsia="en-GB"/>
          </w:rPr>
          <w:t>Food Chem.</w:t>
        </w:r>
      </w:hyperlink>
      <w:r w:rsidRPr="000F21F1">
        <w:rPr>
          <w:color w:val="000000"/>
          <w:sz w:val="19"/>
          <w:szCs w:val="19"/>
          <w:lang w:eastAsia="en-GB"/>
        </w:rPr>
        <w:t>163, pp212-8.</w:t>
      </w:r>
    </w:p>
    <w:p w:rsidR="000F21F1" w:rsidRPr="000F21F1" w:rsidRDefault="000F21F1" w:rsidP="000F21F1">
      <w:pPr>
        <w:numPr>
          <w:ilvl w:val="0"/>
          <w:numId w:val="28"/>
        </w:numPr>
        <w:spacing w:after="120"/>
        <w:jc w:val="lowKashida"/>
        <w:rPr>
          <w:sz w:val="19"/>
          <w:szCs w:val="19"/>
        </w:rPr>
      </w:pPr>
      <w:r w:rsidRPr="000F21F1">
        <w:rPr>
          <w:sz w:val="19"/>
          <w:szCs w:val="19"/>
        </w:rPr>
        <w:lastRenderedPageBreak/>
        <w:t>Abubakar M, Abdullah W, Sulaiman S, and Suen A. (2012) A review of molecular mechanisms of the anti-leukemic effects of phenolic compounds in honey. Int J Mol Sci.13(11), pp15054–73.</w:t>
      </w:r>
    </w:p>
    <w:p w:rsidR="000F21F1" w:rsidRPr="000F21F1" w:rsidRDefault="000F21F1" w:rsidP="000F21F1">
      <w:pPr>
        <w:numPr>
          <w:ilvl w:val="0"/>
          <w:numId w:val="28"/>
        </w:numPr>
        <w:spacing w:after="120"/>
        <w:jc w:val="lowKashida"/>
        <w:rPr>
          <w:sz w:val="19"/>
          <w:szCs w:val="19"/>
        </w:rPr>
      </w:pPr>
      <w:r w:rsidRPr="000F21F1">
        <w:rPr>
          <w:sz w:val="19"/>
          <w:szCs w:val="19"/>
        </w:rPr>
        <w:t>Jaganathan S and Mandal M. (2009) Honey constituents and their apoptotic effect in colon cancer cells. JApiPr and ApiMed Sci.1(2), pp29–36.</w:t>
      </w:r>
    </w:p>
    <w:p w:rsidR="000F21F1" w:rsidRPr="000F21F1" w:rsidRDefault="000F21F1" w:rsidP="000F21F1">
      <w:pPr>
        <w:numPr>
          <w:ilvl w:val="0"/>
          <w:numId w:val="28"/>
        </w:numPr>
        <w:spacing w:after="120"/>
        <w:jc w:val="lowKashida"/>
        <w:rPr>
          <w:sz w:val="19"/>
          <w:szCs w:val="19"/>
        </w:rPr>
      </w:pPr>
      <w:r w:rsidRPr="000F21F1">
        <w:rPr>
          <w:sz w:val="19"/>
          <w:szCs w:val="19"/>
        </w:rPr>
        <w:t>Yao L, Jiang Y, Singanusong R, Datta N,  Raymont  K. (2004) Phenolic acids and abscisic acid in Australian Eucalyptus honeys and their potential for floral authentication. Food Chem. 86, pp169–77.</w:t>
      </w:r>
    </w:p>
    <w:p w:rsidR="000F21F1" w:rsidRPr="000F21F1" w:rsidRDefault="000F21F1" w:rsidP="000F21F1">
      <w:pPr>
        <w:numPr>
          <w:ilvl w:val="0"/>
          <w:numId w:val="28"/>
        </w:numPr>
        <w:spacing w:after="120"/>
        <w:jc w:val="lowKashida"/>
        <w:rPr>
          <w:sz w:val="19"/>
          <w:szCs w:val="19"/>
        </w:rPr>
      </w:pPr>
      <w:r w:rsidRPr="000F21F1">
        <w:rPr>
          <w:sz w:val="19"/>
          <w:szCs w:val="19"/>
        </w:rPr>
        <w:t>Yaoa L, Jiang Y, Singanusong R, Datta N, Raymont K. (2005) Phenolic acids in Australian Melaleuca, Guioa, Lophostemon, Banksia and Helianthus honeys and their potential for floral authentication. Food Res. Int. 38, pp651–8.</w:t>
      </w:r>
    </w:p>
    <w:p w:rsidR="000F21F1" w:rsidRPr="000F21F1" w:rsidRDefault="000F21F1" w:rsidP="000F21F1">
      <w:pPr>
        <w:numPr>
          <w:ilvl w:val="0"/>
          <w:numId w:val="28"/>
        </w:numPr>
        <w:spacing w:after="120"/>
        <w:jc w:val="lowKashida"/>
        <w:rPr>
          <w:sz w:val="19"/>
          <w:szCs w:val="19"/>
        </w:rPr>
      </w:pPr>
      <w:r w:rsidRPr="000F21F1">
        <w:rPr>
          <w:sz w:val="19"/>
          <w:szCs w:val="19"/>
        </w:rPr>
        <w:t>Andrade P, Ferreres F, Gil M, Tomás-Barberán F. (1997) Determination of phenolic compounds in honeys with different floral origin by capillary zone electrophoresis. Food Chem. 60(5), pp79–84.</w:t>
      </w:r>
    </w:p>
    <w:p w:rsidR="000F21F1" w:rsidRPr="000F21F1" w:rsidRDefault="000F21F1" w:rsidP="000F21F1">
      <w:pPr>
        <w:numPr>
          <w:ilvl w:val="0"/>
          <w:numId w:val="28"/>
        </w:numPr>
        <w:spacing w:after="120"/>
        <w:jc w:val="lowKashida"/>
        <w:rPr>
          <w:sz w:val="19"/>
          <w:szCs w:val="19"/>
        </w:rPr>
      </w:pPr>
      <w:r w:rsidRPr="000F21F1">
        <w:rPr>
          <w:sz w:val="19"/>
          <w:szCs w:val="19"/>
        </w:rPr>
        <w:t>Goupy P, Hugues M, Biovin P, and Amiot M. (1999) Antioxidant composition and activity of barley (Hordeumvulgare) and malt extracts of isolated phenolic compounds. J. Sci. Food Agric. 79, pp1625-34.</w:t>
      </w:r>
    </w:p>
    <w:p w:rsidR="000F21F1" w:rsidRPr="000F21F1" w:rsidRDefault="000F21F1" w:rsidP="000F21F1">
      <w:pPr>
        <w:numPr>
          <w:ilvl w:val="0"/>
          <w:numId w:val="28"/>
        </w:numPr>
        <w:spacing w:after="120"/>
        <w:jc w:val="lowKashida"/>
        <w:rPr>
          <w:sz w:val="19"/>
          <w:szCs w:val="19"/>
        </w:rPr>
      </w:pPr>
      <w:r w:rsidRPr="000F21F1">
        <w:rPr>
          <w:sz w:val="19"/>
          <w:szCs w:val="19"/>
        </w:rPr>
        <w:t>Mark. A: (2007) The nuclear area factor (NAF): A measure of cell apoptosis using microscopy and image analysis. Modern Res and Educ Topics in Microscopy.3, pp378-84.</w:t>
      </w:r>
    </w:p>
    <w:p w:rsidR="000F21F1" w:rsidRPr="000F21F1" w:rsidRDefault="000F21F1" w:rsidP="000F21F1">
      <w:pPr>
        <w:numPr>
          <w:ilvl w:val="0"/>
          <w:numId w:val="28"/>
        </w:numPr>
        <w:spacing w:after="120"/>
        <w:jc w:val="lowKashida"/>
        <w:rPr>
          <w:sz w:val="19"/>
          <w:szCs w:val="19"/>
        </w:rPr>
      </w:pPr>
      <w:r w:rsidRPr="000F21F1">
        <w:rPr>
          <w:sz w:val="19"/>
          <w:szCs w:val="19"/>
        </w:rPr>
        <w:t>Wlodkowic D, SkommerJ, and Darzynkiewicz Z. (2009) Flow cytometry-based apoptosis detection. Methods Mol Biol. 55(9), pp2-5</w:t>
      </w:r>
    </w:p>
    <w:p w:rsidR="000F21F1" w:rsidRPr="000F21F1" w:rsidRDefault="000F21F1" w:rsidP="000F21F1">
      <w:pPr>
        <w:numPr>
          <w:ilvl w:val="0"/>
          <w:numId w:val="28"/>
        </w:numPr>
        <w:spacing w:after="120"/>
        <w:jc w:val="lowKashida"/>
        <w:rPr>
          <w:sz w:val="19"/>
          <w:szCs w:val="19"/>
        </w:rPr>
      </w:pPr>
      <w:r w:rsidRPr="000F21F1">
        <w:rPr>
          <w:sz w:val="19"/>
          <w:szCs w:val="19"/>
        </w:rPr>
        <w:t>Aggarwal B, Danda D, Gupta S, Gehlot P. (2009) Models for prevention and treatment of cancer: Problems vs promises. Biochem Pharmacol. 78, pp1083–94.</w:t>
      </w:r>
    </w:p>
    <w:p w:rsidR="000F21F1" w:rsidRPr="000F21F1" w:rsidRDefault="000F21F1" w:rsidP="000F21F1">
      <w:pPr>
        <w:numPr>
          <w:ilvl w:val="0"/>
          <w:numId w:val="28"/>
        </w:numPr>
        <w:spacing w:after="120"/>
        <w:jc w:val="lowKashida"/>
        <w:rPr>
          <w:sz w:val="19"/>
          <w:szCs w:val="19"/>
        </w:rPr>
      </w:pPr>
      <w:r w:rsidRPr="000F21F1">
        <w:rPr>
          <w:sz w:val="19"/>
          <w:szCs w:val="19"/>
        </w:rPr>
        <w:t>Prakash O, Kumar A, Kumar P. (2013) Anticancer Potential of Plants and Natural Products: A Review. 1(6), pp.104-15.</w:t>
      </w:r>
    </w:p>
    <w:p w:rsidR="000F21F1" w:rsidRPr="000F21F1" w:rsidRDefault="000F21F1" w:rsidP="000F21F1">
      <w:pPr>
        <w:numPr>
          <w:ilvl w:val="0"/>
          <w:numId w:val="28"/>
        </w:numPr>
        <w:spacing w:after="120"/>
        <w:jc w:val="lowKashida"/>
        <w:rPr>
          <w:sz w:val="19"/>
          <w:szCs w:val="19"/>
        </w:rPr>
      </w:pPr>
      <w:r w:rsidRPr="000F21F1">
        <w:rPr>
          <w:sz w:val="19"/>
          <w:szCs w:val="19"/>
        </w:rPr>
        <w:t>[19] Bogdanov S, Martin, P. (2002) Honey authenticity: A review. Mitt.Lebensm.Hyg. 93, pp.232–54.</w:t>
      </w:r>
    </w:p>
    <w:p w:rsidR="000F21F1" w:rsidRPr="000F21F1" w:rsidRDefault="000F21F1" w:rsidP="000F21F1">
      <w:pPr>
        <w:numPr>
          <w:ilvl w:val="0"/>
          <w:numId w:val="28"/>
        </w:numPr>
        <w:spacing w:after="120"/>
        <w:jc w:val="lowKashida"/>
        <w:rPr>
          <w:sz w:val="19"/>
          <w:szCs w:val="19"/>
        </w:rPr>
      </w:pPr>
      <w:r w:rsidRPr="000F21F1">
        <w:rPr>
          <w:sz w:val="19"/>
          <w:szCs w:val="19"/>
        </w:rPr>
        <w:t>Manthey J, Guthrie N. (2002) Antiproliferative activities of citrus flavonoids against six human cancer cell lines. Agric Food Chem. 50, pp.5837-43.</w:t>
      </w:r>
    </w:p>
    <w:p w:rsidR="000F21F1" w:rsidRPr="000F21F1" w:rsidRDefault="000F21F1" w:rsidP="000F21F1">
      <w:pPr>
        <w:numPr>
          <w:ilvl w:val="0"/>
          <w:numId w:val="28"/>
        </w:numPr>
        <w:spacing w:after="120"/>
        <w:jc w:val="lowKashida"/>
        <w:rPr>
          <w:sz w:val="19"/>
          <w:szCs w:val="19"/>
        </w:rPr>
      </w:pPr>
      <w:r w:rsidRPr="000F21F1">
        <w:rPr>
          <w:sz w:val="19"/>
          <w:szCs w:val="19"/>
        </w:rPr>
        <w:t>Alzubier A and Okechukwu P. (2011) Investigation of anti-inflammatory, antipyretic and analgesic effect of Yemeni Sidr honey. World Acad of Sci, Engineer and Technol. 5(11), pp.8-20.</w:t>
      </w:r>
    </w:p>
    <w:p w:rsidR="000F21F1" w:rsidRPr="000F21F1" w:rsidRDefault="000F21F1" w:rsidP="000F21F1">
      <w:pPr>
        <w:numPr>
          <w:ilvl w:val="0"/>
          <w:numId w:val="28"/>
        </w:numPr>
        <w:spacing w:after="120"/>
        <w:jc w:val="lowKashida"/>
        <w:rPr>
          <w:sz w:val="19"/>
          <w:szCs w:val="19"/>
        </w:rPr>
      </w:pPr>
      <w:r w:rsidRPr="000F21F1">
        <w:rPr>
          <w:sz w:val="19"/>
          <w:szCs w:val="19"/>
        </w:rPr>
        <w:t xml:space="preserve">Badria F, Fathy H, Fatehe A, Elimam D, Ghazy M. (2017) Evaluate the cytotoxic activity of honey, propolis, and bee venom from different localities in Egypt against </w:t>
      </w:r>
      <w:r w:rsidRPr="000F21F1">
        <w:rPr>
          <w:sz w:val="19"/>
          <w:szCs w:val="19"/>
        </w:rPr>
        <w:lastRenderedPageBreak/>
        <w:t>liver, breast, and colorectal cancer. Journal of Apitherapy. 203(7), pp.53-9.</w:t>
      </w:r>
    </w:p>
    <w:p w:rsidR="000F21F1" w:rsidRPr="000F21F1" w:rsidRDefault="000F21F1" w:rsidP="000F21F1">
      <w:pPr>
        <w:numPr>
          <w:ilvl w:val="0"/>
          <w:numId w:val="28"/>
        </w:numPr>
        <w:spacing w:after="120"/>
        <w:jc w:val="lowKashida"/>
        <w:rPr>
          <w:sz w:val="19"/>
          <w:szCs w:val="19"/>
        </w:rPr>
      </w:pPr>
      <w:hyperlink r:id="rId31" w:history="1">
        <w:r w:rsidRPr="000F21F1">
          <w:rPr>
            <w:sz w:val="19"/>
            <w:szCs w:val="19"/>
          </w:rPr>
          <w:t>Roshan N</w:t>
        </w:r>
      </w:hyperlink>
      <w:r w:rsidRPr="000F21F1">
        <w:rPr>
          <w:sz w:val="19"/>
          <w:szCs w:val="19"/>
        </w:rPr>
        <w:t xml:space="preserve">, Rippers T, </w:t>
      </w:r>
      <w:hyperlink r:id="rId32" w:history="1">
        <w:r w:rsidRPr="000F21F1">
          <w:rPr>
            <w:sz w:val="19"/>
            <w:szCs w:val="19"/>
          </w:rPr>
          <w:t>Locher C</w:t>
        </w:r>
      </w:hyperlink>
      <w:r w:rsidRPr="000F21F1">
        <w:rPr>
          <w:sz w:val="19"/>
          <w:szCs w:val="19"/>
        </w:rPr>
        <w:t xml:space="preserve">, </w:t>
      </w:r>
      <w:hyperlink r:id="rId33" w:history="1">
        <w:r w:rsidRPr="000F21F1">
          <w:rPr>
            <w:sz w:val="19"/>
            <w:szCs w:val="19"/>
          </w:rPr>
          <w:t>Hammer K</w:t>
        </w:r>
      </w:hyperlink>
      <w:r w:rsidRPr="000F21F1">
        <w:rPr>
          <w:sz w:val="19"/>
          <w:szCs w:val="19"/>
        </w:rPr>
        <w:t xml:space="preserve">. (2017) Antibacterial activity and chemical characteristics of several Western Australian honeys compared to manuka honey and pasture honey. </w:t>
      </w:r>
      <w:hyperlink r:id="rId34" w:tooltip="Archives of microbiology." w:history="1">
        <w:r w:rsidRPr="000F21F1">
          <w:rPr>
            <w:sz w:val="19"/>
            <w:szCs w:val="19"/>
          </w:rPr>
          <w:t>Arch Microbiol.</w:t>
        </w:r>
      </w:hyperlink>
      <w:r w:rsidRPr="000F21F1">
        <w:rPr>
          <w:sz w:val="19"/>
          <w:szCs w:val="19"/>
        </w:rPr>
        <w:t xml:space="preserve"> 199(2), pp.347-55.</w:t>
      </w:r>
    </w:p>
    <w:p w:rsidR="000F21F1" w:rsidRPr="000F21F1" w:rsidRDefault="000F21F1" w:rsidP="000F21F1">
      <w:pPr>
        <w:numPr>
          <w:ilvl w:val="0"/>
          <w:numId w:val="28"/>
        </w:numPr>
        <w:spacing w:after="120"/>
        <w:jc w:val="lowKashida"/>
        <w:rPr>
          <w:sz w:val="19"/>
          <w:szCs w:val="19"/>
        </w:rPr>
      </w:pPr>
      <w:r w:rsidRPr="000F21F1">
        <w:rPr>
          <w:sz w:val="19"/>
          <w:szCs w:val="19"/>
        </w:rPr>
        <w:t>Fauzi A, Norazmi M, Yaacob N. (2011) Tualang honey induces apoptosis and disrupts the mitochondrial membrane potential of human breast and cervical cancer cell lines. Food Chem. Toxicol. 49, pp.871–8.</w:t>
      </w:r>
    </w:p>
    <w:p w:rsidR="000F21F1" w:rsidRPr="000F21F1" w:rsidRDefault="000F21F1" w:rsidP="000F21F1">
      <w:pPr>
        <w:numPr>
          <w:ilvl w:val="0"/>
          <w:numId w:val="28"/>
        </w:numPr>
        <w:spacing w:after="120"/>
        <w:jc w:val="lowKashida"/>
        <w:rPr>
          <w:sz w:val="19"/>
          <w:szCs w:val="19"/>
        </w:rPr>
      </w:pPr>
      <w:r w:rsidRPr="000F21F1">
        <w:rPr>
          <w:sz w:val="19"/>
          <w:szCs w:val="19"/>
        </w:rPr>
        <w:t>Hsu M, Elder D, Herlyn M. (1991) Cancer Cell Lines Part 1. In: Masters, J R, Palsson B, editors. Human Cell Culture Volume 1. Dordrecht: Kluwer Academic, pp. 259–74.</w:t>
      </w:r>
    </w:p>
    <w:p w:rsidR="000F21F1" w:rsidRPr="000F21F1" w:rsidRDefault="000F21F1" w:rsidP="000F21F1">
      <w:pPr>
        <w:numPr>
          <w:ilvl w:val="0"/>
          <w:numId w:val="28"/>
        </w:numPr>
        <w:spacing w:after="120"/>
        <w:jc w:val="lowKashida"/>
        <w:rPr>
          <w:sz w:val="19"/>
          <w:szCs w:val="19"/>
        </w:rPr>
      </w:pPr>
      <w:r w:rsidRPr="000F21F1">
        <w:rPr>
          <w:sz w:val="19"/>
          <w:szCs w:val="19"/>
        </w:rPr>
        <w:t xml:space="preserve">Ahmed S, Othman N. (2013) </w:t>
      </w:r>
      <w:hyperlink r:id="rId35" w:history="1">
        <w:r w:rsidRPr="000F21F1">
          <w:rPr>
            <w:sz w:val="19"/>
            <w:szCs w:val="19"/>
          </w:rPr>
          <w:t>Honey as a potential natural anticancer agent: a review of its mechanisms.</w:t>
        </w:r>
      </w:hyperlink>
      <w:r w:rsidRPr="000F21F1">
        <w:rPr>
          <w:sz w:val="19"/>
          <w:szCs w:val="19"/>
        </w:rPr>
        <w:t xml:space="preserve"> Evid Based Complement Alternat Med. 20, pp.82-90.</w:t>
      </w:r>
    </w:p>
    <w:p w:rsidR="000F21F1" w:rsidRPr="000F21F1" w:rsidRDefault="000F21F1" w:rsidP="000F21F1">
      <w:pPr>
        <w:numPr>
          <w:ilvl w:val="0"/>
          <w:numId w:val="28"/>
        </w:numPr>
        <w:spacing w:after="120"/>
        <w:jc w:val="lowKashida"/>
        <w:rPr>
          <w:sz w:val="19"/>
          <w:szCs w:val="19"/>
        </w:rPr>
      </w:pPr>
      <w:r w:rsidRPr="000F21F1">
        <w:rPr>
          <w:sz w:val="19"/>
          <w:szCs w:val="19"/>
        </w:rPr>
        <w:t>Chua L, Rahaman N, Adnan N, Eddie T. (2013) Antioxidant activity of three honey samples in relation with their biochemical components. J Anal Methods Chem, 31(3), pp.87-98</w:t>
      </w:r>
    </w:p>
    <w:p w:rsidR="000F21F1" w:rsidRPr="000F21F1" w:rsidRDefault="000F21F1" w:rsidP="000F21F1">
      <w:pPr>
        <w:numPr>
          <w:ilvl w:val="0"/>
          <w:numId w:val="28"/>
        </w:numPr>
        <w:spacing w:after="120"/>
        <w:jc w:val="lowKashida"/>
        <w:rPr>
          <w:sz w:val="19"/>
          <w:szCs w:val="19"/>
        </w:rPr>
      </w:pPr>
      <w:r w:rsidRPr="000F21F1">
        <w:rPr>
          <w:sz w:val="19"/>
          <w:szCs w:val="19"/>
        </w:rPr>
        <w:t>Wen C, Hussein S, Abdullah S, Karim N, Makpol S, Yusof Y. (2012) Gelam and Nenas honeys inhibit proliferation of HT 29 colon cancer cells by inducing DNA damage and apoptosis while suppressing inflammation. Asian Pac. J. Cancer Prev. 13(1), pp.1605–10.</w:t>
      </w:r>
    </w:p>
    <w:p w:rsidR="000F21F1" w:rsidRPr="000F21F1" w:rsidRDefault="000F21F1" w:rsidP="000F21F1">
      <w:pPr>
        <w:numPr>
          <w:ilvl w:val="0"/>
          <w:numId w:val="28"/>
        </w:numPr>
        <w:spacing w:after="120"/>
        <w:jc w:val="lowKashida"/>
        <w:rPr>
          <w:sz w:val="19"/>
          <w:szCs w:val="19"/>
        </w:rPr>
      </w:pPr>
      <w:r w:rsidRPr="000F21F1">
        <w:rPr>
          <w:sz w:val="19"/>
          <w:szCs w:val="19"/>
        </w:rPr>
        <w:t>Hussein S, MohdYusof K, Makpol S, MohdYusof Y. (2011) Antioxidant capacities and total phenolic contents increase with gamma irradiation in two types of Malaysian honey. Molecules.16, pp.6378-95.</w:t>
      </w:r>
    </w:p>
    <w:p w:rsidR="000F21F1" w:rsidRPr="000F21F1" w:rsidRDefault="000F21F1" w:rsidP="000F21F1">
      <w:pPr>
        <w:numPr>
          <w:ilvl w:val="0"/>
          <w:numId w:val="28"/>
        </w:numPr>
        <w:spacing w:after="120"/>
        <w:jc w:val="lowKashida"/>
        <w:rPr>
          <w:sz w:val="19"/>
          <w:szCs w:val="19"/>
        </w:rPr>
      </w:pPr>
      <w:r w:rsidRPr="000F21F1">
        <w:rPr>
          <w:sz w:val="19"/>
          <w:szCs w:val="19"/>
        </w:rPr>
        <w:t>Ghashm A, Othman N, Khattak M, Ismail N, Saini R. (2010) Antiproliferative effect of Tualang honey on oral squamous cell carcinoma and osteosarcoma cell lines. BMC Compl Alternative Med. 10, pp.49-55.</w:t>
      </w:r>
    </w:p>
    <w:p w:rsidR="000F21F1" w:rsidRPr="000F21F1" w:rsidRDefault="000F21F1" w:rsidP="000F21F1">
      <w:pPr>
        <w:numPr>
          <w:ilvl w:val="0"/>
          <w:numId w:val="28"/>
        </w:numPr>
        <w:spacing w:after="120"/>
        <w:jc w:val="lowKashida"/>
        <w:rPr>
          <w:sz w:val="19"/>
          <w:szCs w:val="19"/>
        </w:rPr>
      </w:pPr>
      <w:r w:rsidRPr="000F21F1">
        <w:rPr>
          <w:sz w:val="19"/>
          <w:szCs w:val="19"/>
        </w:rPr>
        <w:t>Samarghandian S, Afshari J, Davoodi S. (2011) Honey induces apoptosis in renal cell carcinoma. Pharmacogn Mag. 7(25), pp.46-52</w:t>
      </w:r>
    </w:p>
    <w:p w:rsidR="000F21F1" w:rsidRPr="000F21F1" w:rsidRDefault="000F21F1" w:rsidP="000F21F1">
      <w:pPr>
        <w:numPr>
          <w:ilvl w:val="0"/>
          <w:numId w:val="28"/>
        </w:numPr>
        <w:spacing w:after="120"/>
        <w:jc w:val="lowKashida"/>
        <w:rPr>
          <w:sz w:val="19"/>
          <w:szCs w:val="19"/>
        </w:rPr>
      </w:pPr>
      <w:r w:rsidRPr="000F21F1">
        <w:rPr>
          <w:sz w:val="19"/>
          <w:szCs w:val="19"/>
        </w:rPr>
        <w:t>Tomasin R. and Cintra Gomes-Marcondes M. (2011) Oral administration of Aloevera and honey reduces walker tumour growth by decreasing cell proliferation and increasing apoptosis in tumour tissue. Phytotherapy Research. 25(4), pp.619– 23.</w:t>
      </w:r>
    </w:p>
    <w:p w:rsidR="000F21F1" w:rsidRPr="000F21F1" w:rsidRDefault="000F21F1" w:rsidP="000F21F1">
      <w:pPr>
        <w:numPr>
          <w:ilvl w:val="0"/>
          <w:numId w:val="28"/>
        </w:numPr>
        <w:spacing w:after="120"/>
        <w:jc w:val="lowKashida"/>
        <w:rPr>
          <w:sz w:val="19"/>
          <w:szCs w:val="19"/>
        </w:rPr>
      </w:pPr>
      <w:r w:rsidRPr="000F21F1">
        <w:rPr>
          <w:sz w:val="19"/>
          <w:szCs w:val="19"/>
        </w:rPr>
        <w:t>Moskwa J, Borawska M, Markiewicz-Zukowska R, Puscion-Jakubik A, Naliwajko S, Socha K, Soroczynska J. (2014) Polish natural bee honeys are anti-proliferative and anti-metastatic agents in human glioblastoma multiforme U87MG Cell Line. 9(3), pp.533-41.</w:t>
      </w:r>
    </w:p>
    <w:p w:rsidR="000F21F1" w:rsidRPr="000F21F1" w:rsidRDefault="000F21F1" w:rsidP="000F21F1">
      <w:pPr>
        <w:numPr>
          <w:ilvl w:val="0"/>
          <w:numId w:val="28"/>
        </w:numPr>
        <w:spacing w:after="120"/>
        <w:jc w:val="lowKashida"/>
        <w:rPr>
          <w:sz w:val="19"/>
          <w:szCs w:val="19"/>
        </w:rPr>
      </w:pPr>
      <w:hyperlink r:id="rId36" w:history="1">
        <w:r w:rsidRPr="000F21F1">
          <w:rPr>
            <w:sz w:val="19"/>
            <w:szCs w:val="19"/>
          </w:rPr>
          <w:t>Zhivotosky B</w:t>
        </w:r>
      </w:hyperlink>
      <w:r w:rsidRPr="000F21F1">
        <w:rPr>
          <w:sz w:val="19"/>
          <w:szCs w:val="19"/>
        </w:rPr>
        <w:t xml:space="preserve">, </w:t>
      </w:r>
      <w:hyperlink r:id="rId37" w:history="1">
        <w:r w:rsidRPr="000F21F1">
          <w:rPr>
            <w:sz w:val="19"/>
            <w:szCs w:val="19"/>
          </w:rPr>
          <w:t>Orrenius S</w:t>
        </w:r>
      </w:hyperlink>
      <w:r w:rsidRPr="000F21F1">
        <w:rPr>
          <w:sz w:val="19"/>
          <w:szCs w:val="19"/>
        </w:rPr>
        <w:t xml:space="preserve">. (2001) Assessment of apoptosis and necrosis by DNA fragmentation and morphological criteria. </w:t>
      </w:r>
      <w:hyperlink r:id="rId38" w:tooltip="Current protocols in cell biology." w:history="1">
        <w:r w:rsidRPr="000F21F1">
          <w:rPr>
            <w:sz w:val="19"/>
            <w:szCs w:val="19"/>
          </w:rPr>
          <w:t>Curr Protoc Cell Biol.</w:t>
        </w:r>
      </w:hyperlink>
      <w:r w:rsidRPr="000F21F1">
        <w:rPr>
          <w:sz w:val="19"/>
          <w:szCs w:val="19"/>
        </w:rPr>
        <w:t xml:space="preserve"> 18(3), pp.10-12.</w:t>
      </w:r>
    </w:p>
    <w:p w:rsidR="000F21F1" w:rsidRPr="000F21F1" w:rsidRDefault="000F21F1" w:rsidP="000F21F1">
      <w:pPr>
        <w:numPr>
          <w:ilvl w:val="0"/>
          <w:numId w:val="28"/>
        </w:numPr>
        <w:spacing w:after="120"/>
        <w:jc w:val="lowKashida"/>
        <w:rPr>
          <w:sz w:val="19"/>
          <w:szCs w:val="19"/>
        </w:rPr>
      </w:pPr>
      <w:r w:rsidRPr="000F21F1">
        <w:rPr>
          <w:sz w:val="19"/>
          <w:szCs w:val="19"/>
        </w:rPr>
        <w:t>Morales P, Haza A. (2013) Antiproliferative and apoptotic effects of Spanish honeys. Pharmacogn. Mag. 9, pp.231–7.</w:t>
      </w:r>
    </w:p>
    <w:p w:rsidR="000F21F1" w:rsidRPr="000F21F1" w:rsidRDefault="000F21F1" w:rsidP="000F21F1">
      <w:pPr>
        <w:numPr>
          <w:ilvl w:val="0"/>
          <w:numId w:val="28"/>
        </w:numPr>
        <w:spacing w:after="120"/>
        <w:jc w:val="lowKashida"/>
        <w:rPr>
          <w:sz w:val="19"/>
          <w:szCs w:val="19"/>
        </w:rPr>
      </w:pPr>
      <w:r w:rsidRPr="000F21F1">
        <w:rPr>
          <w:sz w:val="19"/>
          <w:szCs w:val="19"/>
        </w:rPr>
        <w:t>Jaganathan S, Mandal M. (2009) Antiproliferative effects of honey and of its polyphenols: a review. J Biomed Biotechnol.34, pp.1–13.</w:t>
      </w:r>
    </w:p>
    <w:p w:rsidR="00351E9B" w:rsidRDefault="000F21F1" w:rsidP="000F21F1">
      <w:pPr>
        <w:numPr>
          <w:ilvl w:val="0"/>
          <w:numId w:val="28"/>
        </w:numPr>
        <w:shd w:val="clear" w:color="auto" w:fill="FFFFFF"/>
        <w:spacing w:after="120"/>
        <w:jc w:val="lowKashida"/>
        <w:rPr>
          <w:sz w:val="19"/>
          <w:szCs w:val="19"/>
          <w:lang w:val="en-IN" w:eastAsia="en-IN"/>
        </w:rPr>
      </w:pPr>
      <w:r w:rsidRPr="000F21F1">
        <w:rPr>
          <w:sz w:val="19"/>
          <w:szCs w:val="19"/>
        </w:rPr>
        <w:t>Galijatovic A, Otake Y, Walle U, Walle T. (2001) Induction of UDP glucuronosyltransferase UGT1A1 by the flavonoid chrys in Caco-2-cells– potential role in carcinogen bioinactivation. Pharm Res. 18(3), pp.374–9.</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0F21F1" w:rsidP="007B20EF">
      <w:pPr>
        <w:jc w:val="both"/>
        <w:rPr>
          <w:rFonts w:eastAsia="MS PGothic"/>
          <w:b/>
          <w:sz w:val="19"/>
          <w:szCs w:val="19"/>
        </w:rPr>
      </w:pPr>
      <w:r>
        <w:rPr>
          <w:sz w:val="19"/>
          <w:szCs w:val="19"/>
        </w:rPr>
        <w:t>Ehab Abd Elhamid</w:t>
      </w:r>
      <w:r w:rsidR="00861508" w:rsidRPr="0005164C">
        <w:rPr>
          <w:sz w:val="19"/>
          <w:szCs w:val="19"/>
        </w:rPr>
        <w:t xml:space="preserve"> has completed his PhD at the age of </w:t>
      </w:r>
      <w:r>
        <w:rPr>
          <w:sz w:val="19"/>
          <w:szCs w:val="19"/>
        </w:rPr>
        <w:t>33</w:t>
      </w:r>
      <w:r w:rsidR="00861508" w:rsidRPr="0005164C">
        <w:rPr>
          <w:sz w:val="19"/>
          <w:szCs w:val="19"/>
        </w:rPr>
        <w:t xml:space="preserve"> years from </w:t>
      </w:r>
      <w:r>
        <w:rPr>
          <w:sz w:val="19"/>
          <w:szCs w:val="19"/>
        </w:rPr>
        <w:t>Ain Shams</w:t>
      </w:r>
      <w:r w:rsidR="00E177DC" w:rsidRPr="0005164C">
        <w:rPr>
          <w:sz w:val="19"/>
          <w:szCs w:val="19"/>
        </w:rPr>
        <w:t xml:space="preserve"> </w:t>
      </w:r>
      <w:r w:rsidR="00861508" w:rsidRPr="0005164C">
        <w:rPr>
          <w:sz w:val="19"/>
          <w:szCs w:val="19"/>
        </w:rPr>
        <w:t xml:space="preserve">University and </w:t>
      </w:r>
      <w:r w:rsidR="00E177DC">
        <w:rPr>
          <w:sz w:val="19"/>
          <w:szCs w:val="19"/>
        </w:rPr>
        <w:t>P</w:t>
      </w:r>
      <w:r w:rsidR="00861508" w:rsidRPr="0005164C">
        <w:rPr>
          <w:sz w:val="19"/>
          <w:szCs w:val="19"/>
        </w:rPr>
        <w:t xml:space="preserve">ostdoctoral </w:t>
      </w:r>
      <w:r w:rsidR="00E177DC">
        <w:rPr>
          <w:sz w:val="19"/>
          <w:szCs w:val="19"/>
        </w:rPr>
        <w:t>S</w:t>
      </w:r>
      <w:r w:rsidR="00861508" w:rsidRPr="0005164C">
        <w:rPr>
          <w:sz w:val="19"/>
          <w:szCs w:val="19"/>
        </w:rPr>
        <w:t xml:space="preserve">tudies from </w:t>
      </w:r>
      <w:r w:rsidR="00E177DC" w:rsidRPr="0005164C">
        <w:rPr>
          <w:sz w:val="19"/>
          <w:szCs w:val="19"/>
        </w:rPr>
        <w:t xml:space="preserve">School of </w:t>
      </w:r>
      <w:r>
        <w:rPr>
          <w:sz w:val="19"/>
          <w:szCs w:val="19"/>
        </w:rPr>
        <w:t>Dentistry</w:t>
      </w:r>
      <w:r w:rsidR="00E177DC">
        <w:rPr>
          <w:sz w:val="19"/>
          <w:szCs w:val="19"/>
        </w:rPr>
        <w:t xml:space="preserve">, </w:t>
      </w:r>
      <w:r>
        <w:rPr>
          <w:sz w:val="19"/>
          <w:szCs w:val="19"/>
        </w:rPr>
        <w:t>Ain Shams</w:t>
      </w:r>
      <w:r w:rsidR="00E177DC" w:rsidRPr="0005164C">
        <w:rPr>
          <w:sz w:val="19"/>
          <w:szCs w:val="19"/>
        </w:rPr>
        <w:t xml:space="preserve"> </w:t>
      </w:r>
      <w:r w:rsidR="00861508" w:rsidRPr="0005164C">
        <w:rPr>
          <w:sz w:val="19"/>
          <w:szCs w:val="19"/>
        </w:rPr>
        <w:t>University</w:t>
      </w:r>
      <w:r w:rsidR="00E177DC">
        <w:rPr>
          <w:sz w:val="19"/>
          <w:szCs w:val="19"/>
        </w:rPr>
        <w:t xml:space="preserve">, </w:t>
      </w:r>
      <w:r>
        <w:rPr>
          <w:sz w:val="19"/>
          <w:szCs w:val="19"/>
        </w:rPr>
        <w:t>Egypt</w:t>
      </w:r>
      <w:r w:rsidR="00861508" w:rsidRPr="0005164C">
        <w:rPr>
          <w:sz w:val="19"/>
          <w:szCs w:val="19"/>
        </w:rPr>
        <w:t xml:space="preserve">. He is the </w:t>
      </w:r>
      <w:r w:rsidR="00E177DC">
        <w:rPr>
          <w:sz w:val="19"/>
          <w:szCs w:val="19"/>
        </w:rPr>
        <w:t>D</w:t>
      </w:r>
      <w:r w:rsidR="00861508" w:rsidRPr="0005164C">
        <w:rPr>
          <w:sz w:val="19"/>
          <w:szCs w:val="19"/>
        </w:rPr>
        <w:t xml:space="preserve">irector of </w:t>
      </w:r>
      <w:r>
        <w:rPr>
          <w:sz w:val="19"/>
          <w:szCs w:val="19"/>
        </w:rPr>
        <w:t>Medical Research Center</w:t>
      </w:r>
      <w:r w:rsidR="00861508" w:rsidRPr="0005164C">
        <w:rPr>
          <w:sz w:val="19"/>
          <w:szCs w:val="19"/>
        </w:rPr>
        <w:t>,</w:t>
      </w:r>
      <w:r>
        <w:rPr>
          <w:sz w:val="19"/>
          <w:szCs w:val="19"/>
        </w:rPr>
        <w:t xml:space="preserve"> Misr International University</w:t>
      </w:r>
      <w:r w:rsidR="00861508" w:rsidRPr="0005164C">
        <w:rPr>
          <w:sz w:val="19"/>
          <w:szCs w:val="19"/>
        </w:rPr>
        <w:t>. He has pu</w:t>
      </w:r>
      <w:r>
        <w:rPr>
          <w:sz w:val="19"/>
          <w:szCs w:val="19"/>
        </w:rPr>
        <w:t xml:space="preserve">blished more than 25 papers in either local or international </w:t>
      </w:r>
      <w:r w:rsidR="00861508" w:rsidRPr="0005164C">
        <w:rPr>
          <w:sz w:val="19"/>
          <w:szCs w:val="19"/>
        </w:rPr>
        <w:t>jou</w:t>
      </w:r>
      <w:r w:rsidR="007B20EF">
        <w:rPr>
          <w:sz w:val="19"/>
          <w:szCs w:val="19"/>
        </w:rPr>
        <w:t>rnals and has been serving as an executive director of Quality Assurance and Accreditation Project at Ministry of Higher Education, Egypt</w:t>
      </w:r>
      <w:r w:rsidR="00861508" w:rsidRPr="0005164C">
        <w:rPr>
          <w:sz w:val="19"/>
          <w:szCs w:val="19"/>
        </w:rPr>
        <w:t xml:space="preserve">. </w:t>
      </w: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7B20EF" w:rsidRDefault="007B20EF" w:rsidP="007B20EF">
      <w:pPr>
        <w:autoSpaceDE w:val="0"/>
        <w:autoSpaceDN w:val="0"/>
        <w:adjustRightInd w:val="0"/>
        <w:ind w:left="1714"/>
        <w:jc w:val="left"/>
        <w:rPr>
          <w:b/>
          <w:sz w:val="19"/>
          <w:szCs w:val="19"/>
          <w:lang w:val="en-NZ"/>
        </w:rPr>
      </w:pPr>
    </w:p>
    <w:p w:rsidR="00272C82" w:rsidRDefault="00861508" w:rsidP="007B20E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376146" w:rsidRPr="0005164C" w:rsidRDefault="00376146" w:rsidP="00376146">
      <w:pPr>
        <w:autoSpaceDE w:val="0"/>
        <w:autoSpaceDN w:val="0"/>
        <w:adjustRightInd w:val="0"/>
        <w:ind w:left="1714"/>
        <w:jc w:val="left"/>
        <w:rPr>
          <w:b/>
          <w:sz w:val="19"/>
          <w:szCs w:val="19"/>
          <w:lang w:val="en-NZ"/>
        </w:rPr>
      </w:pPr>
    </w:p>
    <w:tbl>
      <w:tblPr>
        <w:tblW w:w="5688" w:type="dxa"/>
        <w:tblLook w:val="04A0" w:firstRow="1" w:lastRow="0" w:firstColumn="1" w:lastColumn="0" w:noHBand="0" w:noVBand="1"/>
      </w:tblPr>
      <w:tblGrid>
        <w:gridCol w:w="1728"/>
        <w:gridCol w:w="3960"/>
      </w:tblGrid>
      <w:tr w:rsidR="005F0973" w:rsidRPr="00F82333" w:rsidTr="00F82333">
        <w:tc>
          <w:tcPr>
            <w:tcW w:w="1728" w:type="dxa"/>
            <w:shd w:val="clear" w:color="auto" w:fill="auto"/>
          </w:tcPr>
          <w:p w:rsidR="005F0973" w:rsidRPr="00F82333" w:rsidRDefault="00AD1317" w:rsidP="00F82333">
            <w:pPr>
              <w:autoSpaceDE w:val="0"/>
              <w:autoSpaceDN w:val="0"/>
              <w:adjustRightInd w:val="0"/>
              <w:rPr>
                <w:sz w:val="19"/>
                <w:szCs w:val="19"/>
                <w:lang w:val="en-NZ"/>
              </w:rPr>
            </w:pPr>
            <w:r w:rsidRPr="00F82333">
              <w:rPr>
                <w:noProof/>
                <w:sz w:val="19"/>
                <w:szCs w:val="19"/>
              </w:rPr>
              <w:drawing>
                <wp:inline distT="0" distB="0" distL="0" distR="0">
                  <wp:extent cx="962025" cy="1171575"/>
                  <wp:effectExtent l="0" t="0" r="0" b="0"/>
                  <wp:docPr id="3" name="Picture 3" descr="Form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al-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62025" cy="1171575"/>
                          </a:xfrm>
                          <a:prstGeom prst="rect">
                            <a:avLst/>
                          </a:prstGeom>
                          <a:noFill/>
                          <a:ln>
                            <a:noFill/>
                          </a:ln>
                        </pic:spPr>
                      </pic:pic>
                    </a:graphicData>
                  </a:graphic>
                </wp:inline>
              </w:drawing>
            </w:r>
          </w:p>
        </w:tc>
        <w:tc>
          <w:tcPr>
            <w:tcW w:w="3960" w:type="dxa"/>
            <w:shd w:val="clear" w:color="auto" w:fill="auto"/>
          </w:tcPr>
          <w:p w:rsidR="005F0973" w:rsidRPr="00F82333" w:rsidRDefault="005F0973" w:rsidP="00F82333">
            <w:pPr>
              <w:autoSpaceDE w:val="0"/>
              <w:autoSpaceDN w:val="0"/>
              <w:adjustRightInd w:val="0"/>
              <w:jc w:val="left"/>
              <w:rPr>
                <w:sz w:val="19"/>
                <w:szCs w:val="19"/>
                <w:lang w:val="en-NZ"/>
              </w:rPr>
            </w:pPr>
            <w:r w:rsidRPr="00F82333">
              <w:rPr>
                <w:sz w:val="19"/>
                <w:szCs w:val="19"/>
                <w:lang w:val="en-NZ"/>
              </w:rPr>
              <w:t>Full Name: Ehab Saeed Abd Elhamid</w:t>
            </w:r>
          </w:p>
          <w:p w:rsidR="005F0973" w:rsidRPr="00F82333" w:rsidRDefault="005F0973" w:rsidP="00F82333">
            <w:pPr>
              <w:autoSpaceDE w:val="0"/>
              <w:autoSpaceDN w:val="0"/>
              <w:adjustRightInd w:val="0"/>
              <w:jc w:val="left"/>
              <w:rPr>
                <w:sz w:val="19"/>
                <w:szCs w:val="19"/>
                <w:lang w:val="en-NZ"/>
              </w:rPr>
            </w:pPr>
            <w:r w:rsidRPr="00F82333">
              <w:rPr>
                <w:sz w:val="19"/>
                <w:szCs w:val="19"/>
                <w:lang w:val="en-NZ"/>
              </w:rPr>
              <w:t>Contact number: 00201001520698</w:t>
            </w:r>
            <w:r w:rsidRPr="00F82333">
              <w:rPr>
                <w:sz w:val="19"/>
                <w:szCs w:val="19"/>
                <w:lang w:val="en-NZ"/>
              </w:rPr>
              <w:br/>
              <w:t xml:space="preserve">ORCID ID: </w:t>
            </w:r>
            <w:hyperlink r:id="rId40" w:tgtFrame="_blank" w:history="1">
              <w:r w:rsidRPr="00F82333">
                <w:rPr>
                  <w:rStyle w:val="Hyperlink"/>
                  <w:rFonts w:eastAsia="MS Mincho"/>
                  <w:b/>
                  <w:bCs/>
                  <w:i/>
                  <w:iCs/>
                  <w:color w:val="1155CC"/>
                  <w:sz w:val="19"/>
                  <w:szCs w:val="19"/>
                  <w:shd w:val="clear" w:color="auto" w:fill="FFFFFF"/>
                </w:rPr>
                <w:t>https://orcid.org/0000-0001-9749-9861</w:t>
              </w:r>
            </w:hyperlink>
          </w:p>
          <w:p w:rsidR="005F0973" w:rsidRPr="00F82333" w:rsidRDefault="005F0973" w:rsidP="00F82333">
            <w:pPr>
              <w:autoSpaceDE w:val="0"/>
              <w:autoSpaceDN w:val="0"/>
              <w:adjustRightInd w:val="0"/>
              <w:jc w:val="left"/>
              <w:rPr>
                <w:b/>
                <w:sz w:val="19"/>
                <w:szCs w:val="19"/>
                <w:lang w:val="en-NZ"/>
              </w:rPr>
            </w:pPr>
            <w:r w:rsidRPr="00F82333">
              <w:rPr>
                <w:sz w:val="19"/>
                <w:szCs w:val="19"/>
                <w:lang w:val="en-NZ"/>
              </w:rPr>
              <w:t xml:space="preserve">Linked In account: Ihab Ibrahim </w:t>
            </w:r>
          </w:p>
          <w:p w:rsidR="005F0973" w:rsidRPr="00F82333" w:rsidRDefault="005F0973" w:rsidP="00F82333">
            <w:pPr>
              <w:autoSpaceDE w:val="0"/>
              <w:autoSpaceDN w:val="0"/>
              <w:adjustRightInd w:val="0"/>
              <w:jc w:val="left"/>
              <w:rPr>
                <w:sz w:val="19"/>
                <w:szCs w:val="19"/>
                <w:lang w:val="en-NZ"/>
              </w:rPr>
            </w:pPr>
            <w:r w:rsidRPr="00F82333">
              <w:rPr>
                <w:sz w:val="19"/>
                <w:szCs w:val="19"/>
                <w:lang w:val="en-NZ"/>
              </w:rPr>
              <w:t>Session name/ number:</w:t>
            </w:r>
            <w:r w:rsidR="00714A07" w:rsidRPr="00F82333">
              <w:rPr>
                <w:sz w:val="19"/>
                <w:szCs w:val="19"/>
                <w:lang w:val="en-NZ"/>
              </w:rPr>
              <w:t xml:space="preserve"> </w:t>
            </w:r>
            <w:r w:rsidR="000624CF" w:rsidRPr="00F82333">
              <w:rPr>
                <w:sz w:val="19"/>
                <w:szCs w:val="19"/>
                <w:lang w:val="en-NZ"/>
              </w:rPr>
              <w:br/>
              <w:t>Category: (Oral P</w:t>
            </w:r>
            <w:r w:rsidRPr="00F82333">
              <w:rPr>
                <w:sz w:val="19"/>
                <w:szCs w:val="19"/>
                <w:lang w:val="en-NZ"/>
              </w:rPr>
              <w:t>resentation)</w:t>
            </w:r>
          </w:p>
          <w:p w:rsidR="005F0973" w:rsidRPr="00F82333" w:rsidRDefault="005F0973" w:rsidP="00F82333">
            <w:pPr>
              <w:autoSpaceDE w:val="0"/>
              <w:autoSpaceDN w:val="0"/>
              <w:adjustRightInd w:val="0"/>
              <w:jc w:val="left"/>
              <w:rPr>
                <w:sz w:val="19"/>
                <w:szCs w:val="19"/>
                <w:lang w:val="en-NZ"/>
              </w:rPr>
            </w:pPr>
            <w:r w:rsidRPr="00F82333">
              <w:rPr>
                <w:sz w:val="19"/>
                <w:szCs w:val="19"/>
                <w:lang w:val="en-NZ"/>
              </w:rPr>
              <w:t>Passport Number</w:t>
            </w:r>
            <w:r w:rsidRPr="00F82333">
              <w:rPr>
                <w:sz w:val="18"/>
                <w:szCs w:val="18"/>
                <w:lang w:val="en-IN"/>
              </w:rPr>
              <w:t>:</w:t>
            </w:r>
            <w:r w:rsidR="000624CF" w:rsidRPr="00F82333">
              <w:rPr>
                <w:sz w:val="18"/>
                <w:szCs w:val="18"/>
                <w:lang w:val="en-IN"/>
              </w:rPr>
              <w:t xml:space="preserve">  </w:t>
            </w:r>
            <w:r w:rsidR="00540A95">
              <w:rPr>
                <w:sz w:val="18"/>
                <w:szCs w:val="18"/>
                <w:lang w:val="en-IN"/>
              </w:rPr>
              <w:t>S00019443</w:t>
            </w:r>
            <w:r w:rsidR="00714A07" w:rsidRPr="00F82333">
              <w:rPr>
                <w:sz w:val="18"/>
                <w:szCs w:val="18"/>
                <w:lang w:val="en-IN"/>
              </w:rPr>
              <w:t xml:space="preserve"> </w:t>
            </w:r>
            <w:r w:rsidRPr="00F82333">
              <w:rPr>
                <w:sz w:val="18"/>
                <w:szCs w:val="18"/>
                <w:lang w:val="en-IN"/>
              </w:rPr>
              <w:t xml:space="preserve"> </w:t>
            </w:r>
          </w:p>
        </w:tc>
      </w:tr>
    </w:tbl>
    <w:p w:rsidR="00272C82" w:rsidRPr="0005164C" w:rsidRDefault="00272C82" w:rsidP="00861508">
      <w:pPr>
        <w:autoSpaceDE w:val="0"/>
        <w:autoSpaceDN w:val="0"/>
        <w:adjustRightInd w:val="0"/>
        <w:jc w:val="left"/>
        <w:rPr>
          <w:sz w:val="19"/>
          <w:szCs w:val="19"/>
          <w:lang w:val="en-NZ"/>
        </w:rPr>
      </w:pPr>
    </w:p>
    <w:p w:rsidR="005F0973" w:rsidRPr="0005164C" w:rsidRDefault="00A04D39" w:rsidP="005F0973">
      <w:pPr>
        <w:autoSpaceDE w:val="0"/>
        <w:autoSpaceDN w:val="0"/>
        <w:adjustRightInd w:val="0"/>
        <w:jc w:val="left"/>
        <w:rPr>
          <w:sz w:val="18"/>
          <w:szCs w:val="18"/>
          <w:lang w:val="en-NZ"/>
        </w:rPr>
      </w:pPr>
      <w:r w:rsidRPr="00A04D39">
        <w:rPr>
          <w:sz w:val="19"/>
          <w:szCs w:val="19"/>
          <w:lang w:val="en-NZ"/>
        </w:rPr>
        <w:t xml:space="preserve"> </w:t>
      </w:r>
    </w:p>
    <w:p w:rsidR="00A04D39" w:rsidRPr="0005164C" w:rsidRDefault="00A04D39" w:rsidP="00A04D39">
      <w:pPr>
        <w:autoSpaceDE w:val="0"/>
        <w:autoSpaceDN w:val="0"/>
        <w:adjustRightInd w:val="0"/>
        <w:jc w:val="left"/>
        <w:rPr>
          <w:sz w:val="18"/>
          <w:szCs w:val="18"/>
          <w:lang w:val="en-NZ"/>
        </w:rPr>
      </w:pPr>
    </w:p>
    <w:p w:rsidR="00272C82" w:rsidRPr="0005164C" w:rsidRDefault="00861508" w:rsidP="00861508">
      <w:pPr>
        <w:autoSpaceDE w:val="0"/>
        <w:autoSpaceDN w:val="0"/>
        <w:adjustRightInd w:val="0"/>
        <w:jc w:val="left"/>
        <w:rPr>
          <w:sz w:val="19"/>
          <w:szCs w:val="19"/>
          <w:lang w:val="en-NZ"/>
        </w:rPr>
      </w:pPr>
      <w:r w:rsidRPr="0005164C">
        <w:rPr>
          <w:sz w:val="19"/>
          <w:szCs w:val="19"/>
          <w:lang w:val="en-NZ"/>
        </w:rPr>
        <w:br/>
      </w:r>
    </w:p>
    <w:sectPr w:rsidR="00272C82" w:rsidRPr="0005164C" w:rsidSect="00A055E7">
      <w:type w:val="continuous"/>
      <w:pgSz w:w="11909" w:h="16834" w:code="9"/>
      <w:pgMar w:top="1080" w:right="734" w:bottom="2434" w:left="734" w:header="144" w:footer="144" w:gutter="0"/>
      <w:cols w:num="2" w:space="36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9CC" w:rsidRDefault="004249CC" w:rsidP="009C24DE">
      <w:r>
        <w:separator/>
      </w:r>
    </w:p>
  </w:endnote>
  <w:endnote w:type="continuationSeparator" w:id="0">
    <w:p w:rsidR="004249CC" w:rsidRDefault="004249CC" w:rsidP="009C2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1"/>
    <w:family w:val="roman"/>
    <w:pitch w:val="variable"/>
  </w:font>
  <w:font w:name="Tw Cen MT">
    <w:panose1 w:val="020B0602020104020603"/>
    <w:charset w:val="00"/>
    <w:family w:val="swiss"/>
    <w:pitch w:val="variable"/>
    <w:sig w:usb0="00000007" w:usb1="00000000" w:usb2="00000000" w:usb3="00000000" w:csb0="00000003" w:csb1="00000000"/>
  </w:font>
  <w:font w:name="TimesNewRomanPS-BoldMT">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EF1" w:rsidRDefault="00A33EF1" w:rsidP="00A33EF1">
    <w:pPr>
      <w:pStyle w:val="Default"/>
    </w:pPr>
  </w:p>
  <w:p w:rsidR="00A33EF1" w:rsidRDefault="00A33EF1" w:rsidP="00A33EF1">
    <w:pPr>
      <w:pStyle w:val="Pa2"/>
      <w:pBdr>
        <w:top w:val="single" w:sz="4" w:space="1" w:color="auto"/>
      </w:pBdr>
      <w:rPr>
        <w:rFonts w:ascii="Times New Roman" w:hAnsi="Times New Roman"/>
        <w:b/>
        <w:bCs/>
        <w:color w:val="FF0000"/>
        <w:sz w:val="22"/>
        <w:szCs w:val="22"/>
      </w:rPr>
    </w:pPr>
    <w:r>
      <w:t xml:space="preserve">                                         </w:t>
    </w:r>
    <w:r>
      <w:rPr>
        <w:sz w:val="16"/>
        <w:szCs w:val="16"/>
      </w:rPr>
      <w:t>Copyright © 2016-2018 Meetings Int PTE Ltd, All Rights Reserved.</w:t>
    </w:r>
  </w:p>
  <w:p w:rsidR="00A055E7" w:rsidRPr="002758EA" w:rsidRDefault="002758EA" w:rsidP="009646A2">
    <w:pPr>
      <w:pStyle w:val="Pa2"/>
      <w:pBdr>
        <w:top w:val="single" w:sz="4" w:space="1" w:color="auto"/>
      </w:pBdr>
      <w:rPr>
        <w:rFonts w:ascii="Times New Roman" w:hAnsi="Times New Roman"/>
        <w:b/>
        <w:bCs/>
        <w:color w:val="00B0F0"/>
        <w:sz w:val="20"/>
        <w:szCs w:val="20"/>
      </w:rPr>
    </w:pPr>
    <w:r>
      <w:rPr>
        <w:rFonts w:ascii="Times New Roman" w:hAnsi="Times New Roman"/>
        <w:b/>
        <w:bCs/>
        <w:color w:val="0070C0"/>
        <w:sz w:val="22"/>
        <w:szCs w:val="22"/>
      </w:rPr>
      <w:t xml:space="preserve">        </w:t>
    </w:r>
    <w:r w:rsidR="00A055E7" w:rsidRPr="002758EA">
      <w:rPr>
        <w:rFonts w:ascii="Times New Roman" w:hAnsi="Times New Roman"/>
        <w:b/>
        <w:bCs/>
        <w:color w:val="C00000"/>
        <w:sz w:val="20"/>
        <w:szCs w:val="20"/>
      </w:rPr>
      <w:t xml:space="preserve">Meetings International Pte Ltd                                                                     </w:t>
    </w:r>
    <w:r w:rsidR="00144FA3" w:rsidRPr="002758EA">
      <w:rPr>
        <w:rFonts w:ascii="Times New Roman" w:hAnsi="Times New Roman"/>
        <w:b/>
        <w:bCs/>
        <w:color w:val="C00000"/>
        <w:sz w:val="20"/>
        <w:szCs w:val="20"/>
      </w:rPr>
      <w:t xml:space="preserve">          </w:t>
    </w:r>
  </w:p>
  <w:p w:rsidR="00A055E7" w:rsidRPr="002758EA" w:rsidRDefault="00A055E7" w:rsidP="00A055E7">
    <w:pPr>
      <w:pStyle w:val="Pa2"/>
      <w:rPr>
        <w:rFonts w:ascii="Times New Roman" w:hAnsi="Times New Roman"/>
        <w:color w:val="00B0F0"/>
        <w:sz w:val="20"/>
        <w:szCs w:val="20"/>
      </w:rPr>
    </w:pPr>
    <w:r w:rsidRPr="002758EA">
      <w:rPr>
        <w:rFonts w:ascii="Times New Roman" w:hAnsi="Times New Roman"/>
        <w:color w:val="000000"/>
        <w:sz w:val="20"/>
        <w:szCs w:val="20"/>
      </w:rPr>
      <w:t xml:space="preserve">28 MAXWELL ROAD, #03-05 RED DOT                                                              </w:t>
    </w:r>
    <w:r w:rsidR="005B56C8" w:rsidRPr="002758EA">
      <w:rPr>
        <w:rFonts w:ascii="Times New Roman" w:hAnsi="Times New Roman"/>
        <w:b/>
        <w:bCs/>
        <w:color w:val="C00000"/>
        <w:sz w:val="20"/>
        <w:szCs w:val="20"/>
      </w:rPr>
      <w:t>C</w:t>
    </w:r>
    <w:r w:rsidR="005B56C8" w:rsidRPr="002758EA">
      <w:rPr>
        <w:rFonts w:ascii="Times New Roman" w:hAnsi="Times New Roman"/>
        <w:b/>
        <w:color w:val="C00000"/>
        <w:sz w:val="20"/>
        <w:szCs w:val="20"/>
      </w:rPr>
      <w:t>ontact Number</w:t>
    </w:r>
  </w:p>
  <w:p w:rsidR="002758EA" w:rsidRPr="002758EA" w:rsidRDefault="00A055E7" w:rsidP="002758EA">
    <w:pPr>
      <w:pStyle w:val="Pa2"/>
      <w:rPr>
        <w:rFonts w:ascii="Times New Roman" w:hAnsi="Times New Roman"/>
        <w:color w:val="000000"/>
        <w:sz w:val="20"/>
        <w:szCs w:val="20"/>
      </w:rPr>
    </w:pPr>
    <w:r w:rsidRPr="002758EA">
      <w:rPr>
        <w:rFonts w:ascii="Times New Roman" w:hAnsi="Times New Roman"/>
        <w:color w:val="000000"/>
        <w:sz w:val="20"/>
        <w:szCs w:val="20"/>
      </w:rPr>
      <w:t xml:space="preserve">     TRAFFIC, SINGAPORE (069120)                                                                      </w:t>
    </w:r>
    <w:r w:rsidR="002758EA" w:rsidRPr="002758EA">
      <w:rPr>
        <w:rFonts w:ascii="Times New Roman" w:hAnsi="Times New Roman"/>
        <w:color w:val="000000"/>
        <w:sz w:val="20"/>
        <w:szCs w:val="20"/>
      </w:rPr>
      <w:t>65-310-80483 (SINGAPORE</w:t>
    </w:r>
    <w:r w:rsidR="005B56C8">
      <w:rPr>
        <w:rFonts w:ascii="Times New Roman" w:hAnsi="Times New Roman"/>
        <w:color w:val="000000"/>
        <w:sz w:val="20"/>
        <w:szCs w:val="20"/>
      </w:rPr>
      <w:t>)</w:t>
    </w:r>
  </w:p>
  <w:p w:rsidR="007D034B" w:rsidRPr="00F9296C" w:rsidRDefault="002758EA" w:rsidP="007D034B">
    <w:pPr>
      <w:pStyle w:val="Pa2"/>
      <w:rPr>
        <w:rFonts w:ascii="Times New Roman" w:hAnsi="Times New Roman"/>
        <w:b/>
        <w:color w:val="000000"/>
        <w:szCs w:val="22"/>
      </w:rPr>
    </w:pPr>
    <w:r w:rsidRPr="002758EA">
      <w:rPr>
        <w:rFonts w:ascii="Times New Roman" w:hAnsi="Times New Roman"/>
        <w:b/>
        <w:color w:val="C00000"/>
        <w:sz w:val="20"/>
        <w:szCs w:val="20"/>
      </w:rPr>
      <w:t>URL:</w:t>
    </w:r>
    <w:r w:rsidR="0076100D" w:rsidRPr="0076100D">
      <w:t xml:space="preserve"> </w:t>
    </w:r>
    <w:r w:rsidR="0076100D" w:rsidRPr="0076100D">
      <w:rPr>
        <w:rFonts w:ascii="Times New Roman" w:hAnsi="Times New Roman"/>
        <w:sz w:val="20"/>
        <w:szCs w:val="20"/>
      </w:rPr>
      <w:t>https://www.meeti</w:t>
    </w:r>
    <w:r w:rsidR="007D034B">
      <w:rPr>
        <w:rFonts w:ascii="Times New Roman" w:hAnsi="Times New Roman"/>
        <w:sz w:val="20"/>
        <w:szCs w:val="20"/>
      </w:rPr>
      <w:t>ngsint.com/conferences/pathology</w:t>
    </w:r>
    <w:r w:rsidR="00A055E7" w:rsidRPr="002758EA">
      <w:rPr>
        <w:rFonts w:ascii="Times New Roman" w:hAnsi="Times New Roman"/>
        <w:sz w:val="20"/>
        <w:szCs w:val="20"/>
      </w:rPr>
      <w:tab/>
    </w:r>
    <w:r w:rsidR="00A055E7" w:rsidRPr="002758EA">
      <w:rPr>
        <w:rFonts w:ascii="Times New Roman" w:hAnsi="Times New Roman"/>
        <w:color w:val="C00000"/>
        <w:sz w:val="20"/>
        <w:szCs w:val="20"/>
      </w:rPr>
      <w:t xml:space="preserve">                             </w:t>
    </w:r>
    <w:r>
      <w:rPr>
        <w:rFonts w:ascii="Times New Roman" w:hAnsi="Times New Roman"/>
        <w:color w:val="C00000"/>
        <w:sz w:val="20"/>
        <w:szCs w:val="20"/>
      </w:rPr>
      <w:t xml:space="preserve"> </w:t>
    </w:r>
    <w:r w:rsidR="007D034B">
      <w:rPr>
        <w:rFonts w:ascii="Times New Roman" w:hAnsi="Times New Roman"/>
        <w:b/>
        <w:color w:val="C00000"/>
        <w:sz w:val="20"/>
        <w:szCs w:val="20"/>
      </w:rPr>
      <w:t xml:space="preserve">Email Id: </w:t>
    </w:r>
    <w:r w:rsidR="007D034B" w:rsidRPr="00F9296C">
      <w:rPr>
        <w:rFonts w:ascii="Times New Roman" w:hAnsi="Times New Roman"/>
        <w:b/>
        <w:color w:val="000000"/>
        <w:sz w:val="20"/>
        <w:szCs w:val="20"/>
      </w:rPr>
      <w:t>pathology@annualmeetings.net</w:t>
    </w:r>
  </w:p>
  <w:p w:rsidR="00A055E7" w:rsidRPr="00F9296C" w:rsidRDefault="00A055E7" w:rsidP="002758EA">
    <w:pPr>
      <w:pStyle w:val="Pa2"/>
      <w:rPr>
        <w:rFonts w:ascii="Times New Roman" w:hAnsi="Times New Roman"/>
        <w:b/>
        <w:color w:val="000000"/>
        <w:szCs w:val="22"/>
      </w:rPr>
    </w:pPr>
  </w:p>
  <w:p w:rsidR="0076100D" w:rsidRPr="0076100D" w:rsidRDefault="0076100D" w:rsidP="0076100D"/>
  <w:p w:rsidR="00A055E7" w:rsidRPr="003C567C" w:rsidRDefault="00A055E7" w:rsidP="00A055E7">
    <w:pPr>
      <w:pStyle w:val="Footer"/>
      <w:rPr>
        <w:szCs w:val="22"/>
      </w:rPr>
    </w:pPr>
    <w:r w:rsidRPr="00144FA3">
      <w:rPr>
        <w:color w:val="FF0000"/>
        <w:szCs w:val="22"/>
      </w:rPr>
      <w:t xml:space="preserve">                          </w:t>
    </w:r>
    <w:r w:rsidR="002758EA">
      <w:rPr>
        <w:color w:val="FF0000"/>
        <w:szCs w:val="22"/>
      </w:rPr>
      <w:t xml:space="preserve">                                                                                       </w:t>
    </w:r>
    <w:r w:rsidRPr="00144FA3">
      <w:rPr>
        <w:color w:val="FF0000"/>
        <w:szCs w:val="22"/>
      </w:rPr>
      <w:t xml:space="preserve">                                    </w:t>
    </w:r>
    <w:r w:rsidRPr="00144FA3">
      <w:rPr>
        <w:b/>
        <w:color w:val="FF0000"/>
        <w:szCs w:val="22"/>
      </w:rPr>
      <w:t xml:space="preserve">               </w:t>
    </w:r>
    <w:r>
      <w:rPr>
        <w:b/>
        <w:szCs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9CC" w:rsidRDefault="004249CC" w:rsidP="009C24DE">
      <w:r>
        <w:separator/>
      </w:r>
    </w:p>
  </w:footnote>
  <w:footnote w:type="continuationSeparator" w:id="0">
    <w:p w:rsidR="004249CC" w:rsidRDefault="004249CC" w:rsidP="009C24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5E7" w:rsidRDefault="002624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margin-top:0;width:521.9pt;height:521.9pt;z-index:-251658240;mso-position-horizontal:center;mso-position-horizontal-relative:margin;mso-position-vertical:center;mso-position-vertical-relative:margin" o:allowincell="f">
          <v:imagedata r:id="rId1" o:title="obesity 2018(2)"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4DE" w:rsidRDefault="009C24DE" w:rsidP="009C24DE">
    <w:pPr>
      <w:pStyle w:val="Header"/>
      <w:jc w:val="both"/>
      <w:rPr>
        <w:color w:val="1F497D"/>
      </w:rPr>
    </w:pPr>
    <w:r>
      <w:rPr>
        <w:color w:val="1F497D"/>
      </w:rPr>
      <w:t xml:space="preserve">                               </w:t>
    </w:r>
  </w:p>
  <w:p w:rsidR="00A055E7" w:rsidRDefault="00AD1317" w:rsidP="009C24DE">
    <w:pPr>
      <w:pStyle w:val="Header"/>
      <w:jc w:val="both"/>
      <w:rPr>
        <w:color w:val="1F497D"/>
      </w:rPr>
    </w:pPr>
    <w:r w:rsidRPr="00C00619">
      <w:rPr>
        <w:noProof/>
        <w:color w:val="1F497D"/>
      </w:rPr>
      <w:drawing>
        <wp:inline distT="0" distB="0" distL="0" distR="0">
          <wp:extent cx="6629400" cy="771525"/>
          <wp:effectExtent l="0" t="0" r="0" b="0"/>
          <wp:docPr id="1" name="Picture 1" descr="Pathology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hology 20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771525"/>
                  </a:xfrm>
                  <a:prstGeom prst="rect">
                    <a:avLst/>
                  </a:prstGeom>
                  <a:noFill/>
                  <a:ln>
                    <a:noFill/>
                  </a:ln>
                </pic:spPr>
              </pic:pic>
            </a:graphicData>
          </a:graphic>
        </wp:inline>
      </w:drawing>
    </w:r>
  </w:p>
  <w:p w:rsidR="009C24DE" w:rsidRPr="005C6ADA" w:rsidRDefault="009C24DE" w:rsidP="007D034B">
    <w:pPr>
      <w:pStyle w:val="Header"/>
      <w:pBdr>
        <w:bottom w:val="single" w:sz="4" w:space="0" w:color="auto"/>
      </w:pBdr>
      <w:rPr>
        <w:rFonts w:ascii="TimesNewRomanPS-BoldMT" w:hAnsi="TimesNewRomanPS-BoldMT" w:cs="TimesNewRomanPS-BoldMT"/>
        <w:b/>
        <w:bC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5E7" w:rsidRDefault="002624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55" type="#_x0000_t75" style="position:absolute;left:0;text-align:left;margin-left:0;margin-top:0;width:521.9pt;height:521.9pt;z-index:-251659264;mso-position-horizontal:center;mso-position-horizontal-relative:margin;mso-position-vertical:center;mso-position-vertical-relative:margin" o:allowincell="f">
          <v:imagedata r:id="rId1" o:title="obesity 2018(2)"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2945FD4"/>
    <w:multiLevelType w:val="hybridMultilevel"/>
    <w:tmpl w:val="16401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8F680E"/>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6F0270DE"/>
    <w:multiLevelType w:val="hybridMultilevel"/>
    <w:tmpl w:val="A7201D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9"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5"/>
  </w:num>
  <w:num w:numId="4">
    <w:abstractNumId w:val="9"/>
  </w:num>
  <w:num w:numId="5">
    <w:abstractNumId w:val="9"/>
  </w:num>
  <w:num w:numId="6">
    <w:abstractNumId w:val="9"/>
  </w:num>
  <w:num w:numId="7">
    <w:abstractNumId w:val="9"/>
  </w:num>
  <w:num w:numId="8">
    <w:abstractNumId w:val="11"/>
  </w:num>
  <w:num w:numId="9">
    <w:abstractNumId w:val="16"/>
  </w:num>
  <w:num w:numId="10">
    <w:abstractNumId w:val="8"/>
  </w:num>
  <w:num w:numId="11">
    <w:abstractNumId w:val="4"/>
  </w:num>
  <w:num w:numId="12">
    <w:abstractNumId w:val="20"/>
  </w:num>
  <w:num w:numId="13">
    <w:abstractNumId w:val="10"/>
  </w:num>
  <w:num w:numId="14">
    <w:abstractNumId w:val="12"/>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1"/>
  </w:num>
  <w:num w:numId="22">
    <w:abstractNumId w:val="13"/>
  </w:num>
  <w:num w:numId="23">
    <w:abstractNumId w:val="18"/>
  </w:num>
  <w:num w:numId="24">
    <w:abstractNumId w:val="19"/>
  </w:num>
  <w:num w:numId="25">
    <w:abstractNumId w:val="0"/>
  </w:num>
  <w:num w:numId="26">
    <w:abstractNumId w:val="17"/>
  </w:num>
  <w:num w:numId="27">
    <w:abstractNumId w:val="15"/>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45C84"/>
    <w:rsid w:val="000502DF"/>
    <w:rsid w:val="0005164C"/>
    <w:rsid w:val="000624CF"/>
    <w:rsid w:val="00074703"/>
    <w:rsid w:val="00075BC1"/>
    <w:rsid w:val="000B3A1B"/>
    <w:rsid w:val="000B4641"/>
    <w:rsid w:val="000F21F1"/>
    <w:rsid w:val="001031AE"/>
    <w:rsid w:val="0010711E"/>
    <w:rsid w:val="00127EDD"/>
    <w:rsid w:val="00144FA3"/>
    <w:rsid w:val="00154AAF"/>
    <w:rsid w:val="002043C0"/>
    <w:rsid w:val="002624F4"/>
    <w:rsid w:val="00272C82"/>
    <w:rsid w:val="002758EA"/>
    <w:rsid w:val="00276735"/>
    <w:rsid w:val="002802C9"/>
    <w:rsid w:val="002864A3"/>
    <w:rsid w:val="002B3B81"/>
    <w:rsid w:val="002C1F56"/>
    <w:rsid w:val="00351E9B"/>
    <w:rsid w:val="00376146"/>
    <w:rsid w:val="00391640"/>
    <w:rsid w:val="003A47B5"/>
    <w:rsid w:val="003A59A6"/>
    <w:rsid w:val="003C0794"/>
    <w:rsid w:val="004059FE"/>
    <w:rsid w:val="004227FF"/>
    <w:rsid w:val="004249CC"/>
    <w:rsid w:val="004445B3"/>
    <w:rsid w:val="004A16FF"/>
    <w:rsid w:val="00536962"/>
    <w:rsid w:val="00536C61"/>
    <w:rsid w:val="00540A95"/>
    <w:rsid w:val="005454EC"/>
    <w:rsid w:val="005518D9"/>
    <w:rsid w:val="005B520E"/>
    <w:rsid w:val="005B535B"/>
    <w:rsid w:val="005B56C8"/>
    <w:rsid w:val="005C6ADA"/>
    <w:rsid w:val="005E3145"/>
    <w:rsid w:val="005F0973"/>
    <w:rsid w:val="005F7AB6"/>
    <w:rsid w:val="006108A4"/>
    <w:rsid w:val="00663E31"/>
    <w:rsid w:val="00670EBE"/>
    <w:rsid w:val="00691CD1"/>
    <w:rsid w:val="006C4648"/>
    <w:rsid w:val="006D346D"/>
    <w:rsid w:val="00714A07"/>
    <w:rsid w:val="0072064C"/>
    <w:rsid w:val="00742E53"/>
    <w:rsid w:val="007442B3"/>
    <w:rsid w:val="00753F7B"/>
    <w:rsid w:val="0076100D"/>
    <w:rsid w:val="00762798"/>
    <w:rsid w:val="00765EB7"/>
    <w:rsid w:val="0078398E"/>
    <w:rsid w:val="00787C5A"/>
    <w:rsid w:val="007919DE"/>
    <w:rsid w:val="007B20EF"/>
    <w:rsid w:val="007C0308"/>
    <w:rsid w:val="007D034B"/>
    <w:rsid w:val="008014D2"/>
    <w:rsid w:val="008054BC"/>
    <w:rsid w:val="00812538"/>
    <w:rsid w:val="00841147"/>
    <w:rsid w:val="00856DF9"/>
    <w:rsid w:val="00861508"/>
    <w:rsid w:val="00883A50"/>
    <w:rsid w:val="008A55B5"/>
    <w:rsid w:val="008A75C8"/>
    <w:rsid w:val="008F2DA6"/>
    <w:rsid w:val="00907876"/>
    <w:rsid w:val="0092172B"/>
    <w:rsid w:val="009229FD"/>
    <w:rsid w:val="009631E1"/>
    <w:rsid w:val="009646A2"/>
    <w:rsid w:val="0097508D"/>
    <w:rsid w:val="009C24DE"/>
    <w:rsid w:val="009C3A4C"/>
    <w:rsid w:val="009D49B8"/>
    <w:rsid w:val="00A04D39"/>
    <w:rsid w:val="00A055E7"/>
    <w:rsid w:val="00A33EF1"/>
    <w:rsid w:val="00A510F7"/>
    <w:rsid w:val="00AC6519"/>
    <w:rsid w:val="00AD1317"/>
    <w:rsid w:val="00AE76B3"/>
    <w:rsid w:val="00B874E5"/>
    <w:rsid w:val="00BF62C6"/>
    <w:rsid w:val="00C00619"/>
    <w:rsid w:val="00C2487B"/>
    <w:rsid w:val="00C52234"/>
    <w:rsid w:val="00C80ED7"/>
    <w:rsid w:val="00CB1404"/>
    <w:rsid w:val="00CB66E6"/>
    <w:rsid w:val="00D319E1"/>
    <w:rsid w:val="00D9156D"/>
    <w:rsid w:val="00E06537"/>
    <w:rsid w:val="00E177DC"/>
    <w:rsid w:val="00E91219"/>
    <w:rsid w:val="00E918C4"/>
    <w:rsid w:val="00EA506F"/>
    <w:rsid w:val="00EB45EC"/>
    <w:rsid w:val="00EE4362"/>
    <w:rsid w:val="00EF18D7"/>
    <w:rsid w:val="00EF1E8A"/>
    <w:rsid w:val="00EF3A1A"/>
    <w:rsid w:val="00F82333"/>
    <w:rsid w:val="00F929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shapelayout>
  </w:shapeDefaults>
  <w:decimalSymbol w:val="."/>
  <w:listSeparator w:val=","/>
  <w14:docId w14:val="00050E76"/>
  <w15:chartTrackingRefBased/>
  <w15:docId w15:val="{441BD421-53E5-40D9-88D4-FA194976D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Header">
    <w:name w:val="header"/>
    <w:basedOn w:val="Normal"/>
    <w:link w:val="HeaderChar"/>
    <w:uiPriority w:val="99"/>
    <w:unhideWhenUsed/>
    <w:rsid w:val="009C24DE"/>
    <w:pPr>
      <w:tabs>
        <w:tab w:val="center" w:pos="4680"/>
        <w:tab w:val="right" w:pos="9360"/>
      </w:tabs>
    </w:pPr>
  </w:style>
  <w:style w:type="character" w:customStyle="1" w:styleId="HeaderChar">
    <w:name w:val="Header Char"/>
    <w:link w:val="Header"/>
    <w:uiPriority w:val="99"/>
    <w:rsid w:val="009C24DE"/>
    <w:rPr>
      <w:rFonts w:ascii="Times New Roman" w:hAnsi="Times New Roman"/>
    </w:rPr>
  </w:style>
  <w:style w:type="paragraph" w:styleId="Footer">
    <w:name w:val="footer"/>
    <w:basedOn w:val="Normal"/>
    <w:link w:val="FooterChar"/>
    <w:uiPriority w:val="99"/>
    <w:unhideWhenUsed/>
    <w:rsid w:val="009C24DE"/>
    <w:pPr>
      <w:tabs>
        <w:tab w:val="center" w:pos="4680"/>
        <w:tab w:val="right" w:pos="9360"/>
      </w:tabs>
    </w:pPr>
  </w:style>
  <w:style w:type="character" w:customStyle="1" w:styleId="FooterChar">
    <w:name w:val="Footer Char"/>
    <w:link w:val="Footer"/>
    <w:uiPriority w:val="99"/>
    <w:rsid w:val="009C24DE"/>
    <w:rPr>
      <w:rFonts w:ascii="Times New Roman" w:hAnsi="Times New Roman"/>
    </w:rPr>
  </w:style>
  <w:style w:type="paragraph" w:customStyle="1" w:styleId="Pa2">
    <w:name w:val="Pa2"/>
    <w:basedOn w:val="Normal"/>
    <w:next w:val="Normal"/>
    <w:uiPriority w:val="99"/>
    <w:rsid w:val="00A055E7"/>
    <w:pPr>
      <w:autoSpaceDE w:val="0"/>
      <w:autoSpaceDN w:val="0"/>
      <w:adjustRightInd w:val="0"/>
      <w:spacing w:line="241" w:lineRule="atLeast"/>
      <w:jc w:val="left"/>
    </w:pPr>
    <w:rPr>
      <w:rFonts w:ascii="Tw Cen MT" w:hAnsi="Tw Cen MT"/>
      <w:sz w:val="24"/>
      <w:szCs w:val="24"/>
    </w:rPr>
  </w:style>
  <w:style w:type="paragraph" w:customStyle="1" w:styleId="Default">
    <w:name w:val="Default"/>
    <w:rsid w:val="00A33EF1"/>
    <w:pPr>
      <w:autoSpaceDE w:val="0"/>
      <w:autoSpaceDN w:val="0"/>
      <w:adjustRightInd w:val="0"/>
    </w:pPr>
    <w:rPr>
      <w:rFonts w:cs="Calibri"/>
      <w:color w:val="000000"/>
      <w:sz w:val="24"/>
      <w:szCs w:val="24"/>
    </w:rPr>
  </w:style>
  <w:style w:type="table" w:styleId="TableGrid">
    <w:name w:val="Table Grid"/>
    <w:basedOn w:val="TableNormal"/>
    <w:uiPriority w:val="59"/>
    <w:rsid w:val="00742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ubmed/?term=Alexander%20LT" TargetMode="External"/><Relationship Id="rId18" Type="http://schemas.openxmlformats.org/officeDocument/2006/relationships/hyperlink" Target="https://www.ncbi.nlm.nih.gov/pubmed/?term=Burnett%20R" TargetMode="External"/><Relationship Id="rId26" Type="http://schemas.openxmlformats.org/officeDocument/2006/relationships/hyperlink" Target="https://www.ncbi.nlm.nih.gov/pubmed/?term=Gomes-Marcondes%20MC%5BAuthor%5D&amp;cauthor=true&amp;cauthor_uid=25856497" TargetMode="External"/><Relationship Id="rId39" Type="http://schemas.openxmlformats.org/officeDocument/2006/relationships/image" Target="media/image4.jpeg"/><Relationship Id="rId21" Type="http://schemas.openxmlformats.org/officeDocument/2006/relationships/hyperlink" Target="https://www.ncbi.nlm.nih.gov/pubmed/?term=Hatakeyama%20H%5BAuthor%5D&amp;cauthor=true&amp;cauthor_uid=24272889" TargetMode="External"/><Relationship Id="rId34" Type="http://schemas.openxmlformats.org/officeDocument/2006/relationships/hyperlink" Target="https://www.ncbi.nlm.nih.gov/pubmed/27785532" TargetMode="External"/><Relationship Id="rId42"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ncbi.nlm.nih.gov/pubmed/?term=Biryukov%20S" TargetMode="External"/><Relationship Id="rId20" Type="http://schemas.openxmlformats.org/officeDocument/2006/relationships/hyperlink" Target="https://www.ncbi.nlm.nih.gov/pubmed/?term=Charlson%20FJ" TargetMode="External"/><Relationship Id="rId29" Type="http://schemas.openxmlformats.org/officeDocument/2006/relationships/hyperlink" Target="https://www.ncbi.nlm.nih.gov/pubmed/?term=Olmez%20C%5BAuthor%5D&amp;cauthor=true&amp;cauthor_uid=24912718"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www.ncbi.nlm.nih.gov/pubmed/?term=Tomasin%20R%5BAuthor%5D&amp;cauthor=true&amp;cauthor_uid=25856497" TargetMode="External"/><Relationship Id="rId32" Type="http://schemas.openxmlformats.org/officeDocument/2006/relationships/hyperlink" Target="https://www.ncbi.nlm.nih.gov/pubmed/?term=Locher%20C%5BAuthor%5D&amp;cauthor=true&amp;cauthor_uid=27785532" TargetMode="External"/><Relationship Id="rId37" Type="http://schemas.openxmlformats.org/officeDocument/2006/relationships/hyperlink" Target="https://www.ncbi.nlm.nih.gov/pubmed/?term=Orrenius%20S%5BAuthor%5D&amp;cauthor=true&amp;cauthor_uid=18228342" TargetMode="External"/><Relationship Id="rId40" Type="http://schemas.openxmlformats.org/officeDocument/2006/relationships/hyperlink" Target="https://orcid.org/0000-0001-9749-9861" TargetMode="External"/><Relationship Id="rId5" Type="http://schemas.openxmlformats.org/officeDocument/2006/relationships/footnotes" Target="footnotes.xml"/><Relationship Id="rId15" Type="http://schemas.openxmlformats.org/officeDocument/2006/relationships/hyperlink" Target="https://www.ncbi.nlm.nih.gov/pubmed/?term=Bhutta%20ZA" TargetMode="External"/><Relationship Id="rId23" Type="http://schemas.openxmlformats.org/officeDocument/2006/relationships/hyperlink" Target="https://www.ncbi.nlm.nih.gov/pubmed/24272889" TargetMode="External"/><Relationship Id="rId28" Type="http://schemas.openxmlformats.org/officeDocument/2006/relationships/hyperlink" Target="https://www.ncbi.nlm.nih.gov/pubmed/?term=Ozcan%20MM%5BAuthor%5D&amp;cauthor=true&amp;cauthor_uid=24912718" TargetMode="External"/><Relationship Id="rId36" Type="http://schemas.openxmlformats.org/officeDocument/2006/relationships/hyperlink" Target="https://www.ncbi.nlm.nih.gov/pubmed/?term=Zhivotosky%20B%5BAuthor%5D&amp;cauthor=true&amp;cauthor_uid=18228342" TargetMode="External"/><Relationship Id="rId10" Type="http://schemas.openxmlformats.org/officeDocument/2006/relationships/header" Target="header3.xml"/><Relationship Id="rId19" Type="http://schemas.openxmlformats.org/officeDocument/2006/relationships/hyperlink" Target="https://www.ncbi.nlm.nih.gov/pubmed/?term=Cercy%20K" TargetMode="External"/><Relationship Id="rId31" Type="http://schemas.openxmlformats.org/officeDocument/2006/relationships/hyperlink" Target="https://www.ncbi.nlm.nih.gov/pubmed/?term=Roshan%20N%5BAuthor%5D&amp;cauthor=true&amp;cauthor_uid=27785532"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ncbi.nlm.nih.gov/pubmed/?term=Anderson%20HR" TargetMode="External"/><Relationship Id="rId22" Type="http://schemas.openxmlformats.org/officeDocument/2006/relationships/hyperlink" Target="https://www.ncbi.nlm.nih.gov/pubmed/?term=Harashima%20H%5BAuthor%5D&amp;cauthor=true&amp;cauthor_uid=24272889" TargetMode="External"/><Relationship Id="rId27" Type="http://schemas.openxmlformats.org/officeDocument/2006/relationships/hyperlink" Target="https://www.ncbi.nlm.nih.gov/pubmed/25856497" TargetMode="External"/><Relationship Id="rId30" Type="http://schemas.openxmlformats.org/officeDocument/2006/relationships/hyperlink" Target="https://www.ncbi.nlm.nih.gov/pubmed/24912718" TargetMode="External"/><Relationship Id="rId35" Type="http://schemas.openxmlformats.org/officeDocument/2006/relationships/hyperlink" Target="https://www.ncbi.nlm.nih.gov/pubmed/24363771" TargetMode="Externa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https://www.ncbi.nlm.nih.gov/pubmed/?term=Afshin%20A" TargetMode="External"/><Relationship Id="rId17" Type="http://schemas.openxmlformats.org/officeDocument/2006/relationships/hyperlink" Target="https://www.ncbi.nlm.nih.gov/pubmed/?term=Brauer%20M" TargetMode="External"/><Relationship Id="rId25" Type="http://schemas.openxmlformats.org/officeDocument/2006/relationships/hyperlink" Target="https://www.ncbi.nlm.nih.gov/pubmed/?term=de%20Andrade%20RS%5BAuthor%5D&amp;cauthor=true&amp;cauthor_uid=25856497" TargetMode="External"/><Relationship Id="rId33" Type="http://schemas.openxmlformats.org/officeDocument/2006/relationships/hyperlink" Target="https://www.ncbi.nlm.nih.gov/pubmed/?term=Hammer%20KA%5BAuthor%5D&amp;cauthor=true&amp;cauthor_uid=27785532" TargetMode="External"/><Relationship Id="rId38" Type="http://schemas.openxmlformats.org/officeDocument/2006/relationships/hyperlink" Target="https://www.ncbi.nlm.nih.gov/pubmed/1822834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1797</Words>
  <Characters>10245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12018</CharactersWithSpaces>
  <SharedDoc>false</SharedDoc>
  <HLinks>
    <vt:vector size="174" baseType="variant">
      <vt:variant>
        <vt:i4>5570580</vt:i4>
      </vt:variant>
      <vt:variant>
        <vt:i4>84</vt:i4>
      </vt:variant>
      <vt:variant>
        <vt:i4>0</vt:i4>
      </vt:variant>
      <vt:variant>
        <vt:i4>5</vt:i4>
      </vt:variant>
      <vt:variant>
        <vt:lpwstr>https://orcid.org/0000-0001-9749-9861</vt:lpwstr>
      </vt:variant>
      <vt:variant>
        <vt:lpwstr/>
      </vt:variant>
      <vt:variant>
        <vt:i4>327764</vt:i4>
      </vt:variant>
      <vt:variant>
        <vt:i4>81</vt:i4>
      </vt:variant>
      <vt:variant>
        <vt:i4>0</vt:i4>
      </vt:variant>
      <vt:variant>
        <vt:i4>5</vt:i4>
      </vt:variant>
      <vt:variant>
        <vt:lpwstr>https://www.ncbi.nlm.nih.gov/pubmed/18228342</vt:lpwstr>
      </vt:variant>
      <vt:variant>
        <vt:lpwstr/>
      </vt:variant>
      <vt:variant>
        <vt:i4>2490374</vt:i4>
      </vt:variant>
      <vt:variant>
        <vt:i4>78</vt:i4>
      </vt:variant>
      <vt:variant>
        <vt:i4>0</vt:i4>
      </vt:variant>
      <vt:variant>
        <vt:i4>5</vt:i4>
      </vt:variant>
      <vt:variant>
        <vt:lpwstr>https://www.ncbi.nlm.nih.gov/pubmed/?term=Orrenius%20S%5BAuthor%5D&amp;cauthor=true&amp;cauthor_uid=18228342</vt:lpwstr>
      </vt:variant>
      <vt:variant>
        <vt:lpwstr/>
      </vt:variant>
      <vt:variant>
        <vt:i4>5898360</vt:i4>
      </vt:variant>
      <vt:variant>
        <vt:i4>75</vt:i4>
      </vt:variant>
      <vt:variant>
        <vt:i4>0</vt:i4>
      </vt:variant>
      <vt:variant>
        <vt:i4>5</vt:i4>
      </vt:variant>
      <vt:variant>
        <vt:lpwstr>https://www.ncbi.nlm.nih.gov/pubmed/?term=Zhivotosky%20B%5BAuthor%5D&amp;cauthor=true&amp;cauthor_uid=18228342</vt:lpwstr>
      </vt:variant>
      <vt:variant>
        <vt:lpwstr/>
      </vt:variant>
      <vt:variant>
        <vt:i4>655454</vt:i4>
      </vt:variant>
      <vt:variant>
        <vt:i4>72</vt:i4>
      </vt:variant>
      <vt:variant>
        <vt:i4>0</vt:i4>
      </vt:variant>
      <vt:variant>
        <vt:i4>5</vt:i4>
      </vt:variant>
      <vt:variant>
        <vt:lpwstr>https://www.ncbi.nlm.nih.gov/pubmed/24363771</vt:lpwstr>
      </vt:variant>
      <vt:variant>
        <vt:lpwstr/>
      </vt:variant>
      <vt:variant>
        <vt:i4>393304</vt:i4>
      </vt:variant>
      <vt:variant>
        <vt:i4>69</vt:i4>
      </vt:variant>
      <vt:variant>
        <vt:i4>0</vt:i4>
      </vt:variant>
      <vt:variant>
        <vt:i4>5</vt:i4>
      </vt:variant>
      <vt:variant>
        <vt:lpwstr>https://www.ncbi.nlm.nih.gov/pubmed/27785532</vt:lpwstr>
      </vt:variant>
      <vt:variant>
        <vt:lpwstr/>
      </vt:variant>
      <vt:variant>
        <vt:i4>6750230</vt:i4>
      </vt:variant>
      <vt:variant>
        <vt:i4>66</vt:i4>
      </vt:variant>
      <vt:variant>
        <vt:i4>0</vt:i4>
      </vt:variant>
      <vt:variant>
        <vt:i4>5</vt:i4>
      </vt:variant>
      <vt:variant>
        <vt:lpwstr>https://www.ncbi.nlm.nih.gov/pubmed/?term=Hammer%20KA%5BAuthor%5D&amp;cauthor=true&amp;cauthor_uid=27785532</vt:lpwstr>
      </vt:variant>
      <vt:variant>
        <vt:lpwstr/>
      </vt:variant>
      <vt:variant>
        <vt:i4>5046374</vt:i4>
      </vt:variant>
      <vt:variant>
        <vt:i4>63</vt:i4>
      </vt:variant>
      <vt:variant>
        <vt:i4>0</vt:i4>
      </vt:variant>
      <vt:variant>
        <vt:i4>5</vt:i4>
      </vt:variant>
      <vt:variant>
        <vt:lpwstr>https://www.ncbi.nlm.nih.gov/pubmed/?term=Locher%20C%5BAuthor%5D&amp;cauthor=true&amp;cauthor_uid=27785532</vt:lpwstr>
      </vt:variant>
      <vt:variant>
        <vt:lpwstr/>
      </vt:variant>
      <vt:variant>
        <vt:i4>6029420</vt:i4>
      </vt:variant>
      <vt:variant>
        <vt:i4>60</vt:i4>
      </vt:variant>
      <vt:variant>
        <vt:i4>0</vt:i4>
      </vt:variant>
      <vt:variant>
        <vt:i4>5</vt:i4>
      </vt:variant>
      <vt:variant>
        <vt:lpwstr>https://www.ncbi.nlm.nih.gov/pubmed/?term=Roshan%20N%5BAuthor%5D&amp;cauthor=true&amp;cauthor_uid=27785532</vt:lpwstr>
      </vt:variant>
      <vt:variant>
        <vt:lpwstr/>
      </vt:variant>
      <vt:variant>
        <vt:i4>262227</vt:i4>
      </vt:variant>
      <vt:variant>
        <vt:i4>57</vt:i4>
      </vt:variant>
      <vt:variant>
        <vt:i4>0</vt:i4>
      </vt:variant>
      <vt:variant>
        <vt:i4>5</vt:i4>
      </vt:variant>
      <vt:variant>
        <vt:lpwstr>https://www.ncbi.nlm.nih.gov/pubmed/24912718</vt:lpwstr>
      </vt:variant>
      <vt:variant>
        <vt:lpwstr/>
      </vt:variant>
      <vt:variant>
        <vt:i4>5701667</vt:i4>
      </vt:variant>
      <vt:variant>
        <vt:i4>54</vt:i4>
      </vt:variant>
      <vt:variant>
        <vt:i4>0</vt:i4>
      </vt:variant>
      <vt:variant>
        <vt:i4>5</vt:i4>
      </vt:variant>
      <vt:variant>
        <vt:lpwstr>https://www.ncbi.nlm.nih.gov/pubmed/?term=Olmez%20C%5BAuthor%5D&amp;cauthor=true&amp;cauthor_uid=24912718</vt:lpwstr>
      </vt:variant>
      <vt:variant>
        <vt:lpwstr/>
      </vt:variant>
      <vt:variant>
        <vt:i4>524335</vt:i4>
      </vt:variant>
      <vt:variant>
        <vt:i4>51</vt:i4>
      </vt:variant>
      <vt:variant>
        <vt:i4>0</vt:i4>
      </vt:variant>
      <vt:variant>
        <vt:i4>5</vt:i4>
      </vt:variant>
      <vt:variant>
        <vt:lpwstr>https://www.ncbi.nlm.nih.gov/pubmed/?term=Ozcan%20MM%5BAuthor%5D&amp;cauthor=true&amp;cauthor_uid=24912718</vt:lpwstr>
      </vt:variant>
      <vt:variant>
        <vt:lpwstr/>
      </vt:variant>
      <vt:variant>
        <vt:i4>852062</vt:i4>
      </vt:variant>
      <vt:variant>
        <vt:i4>48</vt:i4>
      </vt:variant>
      <vt:variant>
        <vt:i4>0</vt:i4>
      </vt:variant>
      <vt:variant>
        <vt:i4>5</vt:i4>
      </vt:variant>
      <vt:variant>
        <vt:lpwstr>https://www.ncbi.nlm.nih.gov/pubmed/25856497</vt:lpwstr>
      </vt:variant>
      <vt:variant>
        <vt:lpwstr/>
      </vt:variant>
      <vt:variant>
        <vt:i4>3801182</vt:i4>
      </vt:variant>
      <vt:variant>
        <vt:i4>45</vt:i4>
      </vt:variant>
      <vt:variant>
        <vt:i4>0</vt:i4>
      </vt:variant>
      <vt:variant>
        <vt:i4>5</vt:i4>
      </vt:variant>
      <vt:variant>
        <vt:lpwstr>https://www.ncbi.nlm.nih.gov/pubmed/?term=Gomes-Marcondes%20MC%5BAuthor%5D&amp;cauthor=true&amp;cauthor_uid=25856497</vt:lpwstr>
      </vt:variant>
      <vt:variant>
        <vt:lpwstr/>
      </vt:variant>
      <vt:variant>
        <vt:i4>5242979</vt:i4>
      </vt:variant>
      <vt:variant>
        <vt:i4>42</vt:i4>
      </vt:variant>
      <vt:variant>
        <vt:i4>0</vt:i4>
      </vt:variant>
      <vt:variant>
        <vt:i4>5</vt:i4>
      </vt:variant>
      <vt:variant>
        <vt:lpwstr>https://www.ncbi.nlm.nih.gov/pubmed/?term=de%20Andrade%20RS%5BAuthor%5D&amp;cauthor=true&amp;cauthor_uid=25856497</vt:lpwstr>
      </vt:variant>
      <vt:variant>
        <vt:lpwstr/>
      </vt:variant>
      <vt:variant>
        <vt:i4>3407944</vt:i4>
      </vt:variant>
      <vt:variant>
        <vt:i4>39</vt:i4>
      </vt:variant>
      <vt:variant>
        <vt:i4>0</vt:i4>
      </vt:variant>
      <vt:variant>
        <vt:i4>5</vt:i4>
      </vt:variant>
      <vt:variant>
        <vt:lpwstr>https://www.ncbi.nlm.nih.gov/pubmed/?term=Tomasin%20R%5BAuthor%5D&amp;cauthor=true&amp;cauthor_uid=25856497</vt:lpwstr>
      </vt:variant>
      <vt:variant>
        <vt:lpwstr/>
      </vt:variant>
      <vt:variant>
        <vt:i4>786513</vt:i4>
      </vt:variant>
      <vt:variant>
        <vt:i4>36</vt:i4>
      </vt:variant>
      <vt:variant>
        <vt:i4>0</vt:i4>
      </vt:variant>
      <vt:variant>
        <vt:i4>5</vt:i4>
      </vt:variant>
      <vt:variant>
        <vt:lpwstr>https://www.ncbi.nlm.nih.gov/pubmed/24272889</vt:lpwstr>
      </vt:variant>
      <vt:variant>
        <vt:lpwstr/>
      </vt:variant>
      <vt:variant>
        <vt:i4>5832760</vt:i4>
      </vt:variant>
      <vt:variant>
        <vt:i4>33</vt:i4>
      </vt:variant>
      <vt:variant>
        <vt:i4>0</vt:i4>
      </vt:variant>
      <vt:variant>
        <vt:i4>5</vt:i4>
      </vt:variant>
      <vt:variant>
        <vt:lpwstr>https://www.ncbi.nlm.nih.gov/pubmed/?term=Harashima%20H%5BAuthor%5D&amp;cauthor=true&amp;cauthor_uid=24272889</vt:lpwstr>
      </vt:variant>
      <vt:variant>
        <vt:lpwstr/>
      </vt:variant>
      <vt:variant>
        <vt:i4>6029414</vt:i4>
      </vt:variant>
      <vt:variant>
        <vt:i4>30</vt:i4>
      </vt:variant>
      <vt:variant>
        <vt:i4>0</vt:i4>
      </vt:variant>
      <vt:variant>
        <vt:i4>5</vt:i4>
      </vt:variant>
      <vt:variant>
        <vt:lpwstr>https://www.ncbi.nlm.nih.gov/pubmed/?term=Hatakeyama%20H%5BAuthor%5D&amp;cauthor=true&amp;cauthor_uid=24272889</vt:lpwstr>
      </vt:variant>
      <vt:variant>
        <vt:lpwstr/>
      </vt:variant>
      <vt:variant>
        <vt:i4>6684792</vt:i4>
      </vt:variant>
      <vt:variant>
        <vt:i4>27</vt:i4>
      </vt:variant>
      <vt:variant>
        <vt:i4>0</vt:i4>
      </vt:variant>
      <vt:variant>
        <vt:i4>5</vt:i4>
      </vt:variant>
      <vt:variant>
        <vt:lpwstr>https://www.ncbi.nlm.nih.gov/pubmed/?term=Charlson%20FJ</vt:lpwstr>
      </vt:variant>
      <vt:variant>
        <vt:lpwstr/>
      </vt:variant>
      <vt:variant>
        <vt:i4>2490422</vt:i4>
      </vt:variant>
      <vt:variant>
        <vt:i4>24</vt:i4>
      </vt:variant>
      <vt:variant>
        <vt:i4>0</vt:i4>
      </vt:variant>
      <vt:variant>
        <vt:i4>5</vt:i4>
      </vt:variant>
      <vt:variant>
        <vt:lpwstr>https://www.ncbi.nlm.nih.gov/pubmed/?term=Cercy%20K</vt:lpwstr>
      </vt:variant>
      <vt:variant>
        <vt:lpwstr/>
      </vt:variant>
      <vt:variant>
        <vt:i4>5177439</vt:i4>
      </vt:variant>
      <vt:variant>
        <vt:i4>21</vt:i4>
      </vt:variant>
      <vt:variant>
        <vt:i4>0</vt:i4>
      </vt:variant>
      <vt:variant>
        <vt:i4>5</vt:i4>
      </vt:variant>
      <vt:variant>
        <vt:lpwstr>https://www.ncbi.nlm.nih.gov/pubmed/?term=Burnett%20R</vt:lpwstr>
      </vt:variant>
      <vt:variant>
        <vt:lpwstr/>
      </vt:variant>
      <vt:variant>
        <vt:i4>2031647</vt:i4>
      </vt:variant>
      <vt:variant>
        <vt:i4>18</vt:i4>
      </vt:variant>
      <vt:variant>
        <vt:i4>0</vt:i4>
      </vt:variant>
      <vt:variant>
        <vt:i4>5</vt:i4>
      </vt:variant>
      <vt:variant>
        <vt:lpwstr>https://www.ncbi.nlm.nih.gov/pubmed/?term=Brauer%20M</vt:lpwstr>
      </vt:variant>
      <vt:variant>
        <vt:lpwstr/>
      </vt:variant>
      <vt:variant>
        <vt:i4>7929971</vt:i4>
      </vt:variant>
      <vt:variant>
        <vt:i4>15</vt:i4>
      </vt:variant>
      <vt:variant>
        <vt:i4>0</vt:i4>
      </vt:variant>
      <vt:variant>
        <vt:i4>5</vt:i4>
      </vt:variant>
      <vt:variant>
        <vt:lpwstr>https://www.ncbi.nlm.nih.gov/pubmed/?term=Biryukov%20S</vt:lpwstr>
      </vt:variant>
      <vt:variant>
        <vt:lpwstr/>
      </vt:variant>
      <vt:variant>
        <vt:i4>26</vt:i4>
      </vt:variant>
      <vt:variant>
        <vt:i4>12</vt:i4>
      </vt:variant>
      <vt:variant>
        <vt:i4>0</vt:i4>
      </vt:variant>
      <vt:variant>
        <vt:i4>5</vt:i4>
      </vt:variant>
      <vt:variant>
        <vt:lpwstr>https://www.ncbi.nlm.nih.gov/pubmed/?term=Bhutta%20ZA</vt:lpwstr>
      </vt:variant>
      <vt:variant>
        <vt:lpwstr/>
      </vt:variant>
      <vt:variant>
        <vt:i4>7929953</vt:i4>
      </vt:variant>
      <vt:variant>
        <vt:i4>9</vt:i4>
      </vt:variant>
      <vt:variant>
        <vt:i4>0</vt:i4>
      </vt:variant>
      <vt:variant>
        <vt:i4>5</vt:i4>
      </vt:variant>
      <vt:variant>
        <vt:lpwstr>https://www.ncbi.nlm.nih.gov/pubmed/?term=Anderson%20HR</vt:lpwstr>
      </vt:variant>
      <vt:variant>
        <vt:lpwstr/>
      </vt:variant>
      <vt:variant>
        <vt:i4>4915265</vt:i4>
      </vt:variant>
      <vt:variant>
        <vt:i4>6</vt:i4>
      </vt:variant>
      <vt:variant>
        <vt:i4>0</vt:i4>
      </vt:variant>
      <vt:variant>
        <vt:i4>5</vt:i4>
      </vt:variant>
      <vt:variant>
        <vt:lpwstr>https://www.ncbi.nlm.nih.gov/pubmed/?term=Alexander%20LT</vt:lpwstr>
      </vt:variant>
      <vt:variant>
        <vt:lpwstr/>
      </vt:variant>
      <vt:variant>
        <vt:i4>393218</vt:i4>
      </vt:variant>
      <vt:variant>
        <vt:i4>3</vt:i4>
      </vt:variant>
      <vt:variant>
        <vt:i4>0</vt:i4>
      </vt:variant>
      <vt:variant>
        <vt:i4>5</vt:i4>
      </vt:variant>
      <vt:variant>
        <vt:lpwstr>https://www.ncbi.nlm.nih.gov/pubmed/?term=Afshin%20A</vt:lpwstr>
      </vt:variant>
      <vt:variant>
        <vt:lpwstr/>
      </vt:variant>
      <vt:variant>
        <vt:i4>3997735</vt:i4>
      </vt:variant>
      <vt:variant>
        <vt:i4>0</vt:i4>
      </vt:variant>
      <vt:variant>
        <vt:i4>0</vt:i4>
      </vt:variant>
      <vt:variant>
        <vt:i4>5</vt:i4>
      </vt:variant>
      <vt:variant>
        <vt:lpwstr>https://www.ncbi.nlm.nih.gov/pubmed/?term=Forouzanfar%20MH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Ihab Said</cp:lastModifiedBy>
  <cp:revision>2</cp:revision>
  <cp:lastPrinted>2019-02-17T06:32:00Z</cp:lastPrinted>
  <dcterms:created xsi:type="dcterms:W3CDTF">2019-02-17T06:33:00Z</dcterms:created>
  <dcterms:modified xsi:type="dcterms:W3CDTF">2019-02-17T06:33:00Z</dcterms:modified>
</cp:coreProperties>
</file>