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E90" w:rsidRDefault="00242E90" w:rsidP="00242E90">
      <w:pPr>
        <w:autoSpaceDE w:val="0"/>
        <w:autoSpaceDN w:val="0"/>
        <w:bidi w:val="0"/>
        <w:adjustRightInd w:val="0"/>
        <w:spacing w:after="0" w:line="240" w:lineRule="auto"/>
        <w:jc w:val="center"/>
        <w:rPr>
          <w:rFonts w:asciiTheme="majorBidi" w:hAnsiTheme="majorBidi" w:cstheme="majorBidi"/>
          <w:b/>
          <w:bCs/>
          <w:sz w:val="28"/>
          <w:szCs w:val="28"/>
        </w:rPr>
      </w:pPr>
      <w:r>
        <w:rPr>
          <w:rFonts w:asciiTheme="majorBidi" w:hAnsiTheme="majorBidi" w:cstheme="majorBidi"/>
          <w:b/>
          <w:bCs/>
          <w:sz w:val="28"/>
          <w:szCs w:val="28"/>
        </w:rPr>
        <w:t>Reference values for some hematological parameters in Iraqi local horses</w:t>
      </w:r>
    </w:p>
    <w:p w:rsidR="00242E90" w:rsidRDefault="00242E90" w:rsidP="00242E90">
      <w:pPr>
        <w:autoSpaceDE w:val="0"/>
        <w:autoSpaceDN w:val="0"/>
        <w:bidi w:val="0"/>
        <w:adjustRightInd w:val="0"/>
        <w:spacing w:after="0" w:line="240" w:lineRule="auto"/>
        <w:jc w:val="center"/>
        <w:rPr>
          <w:rFonts w:asciiTheme="majorBidi" w:hAnsiTheme="majorBidi" w:cstheme="majorBidi"/>
          <w:b/>
          <w:bCs/>
          <w:sz w:val="28"/>
          <w:szCs w:val="28"/>
        </w:rPr>
      </w:pPr>
    </w:p>
    <w:p w:rsidR="00242E90" w:rsidRDefault="00242E90" w:rsidP="00242E90">
      <w:pPr>
        <w:autoSpaceDE w:val="0"/>
        <w:autoSpaceDN w:val="0"/>
        <w:bidi w:val="0"/>
        <w:adjustRightInd w:val="0"/>
        <w:spacing w:after="0" w:line="240" w:lineRule="auto"/>
        <w:jc w:val="center"/>
        <w:rPr>
          <w:rFonts w:asciiTheme="majorBidi" w:eastAsia="BSGulliver" w:hAnsiTheme="majorBidi" w:cstheme="majorBidi"/>
          <w:b/>
          <w:bCs/>
          <w:sz w:val="24"/>
          <w:szCs w:val="24"/>
        </w:rPr>
      </w:pPr>
      <w:proofErr w:type="spellStart"/>
      <w:r>
        <w:rPr>
          <w:rFonts w:asciiTheme="majorBidi" w:hAnsiTheme="majorBidi" w:cstheme="majorBidi"/>
          <w:b/>
          <w:bCs/>
          <w:color w:val="2A2A2A"/>
          <w:sz w:val="24"/>
          <w:szCs w:val="24"/>
          <w:shd w:val="clear" w:color="auto" w:fill="FFFFFF"/>
        </w:rPr>
        <w:t>Firas</w:t>
      </w:r>
      <w:proofErr w:type="spellEnd"/>
      <w:r>
        <w:rPr>
          <w:rFonts w:asciiTheme="majorBidi" w:hAnsiTheme="majorBidi" w:cstheme="majorBidi"/>
          <w:b/>
          <w:bCs/>
          <w:color w:val="2A2A2A"/>
          <w:sz w:val="24"/>
          <w:szCs w:val="24"/>
          <w:shd w:val="clear" w:color="auto" w:fill="FFFFFF"/>
        </w:rPr>
        <w:t xml:space="preserve"> </w:t>
      </w:r>
      <w:proofErr w:type="spellStart"/>
      <w:r>
        <w:rPr>
          <w:rFonts w:asciiTheme="majorBidi" w:hAnsiTheme="majorBidi" w:cstheme="majorBidi"/>
          <w:b/>
          <w:bCs/>
          <w:color w:val="2A2A2A"/>
          <w:sz w:val="24"/>
          <w:szCs w:val="24"/>
          <w:shd w:val="clear" w:color="auto" w:fill="FFFFFF"/>
        </w:rPr>
        <w:t>Rashad</w:t>
      </w:r>
      <w:proofErr w:type="spellEnd"/>
      <w:r>
        <w:rPr>
          <w:rFonts w:asciiTheme="majorBidi" w:hAnsiTheme="majorBidi" w:cstheme="majorBidi"/>
          <w:b/>
          <w:bCs/>
          <w:color w:val="2A2A2A"/>
          <w:sz w:val="24"/>
          <w:szCs w:val="24"/>
          <w:shd w:val="clear" w:color="auto" w:fill="FFFFFF"/>
        </w:rPr>
        <w:t xml:space="preserve"> Al-</w:t>
      </w:r>
      <w:proofErr w:type="spellStart"/>
      <w:r>
        <w:rPr>
          <w:rFonts w:asciiTheme="majorBidi" w:hAnsiTheme="majorBidi" w:cstheme="majorBidi"/>
          <w:b/>
          <w:bCs/>
          <w:color w:val="2A2A2A"/>
          <w:sz w:val="24"/>
          <w:szCs w:val="24"/>
          <w:shd w:val="clear" w:color="auto" w:fill="FFFFFF"/>
        </w:rPr>
        <w:t>Samarai</w:t>
      </w:r>
      <w:proofErr w:type="spellEnd"/>
      <w:r>
        <w:rPr>
          <w:rFonts w:asciiTheme="majorBidi" w:hAnsiTheme="majorBidi" w:cstheme="majorBidi"/>
          <w:b/>
          <w:bCs/>
          <w:color w:val="2A2A2A"/>
          <w:sz w:val="24"/>
          <w:szCs w:val="24"/>
          <w:shd w:val="clear" w:color="auto" w:fill="FFFFFF"/>
        </w:rPr>
        <w:t xml:space="preserve">             </w:t>
      </w:r>
      <w:proofErr w:type="spellStart"/>
      <w:proofErr w:type="gramStart"/>
      <w:r>
        <w:rPr>
          <w:rFonts w:asciiTheme="majorBidi" w:hAnsiTheme="majorBidi" w:cstheme="majorBidi"/>
          <w:b/>
          <w:bCs/>
          <w:color w:val="2A2A2A"/>
          <w:sz w:val="24"/>
          <w:szCs w:val="24"/>
          <w:shd w:val="clear" w:color="auto" w:fill="FFFFFF"/>
        </w:rPr>
        <w:t>Hayder</w:t>
      </w:r>
      <w:proofErr w:type="spellEnd"/>
      <w:r>
        <w:rPr>
          <w:rFonts w:asciiTheme="majorBidi" w:hAnsiTheme="majorBidi" w:cstheme="majorBidi"/>
          <w:b/>
          <w:bCs/>
          <w:color w:val="2A2A2A"/>
          <w:sz w:val="24"/>
          <w:szCs w:val="24"/>
          <w:shd w:val="clear" w:color="auto" w:fill="FFFFFF"/>
        </w:rPr>
        <w:t xml:space="preserve">  </w:t>
      </w:r>
      <w:proofErr w:type="spellStart"/>
      <w:r>
        <w:rPr>
          <w:rFonts w:asciiTheme="majorBidi" w:hAnsiTheme="majorBidi" w:cstheme="majorBidi"/>
          <w:b/>
          <w:bCs/>
          <w:color w:val="2A2A2A"/>
          <w:sz w:val="24"/>
          <w:szCs w:val="24"/>
          <w:shd w:val="clear" w:color="auto" w:fill="FFFFFF"/>
        </w:rPr>
        <w:t>Dawood</w:t>
      </w:r>
      <w:proofErr w:type="spellEnd"/>
      <w:proofErr w:type="gramEnd"/>
      <w:r>
        <w:rPr>
          <w:rFonts w:asciiTheme="majorBidi" w:hAnsiTheme="majorBidi" w:cstheme="majorBidi"/>
          <w:b/>
          <w:bCs/>
          <w:color w:val="2A2A2A"/>
          <w:sz w:val="24"/>
          <w:szCs w:val="24"/>
          <w:shd w:val="clear" w:color="auto" w:fill="FFFFFF"/>
        </w:rPr>
        <w:t xml:space="preserve"> </w:t>
      </w:r>
      <w:proofErr w:type="spellStart"/>
      <w:r>
        <w:rPr>
          <w:rFonts w:asciiTheme="majorBidi" w:hAnsiTheme="majorBidi" w:cstheme="majorBidi"/>
          <w:b/>
          <w:bCs/>
          <w:color w:val="2A2A2A"/>
          <w:sz w:val="24"/>
          <w:szCs w:val="24"/>
          <w:shd w:val="clear" w:color="auto" w:fill="FFFFFF"/>
        </w:rPr>
        <w:t>Saleem</w:t>
      </w:r>
      <w:proofErr w:type="spellEnd"/>
      <w:r>
        <w:rPr>
          <w:rFonts w:asciiTheme="majorBidi" w:hAnsiTheme="majorBidi" w:cstheme="majorBidi"/>
          <w:b/>
          <w:bCs/>
          <w:color w:val="2A2A2A"/>
          <w:sz w:val="24"/>
          <w:szCs w:val="24"/>
          <w:shd w:val="clear" w:color="auto" w:fill="FFFFFF"/>
        </w:rPr>
        <w:t xml:space="preserve">                             </w:t>
      </w:r>
    </w:p>
    <w:p w:rsidR="00242E90" w:rsidRDefault="00242E90" w:rsidP="00242E90">
      <w:pPr>
        <w:autoSpaceDE w:val="0"/>
        <w:autoSpaceDN w:val="0"/>
        <w:bidi w:val="0"/>
        <w:adjustRightInd w:val="0"/>
        <w:spacing w:after="0" w:line="240" w:lineRule="auto"/>
        <w:jc w:val="both"/>
        <w:rPr>
          <w:rFonts w:asciiTheme="majorBidi" w:eastAsia="BSGulliver" w:hAnsiTheme="majorBidi" w:cstheme="majorBidi"/>
          <w:b/>
          <w:bCs/>
          <w:sz w:val="24"/>
          <w:szCs w:val="24"/>
        </w:rPr>
      </w:pPr>
      <w:r>
        <w:rPr>
          <w:rFonts w:asciiTheme="majorBidi" w:eastAsia="BSGulliver" w:hAnsiTheme="majorBidi" w:cstheme="majorBidi"/>
          <w:b/>
          <w:bCs/>
          <w:sz w:val="24"/>
          <w:szCs w:val="24"/>
        </w:rPr>
        <w:t>Department of Veterinary Public Health, College of Veterinary Medicine, University of Baghdad, Iraq</w:t>
      </w:r>
    </w:p>
    <w:p w:rsidR="00242E90" w:rsidRPr="00242E90" w:rsidRDefault="00242E90" w:rsidP="00242E90">
      <w:pPr>
        <w:bidi w:val="0"/>
        <w:spacing w:line="480" w:lineRule="auto"/>
        <w:jc w:val="both"/>
        <w:rPr>
          <w:rFonts w:asciiTheme="majorBidi" w:hAnsiTheme="majorBidi" w:cstheme="majorBidi"/>
          <w:b/>
          <w:bCs/>
          <w:color w:val="2A2A2A"/>
          <w:sz w:val="24"/>
          <w:szCs w:val="24"/>
          <w:shd w:val="clear" w:color="auto" w:fill="FFFFFF"/>
        </w:rPr>
      </w:pPr>
      <w:r>
        <w:rPr>
          <w:rFonts w:asciiTheme="majorBidi" w:hAnsiTheme="majorBidi" w:cstheme="majorBidi"/>
          <w:b/>
          <w:bCs/>
          <w:color w:val="2A2A2A"/>
          <w:sz w:val="24"/>
          <w:szCs w:val="24"/>
          <w:shd w:val="clear" w:color="auto" w:fill="FFFFFF"/>
        </w:rPr>
        <w:t xml:space="preserve">               </w:t>
      </w:r>
      <w:hyperlink r:id="rId5" w:history="1">
        <w:r>
          <w:rPr>
            <w:rStyle w:val="Hyperlink"/>
            <w:rFonts w:asciiTheme="majorBidi" w:hAnsiTheme="majorBidi" w:cstheme="majorBidi"/>
            <w:sz w:val="24"/>
            <w:szCs w:val="24"/>
            <w:shd w:val="clear" w:color="auto" w:fill="FFFFFF"/>
          </w:rPr>
          <w:t>firas_rashad@yahoo.com</w:t>
        </w:r>
      </w:hyperlink>
      <w:r>
        <w:rPr>
          <w:rFonts w:asciiTheme="majorBidi" w:hAnsiTheme="majorBidi" w:cstheme="majorBidi"/>
          <w:b/>
          <w:bCs/>
          <w:color w:val="2A2A2A"/>
          <w:sz w:val="24"/>
          <w:szCs w:val="24"/>
          <w:shd w:val="clear" w:color="auto" w:fill="FFFFFF"/>
        </w:rPr>
        <w:t xml:space="preserve">                         </w:t>
      </w:r>
      <w:hyperlink r:id="rId6" w:history="1">
        <w:r>
          <w:rPr>
            <w:rStyle w:val="Hyperlink"/>
            <w:rFonts w:asciiTheme="majorBidi" w:hAnsiTheme="majorBidi" w:cstheme="majorBidi"/>
            <w:sz w:val="24"/>
            <w:szCs w:val="24"/>
            <w:shd w:val="clear" w:color="auto" w:fill="FFFFFF"/>
          </w:rPr>
          <w:t>hydrsalim@gmail.com</w:t>
        </w:r>
      </w:hyperlink>
      <w:r>
        <w:rPr>
          <w:rFonts w:asciiTheme="majorBidi" w:hAnsiTheme="majorBidi" w:cstheme="majorBidi"/>
          <w:b/>
          <w:bCs/>
          <w:color w:val="2A2A2A"/>
          <w:sz w:val="24"/>
          <w:szCs w:val="24"/>
          <w:shd w:val="clear" w:color="auto" w:fill="FFFFFF"/>
        </w:rPr>
        <w:t xml:space="preserve">                             </w:t>
      </w:r>
    </w:p>
    <w:p w:rsidR="00242E90" w:rsidRDefault="00242E90" w:rsidP="00242E90">
      <w:pPr>
        <w:bidi w:val="0"/>
        <w:spacing w:after="0" w:line="480" w:lineRule="auto"/>
        <w:rPr>
          <w:rFonts w:asciiTheme="majorBidi" w:hAnsiTheme="majorBidi" w:cstheme="majorBidi"/>
          <w:b/>
          <w:bCs/>
          <w:sz w:val="24"/>
          <w:szCs w:val="24"/>
        </w:rPr>
      </w:pPr>
      <w:r>
        <w:rPr>
          <w:rFonts w:asciiTheme="majorBidi" w:hAnsiTheme="majorBidi" w:cstheme="majorBidi"/>
          <w:b/>
          <w:bCs/>
          <w:sz w:val="24"/>
          <w:szCs w:val="24"/>
        </w:rPr>
        <w:t>Abstract</w:t>
      </w:r>
    </w:p>
    <w:p w:rsidR="00242E90" w:rsidRDefault="00242E90" w:rsidP="00242E90">
      <w:pPr>
        <w:autoSpaceDE w:val="0"/>
        <w:autoSpaceDN w:val="0"/>
        <w:bidi w:val="0"/>
        <w:adjustRightInd w:val="0"/>
        <w:spacing w:after="0" w:line="48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A cross-sectional study was conducted to determine some hematological values in Iraqi local horses in order to increase the precision of diagnosis particularly no published data existed about this subject in Iraq. A total of 126 blood samples were collected from the jugular </w:t>
      </w:r>
      <w:proofErr w:type="gramStart"/>
      <w:r>
        <w:rPr>
          <w:rFonts w:asciiTheme="majorBidi" w:hAnsiTheme="majorBidi" w:cstheme="majorBidi"/>
          <w:color w:val="000000" w:themeColor="text1"/>
          <w:sz w:val="24"/>
          <w:szCs w:val="24"/>
        </w:rPr>
        <w:t>vein</w:t>
      </w:r>
      <w:r>
        <w:rPr>
          <w:rFonts w:asciiTheme="majorBidi" w:hAnsiTheme="majorBidi" w:cstheme="majorBidi"/>
          <w:color w:val="000000" w:themeColor="text1"/>
          <w:sz w:val="16"/>
          <w:szCs w:val="16"/>
        </w:rPr>
        <w:t xml:space="preserve"> </w:t>
      </w:r>
      <w:r>
        <w:rPr>
          <w:rFonts w:asciiTheme="majorBidi" w:hAnsiTheme="majorBidi" w:cstheme="majorBidi"/>
          <w:color w:val="000000" w:themeColor="text1"/>
          <w:sz w:val="24"/>
          <w:szCs w:val="24"/>
        </w:rPr>
        <w:t xml:space="preserve"> of</w:t>
      </w:r>
      <w:proofErr w:type="gramEnd"/>
      <w:r>
        <w:rPr>
          <w:rFonts w:asciiTheme="majorBidi" w:hAnsiTheme="majorBidi" w:cstheme="majorBidi"/>
          <w:color w:val="000000" w:themeColor="text1"/>
          <w:sz w:val="24"/>
          <w:szCs w:val="24"/>
        </w:rPr>
        <w:t xml:space="preserve"> horses randomly from several regions in the Middle and South of Iraq during the period from March to August 2016. The age of horses ranged 2-17 year for both sexes </w:t>
      </w:r>
      <w:r>
        <w:rPr>
          <w:rFonts w:cs="Calibri"/>
          <w:color w:val="000000" w:themeColor="text1"/>
          <w:sz w:val="24"/>
          <w:szCs w:val="24"/>
        </w:rPr>
        <w:t>(33 male and 93 female)</w:t>
      </w:r>
      <w:r>
        <w:rPr>
          <w:rFonts w:asciiTheme="majorBidi" w:hAnsiTheme="majorBidi" w:cstheme="majorBidi"/>
          <w:color w:val="000000" w:themeColor="text1"/>
          <w:sz w:val="24"/>
          <w:szCs w:val="24"/>
        </w:rPr>
        <w:t xml:space="preserve">. </w:t>
      </w:r>
    </w:p>
    <w:p w:rsidR="00242E90" w:rsidRDefault="00242E90" w:rsidP="00242E90">
      <w:pPr>
        <w:autoSpaceDE w:val="0"/>
        <w:autoSpaceDN w:val="0"/>
        <w:bidi w:val="0"/>
        <w:adjustRightInd w:val="0"/>
        <w:spacing w:after="0" w:line="48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Reference value adviser was used to estimates these parameters. Results revealed that the local reference intervals (LRI) as following: The red blood cell count (</w:t>
      </w:r>
      <w:smartTag w:uri="urn:schemas-microsoft-com:office:smarttags" w:element="stockticker">
        <w:r>
          <w:rPr>
            <w:rFonts w:asciiTheme="majorBidi" w:hAnsiTheme="majorBidi" w:cstheme="majorBidi"/>
            <w:color w:val="000000" w:themeColor="text1"/>
            <w:sz w:val="24"/>
            <w:szCs w:val="24"/>
          </w:rPr>
          <w:t>RBC</w:t>
        </w:r>
      </w:smartTag>
      <w:r>
        <w:rPr>
          <w:rFonts w:asciiTheme="majorBidi" w:hAnsiTheme="majorBidi" w:cstheme="majorBidi"/>
          <w:color w:val="000000" w:themeColor="text1"/>
          <w:sz w:val="24"/>
          <w:szCs w:val="24"/>
        </w:rPr>
        <w:t>) (5.61–7.90 × 10</w:t>
      </w:r>
      <w:r>
        <w:rPr>
          <w:rFonts w:asciiTheme="majorBidi" w:hAnsiTheme="majorBidi" w:cstheme="majorBidi"/>
          <w:color w:val="000000" w:themeColor="text1"/>
          <w:sz w:val="24"/>
          <w:szCs w:val="24"/>
          <w:vertAlign w:val="superscript"/>
        </w:rPr>
        <w:t>6</w:t>
      </w:r>
      <w:r>
        <w:rPr>
          <w:rFonts w:asciiTheme="majorBidi" w:hAnsiTheme="majorBidi" w:cstheme="majorBidi"/>
          <w:color w:val="000000" w:themeColor="text1"/>
          <w:sz w:val="24"/>
          <w:szCs w:val="24"/>
        </w:rPr>
        <w:t>/</w:t>
      </w:r>
      <w:proofErr w:type="spellStart"/>
      <w:r>
        <w:rPr>
          <w:rFonts w:asciiTheme="majorBidi" w:hAnsiTheme="majorBidi" w:cstheme="majorBidi"/>
          <w:color w:val="000000" w:themeColor="text1"/>
          <w:sz w:val="24"/>
          <w:szCs w:val="24"/>
        </w:rPr>
        <w:t>μl</w:t>
      </w:r>
      <w:proofErr w:type="spellEnd"/>
      <w:r>
        <w:rPr>
          <w:rFonts w:asciiTheme="majorBidi" w:hAnsiTheme="majorBidi" w:cstheme="majorBidi"/>
          <w:color w:val="000000" w:themeColor="text1"/>
          <w:sz w:val="24"/>
          <w:szCs w:val="24"/>
        </w:rPr>
        <w:t>), hemoglobin (</w:t>
      </w:r>
      <w:proofErr w:type="spellStart"/>
      <w:r>
        <w:rPr>
          <w:rFonts w:asciiTheme="majorBidi" w:hAnsiTheme="majorBidi" w:cstheme="majorBidi"/>
          <w:color w:val="000000" w:themeColor="text1"/>
          <w:sz w:val="24"/>
          <w:szCs w:val="24"/>
        </w:rPr>
        <w:t>Hb</w:t>
      </w:r>
      <w:proofErr w:type="spellEnd"/>
      <w:r>
        <w:rPr>
          <w:rFonts w:asciiTheme="majorBidi" w:hAnsiTheme="majorBidi" w:cstheme="majorBidi"/>
          <w:color w:val="000000" w:themeColor="text1"/>
          <w:sz w:val="24"/>
          <w:szCs w:val="24"/>
        </w:rPr>
        <w:t>) (8.42-12.10 g/</w:t>
      </w:r>
      <w:proofErr w:type="spellStart"/>
      <w:r>
        <w:rPr>
          <w:rFonts w:asciiTheme="majorBidi" w:hAnsiTheme="majorBidi" w:cstheme="majorBidi"/>
          <w:color w:val="000000" w:themeColor="text1"/>
          <w:sz w:val="24"/>
          <w:szCs w:val="24"/>
        </w:rPr>
        <w:t>dL</w:t>
      </w:r>
      <w:proofErr w:type="spellEnd"/>
      <w:r>
        <w:rPr>
          <w:rFonts w:asciiTheme="majorBidi" w:hAnsiTheme="majorBidi" w:cstheme="majorBidi"/>
          <w:color w:val="000000" w:themeColor="text1"/>
          <w:sz w:val="24"/>
          <w:szCs w:val="24"/>
        </w:rPr>
        <w:t>), packed cell volume (PCV) (23.86-33.12%), corpuscular hemoglobin concentration (MCHC) (32.40–41.30 g/dl), corpuscular hemoglobin (</w:t>
      </w:r>
      <w:smartTag w:uri="urn:schemas-microsoft-com:office:smarttags" w:element="stockticker">
        <w:r>
          <w:rPr>
            <w:rFonts w:asciiTheme="majorBidi" w:hAnsiTheme="majorBidi" w:cstheme="majorBidi"/>
            <w:color w:val="000000" w:themeColor="text1"/>
            <w:sz w:val="24"/>
            <w:szCs w:val="24"/>
          </w:rPr>
          <w:t>MCH</w:t>
        </w:r>
      </w:smartTag>
      <w:r>
        <w:rPr>
          <w:rFonts w:asciiTheme="majorBidi" w:hAnsiTheme="majorBidi" w:cstheme="majorBidi"/>
          <w:color w:val="000000" w:themeColor="text1"/>
          <w:sz w:val="24"/>
          <w:szCs w:val="24"/>
        </w:rPr>
        <w:t xml:space="preserve">) (14.90–16.90 </w:t>
      </w:r>
      <w:proofErr w:type="spellStart"/>
      <w:r>
        <w:rPr>
          <w:rFonts w:asciiTheme="majorBidi" w:hAnsiTheme="majorBidi" w:cstheme="majorBidi"/>
          <w:color w:val="000000" w:themeColor="text1"/>
          <w:sz w:val="24"/>
          <w:szCs w:val="24"/>
        </w:rPr>
        <w:t>pg</w:t>
      </w:r>
      <w:proofErr w:type="spellEnd"/>
      <w:r>
        <w:rPr>
          <w:rFonts w:asciiTheme="majorBidi" w:hAnsiTheme="majorBidi" w:cstheme="majorBidi"/>
          <w:color w:val="000000" w:themeColor="text1"/>
          <w:sz w:val="24"/>
          <w:szCs w:val="24"/>
        </w:rPr>
        <w:t xml:space="preserve">), corpuscular volume (MCV) (38.90– 52.00 </w:t>
      </w:r>
      <w:proofErr w:type="spellStart"/>
      <w:r>
        <w:rPr>
          <w:rFonts w:asciiTheme="majorBidi" w:hAnsiTheme="majorBidi" w:cstheme="majorBidi"/>
          <w:color w:val="000000" w:themeColor="text1"/>
          <w:sz w:val="24"/>
          <w:szCs w:val="24"/>
        </w:rPr>
        <w:t>fl</w:t>
      </w:r>
      <w:proofErr w:type="spellEnd"/>
      <w:r>
        <w:rPr>
          <w:rFonts w:asciiTheme="majorBidi" w:hAnsiTheme="majorBidi" w:cstheme="majorBidi"/>
          <w:color w:val="000000" w:themeColor="text1"/>
          <w:sz w:val="24"/>
          <w:szCs w:val="24"/>
        </w:rPr>
        <w:t>), and white blood cells (WBC) (6.78–12.79 × 10</w:t>
      </w:r>
      <w:r>
        <w:rPr>
          <w:rFonts w:asciiTheme="majorBidi" w:hAnsiTheme="majorBidi" w:cstheme="majorBidi"/>
          <w:color w:val="000000" w:themeColor="text1"/>
          <w:sz w:val="24"/>
          <w:szCs w:val="24"/>
          <w:vertAlign w:val="superscript"/>
        </w:rPr>
        <w:t>3</w:t>
      </w:r>
      <w:r>
        <w:rPr>
          <w:rFonts w:asciiTheme="majorBidi" w:hAnsiTheme="majorBidi" w:cstheme="majorBidi"/>
          <w:color w:val="000000" w:themeColor="text1"/>
          <w:sz w:val="24"/>
          <w:szCs w:val="24"/>
        </w:rPr>
        <w:t>/</w:t>
      </w:r>
      <w:proofErr w:type="spellStart"/>
      <w:r>
        <w:rPr>
          <w:rFonts w:asciiTheme="majorBidi" w:hAnsiTheme="majorBidi" w:cstheme="majorBidi"/>
          <w:color w:val="000000" w:themeColor="text1"/>
          <w:sz w:val="24"/>
          <w:szCs w:val="24"/>
        </w:rPr>
        <w:t>μl</w:t>
      </w:r>
      <w:proofErr w:type="spellEnd"/>
      <w:r>
        <w:rPr>
          <w:rFonts w:asciiTheme="majorBidi" w:hAnsiTheme="majorBidi" w:cstheme="majorBidi"/>
          <w:color w:val="000000" w:themeColor="text1"/>
          <w:sz w:val="24"/>
          <w:szCs w:val="24"/>
        </w:rPr>
        <w:t xml:space="preserve">). The results showed that the lower limit of the LRI was lowered than the lower limit of the general reference intervals (GRI) for each of </w:t>
      </w:r>
      <w:smartTag w:uri="urn:schemas-microsoft-com:office:smarttags" w:element="stockticker">
        <w:r>
          <w:rPr>
            <w:rFonts w:asciiTheme="majorBidi" w:hAnsiTheme="majorBidi" w:cstheme="majorBidi"/>
            <w:color w:val="000000" w:themeColor="text1"/>
            <w:sz w:val="24"/>
            <w:szCs w:val="24"/>
          </w:rPr>
          <w:t>RBC</w:t>
        </w:r>
      </w:smartTag>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Hb</w:t>
      </w:r>
      <w:proofErr w:type="spellEnd"/>
      <w:r>
        <w:rPr>
          <w:rFonts w:asciiTheme="majorBidi" w:hAnsiTheme="majorBidi" w:cstheme="majorBidi"/>
          <w:color w:val="000000" w:themeColor="text1"/>
          <w:sz w:val="24"/>
          <w:szCs w:val="24"/>
        </w:rPr>
        <w:t xml:space="preserve">, and PCV, while the lower limit of the LRI in the others parameters are within the range of the GI. The results obtained from statistical analysis confirmed that the effect of age was not significant but the effect of sex was significant (P&lt; 0.05) only on PCV and </w:t>
      </w:r>
      <w:proofErr w:type="spellStart"/>
      <w:r>
        <w:rPr>
          <w:rFonts w:asciiTheme="majorBidi" w:hAnsiTheme="majorBidi" w:cstheme="majorBidi"/>
          <w:color w:val="000000" w:themeColor="text1"/>
          <w:sz w:val="24"/>
          <w:szCs w:val="24"/>
        </w:rPr>
        <w:t>Hb</w:t>
      </w:r>
      <w:proofErr w:type="spellEnd"/>
      <w:r>
        <w:rPr>
          <w:rFonts w:asciiTheme="majorBidi" w:hAnsiTheme="majorBidi" w:cstheme="majorBidi"/>
          <w:color w:val="000000" w:themeColor="text1"/>
          <w:sz w:val="24"/>
          <w:szCs w:val="24"/>
        </w:rPr>
        <w:t xml:space="preserve">. The mean value of males was significantly (P&lt;0.05) higher than the females. In conclusion, the results of the LRI showed substantial differences as compared with the GRI and this will increase the need for establishing reference values for horses as well as for all local animals. </w:t>
      </w:r>
      <w:bookmarkStart w:id="0" w:name="_GoBack"/>
      <w:bookmarkEnd w:id="0"/>
    </w:p>
    <w:sectPr w:rsidR="00242E90" w:rsidSect="006B779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SGullive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E90"/>
    <w:rsid w:val="00242E90"/>
    <w:rsid w:val="00567215"/>
    <w:rsid w:val="006B77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E9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42E9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E9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42E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823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hydrsalim@gemail.com" TargetMode="External"/><Relationship Id="rId5" Type="http://schemas.openxmlformats.org/officeDocument/2006/relationships/hyperlink" Target="mailto:firas_rashad@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Ahmed-Under</Company>
  <LinksUpToDate>false</LinksUpToDate>
  <CharactersWithSpaces>2107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oasis</dc:creator>
  <cp:lastModifiedBy>oasis</cp:lastModifiedBy>
  <cp:revision>2</cp:revision>
  <dcterms:created xsi:type="dcterms:W3CDTF">2018-11-30T08:55:00Z</dcterms:created>
  <dcterms:modified xsi:type="dcterms:W3CDTF">2018-11-30T08:56:00Z</dcterms:modified>
</cp:coreProperties>
</file>