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jpeg" ContentType="image/jpeg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Heading"/>
        <w:spacing w:before="170" w:line="360" w:lineRule="exact"/>
        <w:ind w:left="0" w:firstLine="0"/>
      </w:pPr>
      <w:r>
        <w:rPr>
          <w:rStyle w:val="None"/>
          <w:color w:val="337ab7"/>
          <w:u w:color="337ab7"/>
          <w:rtl w:val="0"/>
          <w:lang w:val="en-US"/>
        </w:rPr>
        <w:t>Molecular</w:t>
      </w:r>
      <w:r>
        <w:rPr>
          <w:rStyle w:val="None"/>
          <w:color w:val="337ab7"/>
          <w:u w:color="337ab7"/>
          <w:rtl w:val="0"/>
        </w:rPr>
        <w:t xml:space="preserve"> </w:t>
      </w:r>
      <w:r>
        <w:rPr>
          <w:rStyle w:val="None"/>
          <w:color w:val="337ab7"/>
          <w:u w:color="337ab7"/>
          <w:rtl w:val="0"/>
          <w:lang w:val="en-US"/>
        </w:rPr>
        <w:t xml:space="preserve">detection of </w:t>
      </w:r>
      <w:r>
        <w:rPr>
          <w:rStyle w:val="None"/>
          <w:i w:val="1"/>
          <w:iCs w:val="1"/>
          <w:color w:val="337ab7"/>
          <w:u w:color="337ab7"/>
          <w:rtl w:val="0"/>
          <w:lang w:val="en-US"/>
        </w:rPr>
        <w:t>Anaplasma</w:t>
      </w:r>
      <w:r>
        <w:rPr>
          <w:rStyle w:val="None"/>
          <w:color w:val="337ab7"/>
          <w:u w:color="337ab7"/>
          <w:rtl w:val="0"/>
          <w:lang w:val="en-US"/>
        </w:rPr>
        <w:t xml:space="preserve"> spp. in blood and milk from </w:t>
      </w:r>
      <w:r>
        <w:rPr>
          <w:rStyle w:val="None"/>
          <w:color w:val="337ab7"/>
          <w:u w:color="337ab7"/>
          <w:rtl w:val="0"/>
        </w:rPr>
        <w:t xml:space="preserve"> </w:t>
      </w:r>
      <w:r>
        <w:rPr>
          <w:rStyle w:val="None"/>
          <w:color w:val="337ab7"/>
          <w:u w:color="337ab7"/>
          <w:rtl w:val="0"/>
          <w:lang w:val="en-US"/>
        </w:rPr>
        <w:t>dairy cattle in Southern Luzon Island in the Philippines</w:t>
      </w:r>
    </w:p>
    <w:p>
      <w:pPr>
        <w:pStyle w:val="Body Text"/>
        <w:spacing w:before="73" w:line="198" w:lineRule="exact"/>
        <w:ind w:left="100" w:right="5987" w:firstLine="0"/>
        <w:rPr>
          <w:rStyle w:val="None"/>
          <w:rFonts w:ascii="Arial" w:cs="Arial" w:hAnsi="Arial" w:eastAsia="Arial"/>
        </w:rPr>
      </w:pPr>
      <w:r>
        <w:rPr>
          <w:rStyle w:val="None"/>
          <w:rFonts w:ascii="Arial" w:hAnsi="Arial"/>
          <w:rtl w:val="0"/>
          <w:lang w:val="en-US"/>
        </w:rPr>
        <w:t>Angelito P de la Cruz,</w:t>
      </w:r>
      <w:r>
        <w:rPr>
          <w:rStyle w:val="None"/>
          <w:rFonts w:ascii="Arial" w:hAnsi="Arial"/>
          <w:rtl w:val="0"/>
          <w:lang w:val="en-US"/>
        </w:rPr>
        <w:t xml:space="preserve"> </w:t>
      </w:r>
      <w:r>
        <w:rPr>
          <w:rStyle w:val="None"/>
          <w:rFonts w:ascii="Arial" w:hAnsi="Arial"/>
          <w:rtl w:val="0"/>
          <w:lang w:val="en-US"/>
        </w:rPr>
        <w:t>UPCVM, UPLB</w:t>
      </w:r>
      <w:r>
        <w:rPr>
          <w:rStyle w:val="None"/>
          <w:rFonts w:ascii="Arial" w:hAnsi="Arial"/>
          <w:rtl w:val="0"/>
          <w:lang w:val="en-US"/>
        </w:rPr>
        <w:t xml:space="preserve">, </w:t>
      </w:r>
      <w:r>
        <w:rPr>
          <w:rStyle w:val="None"/>
          <w:rFonts w:ascii="Arial" w:hAnsi="Arial"/>
          <w:rtl w:val="0"/>
          <w:lang w:val="en-US"/>
        </w:rPr>
        <w:t xml:space="preserve">Philippines   </w:t>
      </w:r>
      <w:r>
        <w:rPr>
          <w:rStyle w:val="None"/>
          <w:rFonts w:ascii="Arial" w:hAnsi="Arial"/>
          <w:rtl w:val="0"/>
          <w:lang w:val="en-US"/>
        </w:rPr>
        <w:t xml:space="preserve"> </w:t>
      </w:r>
      <w:r>
        <w:rPr>
          <w:rStyle w:val="None"/>
          <w:rFonts w:ascii="Arial" w:hAnsi="Arial"/>
          <w:rtl w:val="0"/>
          <w:lang w:val="en-US"/>
        </w:rPr>
        <w:t>Remil</w:t>
      </w:r>
      <w:r>
        <w:rPr>
          <w:rStyle w:val="None"/>
          <w:rFonts w:ascii="Arial" w:hAnsi="Arial"/>
          <w:rtl w:val="0"/>
          <w:lang w:val="en-US"/>
        </w:rPr>
        <w:t xml:space="preserve"> L </w:t>
      </w:r>
      <w:r>
        <w:rPr>
          <w:rStyle w:val="None"/>
          <w:rFonts w:ascii="Arial" w:hAnsi="Arial"/>
          <w:rtl w:val="0"/>
          <w:lang w:val="en-US"/>
        </w:rPr>
        <w:t>Galay</w:t>
      </w:r>
      <w:r>
        <w:rPr>
          <w:rStyle w:val="None"/>
          <w:rFonts w:ascii="Arial" w:hAnsi="Arial"/>
          <w:rtl w:val="0"/>
          <w:lang w:val="en-US"/>
        </w:rPr>
        <w:t xml:space="preserve">, </w:t>
      </w:r>
      <w:r>
        <w:rPr>
          <w:rStyle w:val="None"/>
          <w:rFonts w:ascii="Arial" w:hAnsi="Arial"/>
          <w:rtl w:val="0"/>
          <w:lang w:val="en-US"/>
        </w:rPr>
        <w:t>DVM</w:t>
      </w:r>
      <w:r>
        <w:rPr>
          <w:rStyle w:val="None"/>
          <w:rFonts w:ascii="Arial" w:hAnsi="Arial"/>
          <w:rtl w:val="0"/>
          <w:lang w:val="en-US"/>
        </w:rPr>
        <w:t xml:space="preserve"> PhD, </w:t>
      </w:r>
      <w:r>
        <w:rPr>
          <w:rStyle w:val="None"/>
          <w:rFonts w:ascii="Arial" w:hAnsi="Arial"/>
          <w:rtl w:val="0"/>
          <w:lang w:val="en-US"/>
        </w:rPr>
        <w:t xml:space="preserve">UPCVM, UPLB, Philippines </w:t>
      </w:r>
      <w:r>
        <w:rPr>
          <w:rStyle w:val="None"/>
          <w:rFonts w:ascii="Arial" w:hAnsi="Arial"/>
          <w:b w:val="1"/>
          <w:bCs w:val="1"/>
          <w:rtl w:val="0"/>
          <w:lang w:val="en-US"/>
        </w:rPr>
        <w:t>Flor Marie Immanuelle R. Pilapil-Amante</w:t>
      </w:r>
      <w:r>
        <w:rPr>
          <w:rStyle w:val="None"/>
          <w:rFonts w:ascii="Arial" w:hAnsi="Arial"/>
          <w:rtl w:val="0"/>
          <w:lang w:val="en-US"/>
        </w:rPr>
        <w:t xml:space="preserve">, </w:t>
      </w:r>
      <w:r>
        <w:rPr>
          <w:rStyle w:val="None"/>
          <w:rFonts w:ascii="Arial" w:hAnsi="Arial"/>
          <w:rtl w:val="0"/>
          <w:lang w:val="en-US"/>
        </w:rPr>
        <w:t>DVM</w:t>
      </w:r>
      <w:r>
        <w:rPr>
          <w:rStyle w:val="None"/>
          <w:rFonts w:ascii="Arial" w:hAnsi="Arial"/>
          <w:rtl w:val="0"/>
          <w:lang w:val="en-US"/>
        </w:rPr>
        <w:t xml:space="preserve"> </w:t>
      </w:r>
      <w:r>
        <w:rPr>
          <w:rStyle w:val="None"/>
          <w:rFonts w:ascii="Arial" w:hAnsi="Arial"/>
          <w:rtl w:val="0"/>
          <w:lang w:val="en-US"/>
        </w:rPr>
        <w:t>MS</w:t>
      </w:r>
      <w:r>
        <w:rPr>
          <w:rStyle w:val="None"/>
          <w:rFonts w:ascii="Arial" w:hAnsi="Arial"/>
          <w:rtl w:val="0"/>
          <w:lang w:val="en-US"/>
        </w:rPr>
        <w:t xml:space="preserve">, </w:t>
      </w:r>
      <w:r>
        <w:rPr>
          <w:rStyle w:val="None"/>
          <w:rFonts w:ascii="Arial" w:hAnsi="Arial"/>
          <w:rtl w:val="0"/>
          <w:lang w:val="en-US"/>
        </w:rPr>
        <w:t>UPCVM, UPLB</w:t>
      </w:r>
      <w:r>
        <w:rPr>
          <w:rStyle w:val="None"/>
          <w:rFonts w:ascii="Arial" w:hAnsi="Arial"/>
          <w:rtl w:val="0"/>
          <w:lang w:val="en-US"/>
        </w:rPr>
        <w:t>,</w:t>
      </w:r>
      <w:r>
        <w:rPr>
          <w:rStyle w:val="None"/>
          <w:rFonts w:ascii="Arial" w:hAnsi="Arial"/>
          <w:rtl w:val="0"/>
          <w:lang w:val="en-US"/>
        </w:rPr>
        <w:t xml:space="preserve"> Philippines</w:t>
      </w:r>
    </w:p>
    <w:p>
      <w:pPr>
        <w:pStyle w:val="Body Text"/>
        <w:spacing w:before="3"/>
        <w:rPr>
          <w:rStyle w:val="None"/>
          <w:rFonts w:ascii="Arial" w:cs="Arial" w:hAnsi="Arial" w:eastAsia="Arial"/>
          <w:sz w:val="21"/>
          <w:szCs w:val="21"/>
        </w:rPr>
      </w:pPr>
    </w:p>
    <w:p>
      <w:pPr>
        <w:pStyle w:val="Body"/>
        <w:sectPr>
          <w:headerReference w:type="default" r:id="rId4"/>
          <w:footerReference w:type="default" r:id="rId5"/>
          <w:pgSz w:w="11920" w:h="16840" w:orient="portrait"/>
          <w:pgMar w:top="1740" w:right="600" w:bottom="840" w:left="620" w:header="541" w:footer="642"/>
          <w:bidi w:val="0"/>
        </w:sectPr>
      </w:pPr>
    </w:p>
    <w:p>
      <w:pPr>
        <w:pStyle w:val="Heading 3"/>
        <w:spacing w:before="147"/>
        <w:jc w:val="both"/>
      </w:pPr>
      <w:r>
        <w:rPr>
          <w:rStyle w:val="None"/>
          <w:color w:val="bf5a14"/>
          <w:u w:color="bf5a14"/>
          <w:rtl w:val="0"/>
          <w:lang w:val="de-DE"/>
        </w:rPr>
        <w:t>Abstract</w:t>
      </w:r>
    </w:p>
    <w:p>
      <w:pPr>
        <w:pStyle w:val="Body Text"/>
        <w:spacing w:before="90" w:line="280" w:lineRule="auto"/>
        <w:ind w:left="100" w:firstLine="0"/>
        <w:jc w:val="both"/>
      </w:pPr>
      <w:r>
        <w:rPr>
          <w:rtl w:val="0"/>
          <w:lang w:val="en-US"/>
        </w:rPr>
        <w:t xml:space="preserve">Statement of the Problem: </w:t>
      </w:r>
      <w:r>
        <w:rPr>
          <w:rStyle w:val="None"/>
          <w:rFonts w:ascii="Calibri" w:cs="Calibri" w:hAnsi="Calibri" w:eastAsia="Calibri"/>
          <w:rtl w:val="0"/>
          <w:lang w:val="en-US"/>
        </w:rPr>
        <w:t xml:space="preserve">Polymerase chain reaction (PCR) is currently the best choice in terms of sensitivity and specificity in the detection of the presence of </w:t>
      </w:r>
      <w:r>
        <w:rPr>
          <w:rStyle w:val="None"/>
          <w:rFonts w:ascii="Calibri" w:cs="Calibri" w:hAnsi="Calibri" w:eastAsia="Calibri"/>
          <w:i w:val="1"/>
          <w:iCs w:val="1"/>
          <w:rtl w:val="0"/>
          <w:lang w:val="en-US"/>
        </w:rPr>
        <w:t>Anaplasma</w:t>
      </w:r>
      <w:r>
        <w:rPr>
          <w:rStyle w:val="None"/>
          <w:rFonts w:ascii="Calibri" w:cs="Calibri" w:hAnsi="Calibri" w:eastAsia="Calibri"/>
          <w:rtl w:val="0"/>
          <w:lang w:val="en-US"/>
        </w:rPr>
        <w:t xml:space="preserve"> spp. in infected animals commonly being detected in blood.  There is no known study in the detection of its presence in milk of infected animals until the study of Zhang </w:t>
      </w:r>
      <w:r>
        <w:rPr>
          <w:rStyle w:val="None"/>
          <w:rFonts w:ascii="Calibri" w:cs="Calibri" w:hAnsi="Calibri" w:eastAsia="Calibri"/>
          <w:i w:val="1"/>
          <w:iCs w:val="1"/>
          <w:rtl w:val="0"/>
          <w:lang w:val="en-US"/>
        </w:rPr>
        <w:t>et al</w:t>
      </w:r>
      <w:r>
        <w:rPr>
          <w:rStyle w:val="None"/>
          <w:rFonts w:ascii="Calibri" w:cs="Calibri" w:hAnsi="Calibri" w:eastAsia="Calibri"/>
          <w:rtl w:val="0"/>
          <w:lang w:val="en-US"/>
        </w:rPr>
        <w:t xml:space="preserve">., (2016) which reported it in milk of sheep and goats.  This study was conducted to determine whether the blood parasite </w:t>
      </w:r>
      <w:r>
        <w:rPr>
          <w:rStyle w:val="None"/>
          <w:rFonts w:ascii="Calibri" w:cs="Calibri" w:hAnsi="Calibri" w:eastAsia="Calibri"/>
          <w:i w:val="1"/>
          <w:iCs w:val="1"/>
          <w:rtl w:val="0"/>
          <w:lang w:val="en-US"/>
        </w:rPr>
        <w:t>Anaplasma</w:t>
      </w:r>
      <w:r>
        <w:rPr>
          <w:rStyle w:val="None"/>
          <w:rFonts w:ascii="Calibri" w:cs="Calibri" w:hAnsi="Calibri" w:eastAsia="Calibri"/>
          <w:rtl w:val="0"/>
          <w:lang w:val="en-US"/>
        </w:rPr>
        <w:t xml:space="preserve"> species can also be detected in the bovine milk.  </w:t>
      </w:r>
      <w:r>
        <w:rPr>
          <w:rtl w:val="0"/>
          <w:lang w:val="en-US"/>
        </w:rPr>
        <w:t xml:space="preserve">Methodology &amp; Theoretical Orientation: </w:t>
      </w:r>
      <w:r>
        <w:rPr>
          <w:rStyle w:val="None"/>
          <w:rFonts w:ascii="Calibri" w:cs="Calibri" w:hAnsi="Calibri" w:eastAsia="Calibri"/>
          <w:rtl w:val="0"/>
          <w:lang w:val="en-US"/>
        </w:rPr>
        <w:t xml:space="preserve">Blood and milk were collected from a total of 98 lactating dairy cattle across the five provinces of Southern Luzon Island in the Philippines.  DNA extraction, molecular detection of </w:t>
      </w:r>
      <w:r>
        <w:rPr>
          <w:rStyle w:val="None"/>
          <w:rFonts w:ascii="Calibri" w:cs="Calibri" w:hAnsi="Calibri" w:eastAsia="Calibri"/>
          <w:i w:val="1"/>
          <w:iCs w:val="1"/>
          <w:rtl w:val="0"/>
          <w:lang w:val="en-US"/>
        </w:rPr>
        <w:t>actin</w:t>
      </w:r>
      <w:r>
        <w:rPr>
          <w:rStyle w:val="None"/>
          <w:rFonts w:ascii="Calibri" w:cs="Calibri" w:hAnsi="Calibri" w:eastAsia="Calibri"/>
          <w:rtl w:val="0"/>
          <w:lang w:val="en-US"/>
        </w:rPr>
        <w:t xml:space="preserve"> and </w:t>
      </w:r>
      <w:r>
        <w:rPr>
          <w:rStyle w:val="None"/>
          <w:rFonts w:ascii="Calibri" w:cs="Calibri" w:hAnsi="Calibri" w:eastAsia="Calibri"/>
          <w:i w:val="1"/>
          <w:iCs w:val="1"/>
          <w:rtl w:val="0"/>
          <w:lang w:val="en-US"/>
        </w:rPr>
        <w:t xml:space="preserve">Anaplasma </w:t>
      </w:r>
      <w:r>
        <w:rPr>
          <w:rStyle w:val="None"/>
          <w:rFonts w:ascii="Calibri" w:cs="Calibri" w:hAnsi="Calibri" w:eastAsia="Calibri"/>
          <w:rtl w:val="0"/>
          <w:lang w:val="en-US"/>
        </w:rPr>
        <w:t>spp.</w:t>
      </w:r>
      <w:r>
        <w:rPr>
          <w:rStyle w:val="None"/>
          <w:rFonts w:ascii="Calibri" w:cs="Calibri" w:hAnsi="Calibri" w:eastAsia="Calibri"/>
          <w:i w:val="1"/>
          <w:iCs w:val="1"/>
          <w:rtl w:val="0"/>
          <w:lang w:val="en-US"/>
        </w:rPr>
        <w:t xml:space="preserve"> </w:t>
      </w:r>
      <w:r>
        <w:rPr>
          <w:rStyle w:val="None"/>
          <w:rFonts w:ascii="Calibri" w:cs="Calibri" w:hAnsi="Calibri" w:eastAsia="Calibri"/>
          <w:rtl w:val="0"/>
          <w:lang w:val="en-US"/>
        </w:rPr>
        <w:t xml:space="preserve">were done followed by genetic sequencing.  </w:t>
      </w:r>
      <w:r>
        <w:rPr>
          <w:rtl w:val="0"/>
          <w:lang w:val="en-US"/>
        </w:rPr>
        <w:t xml:space="preserve">Findings: </w:t>
      </w:r>
      <w:r>
        <w:rPr>
          <w:rStyle w:val="None"/>
          <w:rFonts w:ascii="Calibri" w:cs="Calibri" w:hAnsi="Calibri" w:eastAsia="Calibri"/>
          <w:rtl w:val="0"/>
          <w:lang w:val="en-US"/>
        </w:rPr>
        <w:t xml:space="preserve">A detection rate of </w:t>
      </w:r>
      <w:r>
        <w:rPr>
          <w:rStyle w:val="None"/>
          <w:rFonts w:ascii="Calibri" w:cs="Calibri" w:hAnsi="Calibri" w:eastAsia="Calibri"/>
          <w:i w:val="1"/>
          <w:iCs w:val="1"/>
          <w:rtl w:val="0"/>
          <w:lang w:val="en-US"/>
        </w:rPr>
        <w:t>Anaplasma</w:t>
      </w:r>
      <w:r>
        <w:rPr>
          <w:rStyle w:val="None"/>
          <w:rFonts w:ascii="Calibri" w:cs="Calibri" w:hAnsi="Calibri" w:eastAsia="Calibri"/>
          <w:rtl w:val="0"/>
          <w:lang w:val="en-US"/>
        </w:rPr>
        <w:t xml:space="preserve"> spp. in 98.97% (97/98) of the blood samples and 6.12% (6/98) of the milk samples by nPCR were obtained.  Genetic sequence analysis of the positive bands from the milk revealed 99% similarity with reported </w:t>
      </w:r>
      <w:r>
        <w:rPr>
          <w:rStyle w:val="None"/>
          <w:rFonts w:ascii="Calibri" w:cs="Calibri" w:hAnsi="Calibri" w:eastAsia="Calibri"/>
          <w:i w:val="1"/>
          <w:iCs w:val="1"/>
          <w:rtl w:val="0"/>
          <w:lang w:val="en-US"/>
        </w:rPr>
        <w:t>Anaplasma marginale</w:t>
      </w:r>
      <w:r>
        <w:rPr>
          <w:rStyle w:val="None"/>
          <w:rFonts w:ascii="Calibri" w:cs="Calibri" w:hAnsi="Calibri" w:eastAsia="Calibri"/>
          <w:rtl w:val="0"/>
          <w:lang w:val="en-US"/>
        </w:rPr>
        <w:t xml:space="preserve"> isolates.  </w:t>
      </w:r>
      <w:r>
        <w:rPr>
          <w:rtl w:val="0"/>
          <w:lang w:val="en-US"/>
        </w:rPr>
        <w:t xml:space="preserve">Conclusion &amp; Significance: </w:t>
      </w:r>
      <w:r>
        <w:rPr>
          <w:rStyle w:val="None"/>
          <w:rFonts w:ascii="Calibri" w:cs="Calibri" w:hAnsi="Calibri" w:eastAsia="Calibri"/>
          <w:rtl w:val="0"/>
          <w:lang w:val="en-US"/>
        </w:rPr>
        <w:t>The milk detection rate may be low but may be a huge public health concern for those consuming the milk raw warranting further investigation.  To the authors</w:t>
      </w:r>
      <w:r>
        <w:rPr>
          <w:rStyle w:val="None"/>
          <w:rFonts w:ascii="Calibri" w:cs="Calibri" w:hAnsi="Calibri" w:eastAsia="Calibri"/>
          <w:rtl w:val="0"/>
          <w:lang w:val="en-US"/>
        </w:rPr>
        <w:t xml:space="preserve">’ </w:t>
      </w:r>
      <w:r>
        <w:rPr>
          <w:rStyle w:val="None"/>
          <w:rFonts w:ascii="Calibri" w:cs="Calibri" w:hAnsi="Calibri" w:eastAsia="Calibri"/>
          <w:rtl w:val="0"/>
          <w:lang w:val="en-US"/>
        </w:rPr>
        <w:t xml:space="preserve">knowledge, this is the first study done in the Philippines to detect </w:t>
      </w:r>
      <w:r>
        <w:rPr>
          <w:rStyle w:val="None"/>
          <w:rFonts w:ascii="Calibri" w:cs="Calibri" w:hAnsi="Calibri" w:eastAsia="Calibri"/>
          <w:i w:val="1"/>
          <w:iCs w:val="1"/>
          <w:rtl w:val="0"/>
          <w:lang w:val="en-US"/>
        </w:rPr>
        <w:t>Anaplasma</w:t>
      </w:r>
      <w:r>
        <w:rPr>
          <w:rStyle w:val="None"/>
          <w:rFonts w:ascii="Calibri" w:cs="Calibri" w:hAnsi="Calibri" w:eastAsia="Calibri"/>
          <w:rtl w:val="0"/>
          <w:lang w:val="en-US"/>
        </w:rPr>
        <w:t xml:space="preserve"> in dairy cattle milk.</w:t>
      </w:r>
    </w:p>
    <w:p>
      <w:pPr>
        <w:pStyle w:val="Heading 3"/>
        <w:spacing w:before="74"/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column"/>
      </w:r>
    </w:p>
    <w:p>
      <w:pPr>
        <w:pStyle w:val="Heading 3"/>
        <w:spacing w:before="74"/>
      </w:pPr>
      <w:r>
        <w:rPr>
          <w:rStyle w:val="None"/>
          <w:color w:val="bf5a14"/>
          <w:u w:color="bf5a14"/>
          <w:rtl w:val="0"/>
          <w:lang w:val="en-US"/>
        </w:rPr>
        <w:t>Image</w:t>
      </w:r>
      <w:r>
        <w:rPr>
          <w:rStyle w:val="None"/>
          <w:color w:val="bf5a14"/>
          <w:u w:color="bf5a14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margin">
              <wp:posOffset>3385184</wp:posOffset>
            </wp:positionH>
            <wp:positionV relativeFrom="line">
              <wp:posOffset>178500</wp:posOffset>
            </wp:positionV>
            <wp:extent cx="2819265" cy="1609725"/>
            <wp:effectExtent l="0" t="0" r="0" b="0"/>
            <wp:wrapTopAndBottom distT="0" distB="0"/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Screen Shot 2019-01-06 at 8.52.02 AM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rcRect l="0" t="2580" r="0" b="2580"/>
                    <a:stretch>
                      <a:fillRect/>
                    </a:stretch>
                  </pic:blipFill>
                  <pic:spPr>
                    <a:xfrm>
                      <a:off x="0" y="0"/>
                      <a:ext cx="2819265" cy="16097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 Text"/>
        <w:spacing w:before="2"/>
        <w:rPr>
          <w:rStyle w:val="None"/>
          <w:rFonts w:ascii="Arial" w:cs="Arial" w:hAnsi="Arial" w:eastAsia="Arial"/>
          <w:b w:val="1"/>
          <w:bCs w:val="1"/>
          <w:sz w:val="16"/>
          <w:szCs w:val="16"/>
        </w:rPr>
      </w:pPr>
    </w:p>
    <w:p>
      <w:pPr>
        <w:pStyle w:val="Body"/>
        <w:spacing w:line="204" w:lineRule="exact"/>
        <w:jc w:val="both"/>
        <w:rPr>
          <w:rStyle w:val="None"/>
          <w:rFonts w:ascii="Arial" w:cs="Arial" w:hAnsi="Arial" w:eastAsia="Arial"/>
          <w:b w:val="1"/>
          <w:bCs w:val="1"/>
          <w:sz w:val="16"/>
          <w:szCs w:val="16"/>
        </w:rPr>
      </w:pPr>
      <w:r>
        <w:rPr>
          <w:rStyle w:val="None"/>
          <w:rFonts w:ascii="Arial" w:hAnsi="Arial"/>
          <w:b w:val="1"/>
          <w:bCs w:val="1"/>
          <w:sz w:val="16"/>
          <w:szCs w:val="16"/>
          <w:rtl w:val="0"/>
          <w:lang w:val="en-US"/>
        </w:rPr>
        <w:t xml:space="preserve">Figure 1. </w:t>
      </w:r>
      <w:r>
        <w:rPr>
          <w:rStyle w:val="None"/>
          <w:rFonts w:ascii="Arial" w:hAnsi="Arial"/>
          <w:sz w:val="16"/>
          <w:szCs w:val="16"/>
          <w:rtl w:val="0"/>
          <w:lang w:val="en-US"/>
        </w:rPr>
        <w:t xml:space="preserve">Photograph of representative samples of nPCR products in a 2% agarose gel after electrophoresis. L1-L6 are blood samples showing positive bands for </w:t>
      </w:r>
      <w:r>
        <w:rPr>
          <w:rStyle w:val="None"/>
          <w:rFonts w:ascii="Arial" w:hAnsi="Arial"/>
          <w:i w:val="1"/>
          <w:iCs w:val="1"/>
          <w:sz w:val="16"/>
          <w:szCs w:val="16"/>
          <w:rtl w:val="0"/>
          <w:lang w:val="en-US"/>
        </w:rPr>
        <w:t>Anaplasma</w:t>
      </w:r>
      <w:r>
        <w:rPr>
          <w:rStyle w:val="None"/>
          <w:rFonts w:ascii="Arial" w:hAnsi="Arial"/>
          <w:sz w:val="16"/>
          <w:szCs w:val="16"/>
          <w:rtl w:val="0"/>
          <w:lang w:val="en-US"/>
        </w:rPr>
        <w:t xml:space="preserve"> spp at 513 bp. L8-L13 are their milk samples counterparts.  L7 is a 100-bp MW marker.  L8-L11 are milk samples showing positive bands for </w:t>
      </w:r>
      <w:r>
        <w:rPr>
          <w:rStyle w:val="None"/>
          <w:rFonts w:ascii="Arial" w:hAnsi="Arial"/>
          <w:i w:val="1"/>
          <w:iCs w:val="1"/>
          <w:sz w:val="16"/>
          <w:szCs w:val="16"/>
          <w:rtl w:val="0"/>
          <w:lang w:val="en-US"/>
        </w:rPr>
        <w:t>Anaplasma</w:t>
      </w:r>
      <w:r>
        <w:rPr>
          <w:rStyle w:val="None"/>
          <w:rFonts w:ascii="Arial" w:hAnsi="Arial"/>
          <w:sz w:val="16"/>
          <w:szCs w:val="16"/>
          <w:rtl w:val="0"/>
          <w:lang w:val="en-US"/>
        </w:rPr>
        <w:t xml:space="preserve"> spp at 513 bp. L12-L13 are milk samples negative for </w:t>
      </w:r>
      <w:r>
        <w:rPr>
          <w:rStyle w:val="None"/>
          <w:rFonts w:ascii="Arial" w:hAnsi="Arial"/>
          <w:i w:val="1"/>
          <w:iCs w:val="1"/>
          <w:sz w:val="16"/>
          <w:szCs w:val="16"/>
          <w:rtl w:val="0"/>
          <w:lang w:val="en-US"/>
        </w:rPr>
        <w:t>Anaplasma</w:t>
      </w:r>
      <w:r>
        <w:rPr>
          <w:rStyle w:val="None"/>
          <w:rFonts w:ascii="Arial" w:hAnsi="Arial"/>
          <w:sz w:val="16"/>
          <w:szCs w:val="16"/>
          <w:rtl w:val="0"/>
          <w:lang w:val="en-US"/>
        </w:rPr>
        <w:t xml:space="preserve"> spp. L14 is a negative control.</w:t>
      </w:r>
    </w:p>
    <w:p>
      <w:pPr>
        <w:pStyle w:val="Body"/>
        <w:spacing w:line="204" w:lineRule="exact"/>
        <w:rPr>
          <w:rStyle w:val="None"/>
          <w:rFonts w:ascii="Arial" w:cs="Arial" w:hAnsi="Arial" w:eastAsia="Arial"/>
          <w:b w:val="1"/>
          <w:bCs w:val="1"/>
          <w:sz w:val="20"/>
          <w:szCs w:val="20"/>
        </w:rPr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  <w:color w:val="bf5a14"/>
          <w:sz w:val="20"/>
          <w:szCs w:val="20"/>
          <w:u w:color="bf5a14"/>
        </w:rPr>
        <w:br w:type="textWrapping"/>
      </w:r>
      <w:r>
        <w:rPr>
          <w:rStyle w:val="None"/>
          <w:rFonts w:ascii="Arial" w:hAnsi="Arial"/>
          <w:b w:val="1"/>
          <w:bCs w:val="1"/>
          <w:color w:val="bf5a14"/>
          <w:sz w:val="20"/>
          <w:szCs w:val="20"/>
          <w:u w:color="bf5a14"/>
          <w:rtl w:val="0"/>
          <w:lang w:val="en-US"/>
        </w:rPr>
        <w:t>Recent Publications</w:t>
      </w:r>
    </w:p>
    <w:p>
      <w:pPr>
        <w:pStyle w:val="List Paragraph"/>
        <w:numPr>
          <w:ilvl w:val="0"/>
          <w:numId w:val="2"/>
        </w:numPr>
        <w:bidi w:val="0"/>
        <w:spacing w:before="103" w:line="216" w:lineRule="exact"/>
        <w:ind w:right="138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>Aquino AJB, Divina BP, Bombio AM, and Pilapil FMIR</w:t>
      </w:r>
      <w:r>
        <w:rPr>
          <w:sz w:val="18"/>
          <w:szCs w:val="18"/>
          <w:rtl w:val="0"/>
          <w:lang w:val="en-US"/>
        </w:rPr>
        <w:t xml:space="preserve"> (</w:t>
      </w:r>
      <w:r>
        <w:rPr>
          <w:sz w:val="18"/>
          <w:szCs w:val="18"/>
          <w:rtl w:val="0"/>
          <w:lang w:val="en-US"/>
        </w:rPr>
        <w:t>2018</w:t>
      </w:r>
      <w:r>
        <w:rPr>
          <w:sz w:val="18"/>
          <w:szCs w:val="18"/>
          <w:rtl w:val="0"/>
          <w:lang w:val="en-US"/>
        </w:rPr>
        <w:t>)</w:t>
      </w:r>
      <w:r>
        <w:rPr>
          <w:sz w:val="18"/>
          <w:szCs w:val="18"/>
          <w:rtl w:val="0"/>
          <w:lang w:val="en-US"/>
        </w:rPr>
        <w:t xml:space="preserve"> Detection of </w:t>
      </w:r>
      <w:r>
        <w:rPr>
          <w:rStyle w:val="None"/>
          <w:i w:val="1"/>
          <w:iCs w:val="1"/>
          <w:sz w:val="18"/>
          <w:szCs w:val="18"/>
          <w:rtl w:val="0"/>
          <w:lang w:val="en-US"/>
        </w:rPr>
        <w:t xml:space="preserve">Anaplasma marginale </w:t>
      </w:r>
      <w:r>
        <w:rPr>
          <w:sz w:val="18"/>
          <w:szCs w:val="18"/>
          <w:rtl w:val="0"/>
          <w:lang w:val="en-US"/>
        </w:rPr>
        <w:t>infection in a dairy cattle farm by stained blood smear examination and nested polymerase chain reaction. Philippine Journal of Veterinary and Animal Sciences 2018</w:t>
      </w:r>
      <w:r>
        <w:rPr>
          <w:rStyle w:val="None"/>
          <w:i w:val="1"/>
          <w:iCs w:val="1"/>
          <w:sz w:val="18"/>
          <w:szCs w:val="18"/>
          <w:rtl w:val="0"/>
          <w:lang w:val="en-US"/>
        </w:rPr>
        <w:t xml:space="preserve"> </w:t>
      </w:r>
      <w:r>
        <w:rPr>
          <w:sz w:val="18"/>
          <w:szCs w:val="18"/>
          <w:rtl w:val="0"/>
          <w:lang w:val="en-US"/>
        </w:rPr>
        <w:t xml:space="preserve">44(1): 68-75. </w:t>
      </w:r>
    </w:p>
    <w:p>
      <w:pPr>
        <w:pStyle w:val="List Paragraph"/>
        <w:numPr>
          <w:ilvl w:val="0"/>
          <w:numId w:val="2"/>
        </w:numPr>
        <w:bidi w:val="0"/>
        <w:spacing w:before="103" w:line="216" w:lineRule="exact"/>
        <w:ind w:right="138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>Davis BJK, Li CX and Nachman KE</w:t>
      </w:r>
      <w:r>
        <w:rPr>
          <w:sz w:val="18"/>
          <w:szCs w:val="18"/>
          <w:rtl w:val="0"/>
          <w:lang w:val="en-US"/>
        </w:rPr>
        <w:t xml:space="preserve"> (</w:t>
      </w:r>
      <w:r>
        <w:rPr>
          <w:sz w:val="18"/>
          <w:szCs w:val="18"/>
          <w:rtl w:val="0"/>
          <w:lang w:val="en-US"/>
        </w:rPr>
        <w:t>2014</w:t>
      </w:r>
      <w:r>
        <w:rPr>
          <w:sz w:val="18"/>
          <w:szCs w:val="18"/>
          <w:rtl w:val="0"/>
          <w:lang w:val="en-US"/>
        </w:rPr>
        <w:t>)</w:t>
      </w:r>
      <w:r>
        <w:rPr>
          <w:sz w:val="18"/>
          <w:szCs w:val="18"/>
          <w:rtl w:val="0"/>
          <w:lang w:val="en-US"/>
        </w:rPr>
        <w:t xml:space="preserve"> A literature review of the risks and benefits of consuming raw and pasteurized cow</w:t>
      </w:r>
      <w:r>
        <w:rPr>
          <w:sz w:val="18"/>
          <w:szCs w:val="18"/>
          <w:rtl w:val="0"/>
          <w:lang w:val="en-US"/>
        </w:rPr>
        <w:t>’</w:t>
      </w:r>
      <w:r>
        <w:rPr>
          <w:sz w:val="18"/>
          <w:szCs w:val="18"/>
          <w:rtl w:val="0"/>
          <w:lang w:val="en-US"/>
        </w:rPr>
        <w:t>s milk. John Hopkins Public Health Magazine</w:t>
      </w:r>
      <w:r>
        <w:rPr>
          <w:rStyle w:val="None"/>
          <w:i w:val="1"/>
          <w:iCs w:val="1"/>
          <w:sz w:val="18"/>
          <w:szCs w:val="18"/>
          <w:rtl w:val="0"/>
          <w:lang w:val="en-US"/>
        </w:rPr>
        <w:t xml:space="preserve"> </w:t>
      </w:r>
      <w:r>
        <w:rPr>
          <w:sz w:val="18"/>
          <w:szCs w:val="18"/>
          <w:rtl w:val="0"/>
          <w:lang w:val="en-US"/>
        </w:rPr>
        <w:t xml:space="preserve">pp. 1- 20. </w:t>
      </w:r>
    </w:p>
    <w:p>
      <w:pPr>
        <w:pStyle w:val="List Paragraph"/>
        <w:numPr>
          <w:ilvl w:val="0"/>
          <w:numId w:val="2"/>
        </w:numPr>
        <w:bidi w:val="0"/>
        <w:spacing w:before="103" w:line="216" w:lineRule="exact"/>
        <w:ind w:right="138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>Ochirkhuu N, Konnai S, Mingala CN, Okagawa T, Villanueva M, Pilapil FMIR, Murata S, and Ohashi K</w:t>
      </w:r>
      <w:r>
        <w:rPr>
          <w:sz w:val="18"/>
          <w:szCs w:val="18"/>
          <w:rtl w:val="0"/>
          <w:lang w:val="en-US"/>
        </w:rPr>
        <w:t xml:space="preserve"> (</w:t>
      </w:r>
      <w:r>
        <w:rPr>
          <w:sz w:val="18"/>
          <w:szCs w:val="18"/>
          <w:rtl w:val="0"/>
          <w:lang w:val="en-US"/>
        </w:rPr>
        <w:t>2015</w:t>
      </w:r>
      <w:r>
        <w:rPr>
          <w:sz w:val="18"/>
          <w:szCs w:val="18"/>
          <w:rtl w:val="0"/>
          <w:lang w:val="en-US"/>
        </w:rPr>
        <w:t>)</w:t>
      </w:r>
      <w:r>
        <w:rPr>
          <w:sz w:val="18"/>
          <w:szCs w:val="18"/>
          <w:rtl w:val="0"/>
          <w:lang w:val="en-US"/>
        </w:rPr>
        <w:t xml:space="preserve"> Molecular epidemiological survey and genetic analysis of vector-borne infections in Luzon Island, the Philippines. Elsevier Veterinary Parasitology</w:t>
      </w:r>
      <w:r>
        <w:rPr>
          <w:rStyle w:val="None"/>
          <w:i w:val="1"/>
          <w:iCs w:val="1"/>
          <w:sz w:val="18"/>
          <w:szCs w:val="18"/>
          <w:rtl w:val="0"/>
          <w:lang w:val="en-US"/>
        </w:rPr>
        <w:t xml:space="preserve"> </w:t>
      </w:r>
      <w:r>
        <w:rPr>
          <w:sz w:val="18"/>
          <w:szCs w:val="18"/>
          <w:rtl w:val="0"/>
          <w:lang w:val="en-US"/>
        </w:rPr>
        <w:t xml:space="preserve">212(3- 4): 161-167. </w:t>
      </w:r>
    </w:p>
    <w:p>
      <w:pPr>
        <w:pStyle w:val="List Paragraph"/>
        <w:numPr>
          <w:ilvl w:val="0"/>
          <w:numId w:val="2"/>
        </w:numPr>
        <w:bidi w:val="0"/>
        <w:spacing w:before="103" w:line="216" w:lineRule="exact"/>
        <w:ind w:right="138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>Yba</w:t>
      </w:r>
      <w:r>
        <w:rPr>
          <w:sz w:val="18"/>
          <w:szCs w:val="18"/>
          <w:rtl w:val="0"/>
          <w:lang w:val="en-US"/>
        </w:rPr>
        <w:t>ñ</w:t>
      </w:r>
      <w:r>
        <w:rPr>
          <w:sz w:val="18"/>
          <w:szCs w:val="18"/>
          <w:rtl w:val="0"/>
          <w:lang w:val="en-US"/>
        </w:rPr>
        <w:t>ez AP, Mingala CN, and Yba</w:t>
      </w:r>
      <w:r>
        <w:rPr>
          <w:sz w:val="18"/>
          <w:szCs w:val="18"/>
          <w:rtl w:val="0"/>
          <w:lang w:val="en-US"/>
        </w:rPr>
        <w:t>ñ</w:t>
      </w:r>
      <w:r>
        <w:rPr>
          <w:sz w:val="18"/>
          <w:szCs w:val="18"/>
          <w:rtl w:val="0"/>
          <w:lang w:val="en-US"/>
        </w:rPr>
        <w:t>ez RHD</w:t>
      </w:r>
      <w:r>
        <w:rPr>
          <w:sz w:val="18"/>
          <w:szCs w:val="18"/>
          <w:rtl w:val="0"/>
          <w:lang w:val="en-US"/>
        </w:rPr>
        <w:t xml:space="preserve"> (</w:t>
      </w:r>
      <w:r>
        <w:rPr>
          <w:sz w:val="18"/>
          <w:szCs w:val="18"/>
          <w:rtl w:val="0"/>
          <w:lang w:val="en-US"/>
        </w:rPr>
        <w:t>2017</w:t>
      </w:r>
      <w:r>
        <w:rPr>
          <w:sz w:val="18"/>
          <w:szCs w:val="18"/>
          <w:rtl w:val="0"/>
          <w:lang w:val="en-US"/>
        </w:rPr>
        <w:t>)</w:t>
      </w:r>
      <w:r>
        <w:rPr>
          <w:sz w:val="18"/>
          <w:szCs w:val="18"/>
          <w:rtl w:val="0"/>
          <w:lang w:val="en-US"/>
        </w:rPr>
        <w:t xml:space="preserve"> Historical review and insights on the livestock tick-borne disease research of a developing country: the Philippine scenario. </w:t>
      </w:r>
      <w:r>
        <w:rPr>
          <w:rStyle w:val="None"/>
          <w:rFonts w:ascii="Times" w:hAnsi="Times"/>
          <w:i w:val="1"/>
          <w:iCs w:val="1"/>
          <w:sz w:val="18"/>
          <w:szCs w:val="18"/>
          <w:rtl w:val="0"/>
          <w:lang w:val="en-US"/>
        </w:rPr>
        <w:t xml:space="preserve">Parasitology International </w:t>
      </w:r>
      <w:r>
        <w:rPr>
          <w:sz w:val="18"/>
          <w:szCs w:val="18"/>
          <w:rtl w:val="0"/>
          <w:lang w:val="en-US"/>
        </w:rPr>
        <w:t xml:space="preserve">67(2): 262-266. </w:t>
      </w:r>
    </w:p>
    <w:p>
      <w:pPr>
        <w:pStyle w:val="List Paragraph"/>
        <w:numPr>
          <w:ilvl w:val="0"/>
          <w:numId w:val="2"/>
        </w:numPr>
        <w:bidi w:val="0"/>
        <w:spacing w:before="92" w:line="218" w:lineRule="exact"/>
        <w:ind w:right="0"/>
        <w:jc w:val="both"/>
        <w:rPr>
          <w:sz w:val="18"/>
          <w:szCs w:val="18"/>
          <w:rtl w:val="0"/>
          <w:lang w:val="en-US"/>
        </w:rPr>
        <w:sectPr>
          <w:type w:val="continuous"/>
          <w:pgSz w:w="11920" w:h="16840" w:orient="portrait"/>
          <w:pgMar w:top="1740" w:right="600" w:bottom="840" w:left="620" w:header="541" w:footer="642"/>
          <w:cols w:num="2" w:equalWidth="0">
            <w:col w:w="5229" w:space="138"/>
            <w:col w:w="5353" w:space="0"/>
          </w:cols>
          <w:bidi w:val="0"/>
        </w:sectPr>
      </w:pPr>
      <w:r>
        <w:rPr>
          <w:sz w:val="18"/>
          <w:szCs w:val="18"/>
          <w:rtl w:val="0"/>
          <w:lang w:val="en-US"/>
        </w:rPr>
        <w:t>Zhang Y, Lv Y, Cui Y, Wang J, Cao S, Jian F, Wang R, Zhang L, and Ning C</w:t>
      </w:r>
      <w:r>
        <w:rPr>
          <w:sz w:val="18"/>
          <w:szCs w:val="18"/>
          <w:rtl w:val="0"/>
          <w:lang w:val="en-US"/>
        </w:rPr>
        <w:t xml:space="preserve"> (</w:t>
      </w:r>
      <w:r>
        <w:rPr>
          <w:sz w:val="18"/>
          <w:szCs w:val="18"/>
          <w:rtl w:val="0"/>
          <w:lang w:val="en-US"/>
        </w:rPr>
        <w:t>2016</w:t>
      </w:r>
      <w:r>
        <w:rPr>
          <w:sz w:val="18"/>
          <w:szCs w:val="18"/>
          <w:rtl w:val="0"/>
          <w:lang w:val="en-US"/>
        </w:rPr>
        <w:t>)</w:t>
      </w:r>
      <w:r>
        <w:rPr>
          <w:sz w:val="18"/>
          <w:szCs w:val="18"/>
          <w:rtl w:val="0"/>
          <w:lang w:val="en-US"/>
        </w:rPr>
        <w:t xml:space="preserve"> First molecular evidence for</w:t>
      </w:r>
      <w:r>
        <w:rPr>
          <w:sz w:val="18"/>
          <w:szCs w:val="18"/>
          <w:rtl w:val="0"/>
          <w:lang w:val="en-US"/>
        </w:rPr>
        <w:t xml:space="preserve"> </w:t>
      </w:r>
      <w:r>
        <w:rPr>
          <w:sz w:val="18"/>
          <w:szCs w:val="18"/>
          <w:rtl w:val="0"/>
          <w:lang w:val="en-US"/>
        </w:rPr>
        <w:t xml:space="preserve">the presence of </w:t>
      </w:r>
      <w:r>
        <w:rPr>
          <w:rStyle w:val="None"/>
          <w:i w:val="1"/>
          <w:iCs w:val="1"/>
          <w:sz w:val="18"/>
          <w:szCs w:val="18"/>
          <w:rtl w:val="0"/>
          <w:lang w:val="en-US"/>
        </w:rPr>
        <w:t xml:space="preserve">Anaplasma </w:t>
      </w:r>
      <w:r>
        <w:rPr>
          <w:sz w:val="18"/>
          <w:szCs w:val="18"/>
          <w:rtl w:val="0"/>
          <w:lang w:val="en-US"/>
        </w:rPr>
        <w:t>DNA in milk from sheep and goats in China. Springer Parasitology Research</w:t>
      </w:r>
      <w:r>
        <w:rPr>
          <w:rStyle w:val="None"/>
          <w:i w:val="1"/>
          <w:iCs w:val="1"/>
          <w:sz w:val="18"/>
          <w:szCs w:val="18"/>
          <w:rtl w:val="0"/>
          <w:lang w:val="en-US"/>
        </w:rPr>
        <w:t xml:space="preserve"> </w:t>
      </w:r>
      <w:r>
        <w:rPr>
          <w:sz w:val="18"/>
          <w:szCs w:val="18"/>
          <w:rtl w:val="0"/>
          <w:lang w:val="en-US"/>
        </w:rPr>
        <w:t>115: 2789-</w:t>
      </w:r>
      <w:r>
        <w:rPr>
          <w:sz w:val="18"/>
          <w:szCs w:val="18"/>
          <w:rtl w:val="0"/>
          <w:lang w:val="en-US"/>
        </w:rPr>
        <w:t>27</w:t>
      </w:r>
      <w:r>
        <w:rPr>
          <w:sz w:val="18"/>
          <w:szCs w:val="18"/>
          <w:rtl w:val="0"/>
          <w:lang w:val="en-US"/>
        </w:rPr>
        <w:t>95.</w:t>
      </w:r>
    </w:p>
    <w:p>
      <w:pPr>
        <w:pStyle w:val="Body Text"/>
        <w:rPr>
          <w:rFonts w:ascii="Calibri" w:cs="Calibri" w:hAnsi="Calibri" w:eastAsia="Calibri"/>
          <w:sz w:val="20"/>
          <w:szCs w:val="20"/>
        </w:rPr>
      </w:pPr>
    </w:p>
    <w:p>
      <w:pPr>
        <w:pStyle w:val="Body Text"/>
        <w:spacing w:line="40" w:lineRule="exact"/>
        <w:ind w:left="2202" w:firstLine="0"/>
        <w:rPr>
          <w:rStyle w:val="None"/>
          <w:rFonts w:ascii="Calibri" w:cs="Calibri" w:hAnsi="Calibri" w:eastAsia="Calibri"/>
          <w:sz w:val="4"/>
          <w:szCs w:val="4"/>
        </w:rPr>
      </w:pPr>
      <w:r>
        <w:rPr>
          <w:rStyle w:val="None"/>
          <w:rFonts w:ascii="Calibri" w:cs="Calibri" w:hAnsi="Calibri" w:eastAsia="Calibri"/>
          <w:sz w:val="4"/>
          <w:szCs w:val="4"/>
        </w:rPr>
        <mc:AlternateContent>
          <mc:Choice Requires="wps">
            <w:drawing>
              <wp:inline distT="0" distB="0" distL="0" distR="0">
                <wp:extent cx="3950335" cy="0"/>
                <wp:effectExtent l="0" t="0" r="0" b="0"/>
                <wp:docPr id="1073741831" name="officeArt object" descr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0335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408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id="_x0000_s1026" style="visibility:visible;width:311.0pt;height:0.0pt;">
                <v:fill on="f"/>
                <v:stroke filltype="solid" color="#004080" opacity="100.0%" weight="2.0pt" dashstyle="solid" endcap="flat" joinstyle="round" linestyle="single" startarrow="none" startarrowwidth="medium" startarrowlength="medium" endarrow="none" endarrowwidth="medium" endarrowlength="medium"/>
              </v:line>
            </w:pict>
          </mc:Fallback>
        </mc:AlternateContent>
      </w:r>
    </w:p>
    <w:p>
      <w:pPr>
        <w:pStyle w:val="Body"/>
        <w:spacing w:before="92"/>
        <w:ind w:right="4234"/>
        <w:rPr>
          <w:rStyle w:val="None"/>
          <w:rFonts w:ascii="Arial" w:cs="Arial" w:hAnsi="Arial" w:eastAsia="Arial"/>
        </w:rPr>
      </w:pPr>
      <w:r>
        <w:rPr>
          <w:rtl w:val="0"/>
        </w:rPr>
        <w:t xml:space="preserve">              </w:t>
      </w:r>
      <w:r>
        <w:drawing>
          <wp:inline distT="0" distB="0" distL="0" distR="0">
            <wp:extent cx="628153" cy="623169"/>
            <wp:effectExtent l="0" t="0" r="0" b="0"/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37748834_10157618579224167_20779167742164992_n 2.jp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rcRect l="0" t="4705" r="0" b="4705"/>
                    <a:stretch>
                      <a:fillRect/>
                    </a:stretch>
                  </pic:blipFill>
                  <pic:spPr>
                    <a:xfrm>
                      <a:off x="0" y="0"/>
                      <a:ext cx="628153" cy="6231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one"/>
          <w:rFonts w:ascii="Arial" w:hAnsi="Arial"/>
          <w:color w:val="bf5a14"/>
          <w:u w:color="bf5a14"/>
          <w:rtl w:val="0"/>
          <w:lang w:val="fr-FR"/>
        </w:rPr>
        <w:t>Biography</w:t>
      </w:r>
    </w:p>
    <w:p>
      <w:pPr>
        <w:pStyle w:val="Body"/>
        <w:spacing w:before="41" w:line="154" w:lineRule="exact"/>
        <w:ind w:left="213" w:right="231" w:firstLine="0"/>
        <w:jc w:val="both"/>
        <w:rPr>
          <w:rStyle w:val="None"/>
          <w:rFonts w:ascii="Arial" w:cs="Arial" w:hAnsi="Arial" w:eastAsia="Arial"/>
          <w:sz w:val="14"/>
          <w:szCs w:val="14"/>
        </w:rPr>
      </w:pPr>
      <w:r>
        <w:rPr>
          <w:rStyle w:val="None"/>
          <w:rFonts w:ascii="Arial" w:hAnsi="Arial"/>
          <w:sz w:val="14"/>
          <w:szCs w:val="14"/>
          <w:rtl w:val="0"/>
          <w:lang w:val="en-US"/>
        </w:rPr>
        <w:t>Flor Marie Immanuelle R. Pilapil-Amante</w:t>
      </w:r>
      <w:r>
        <w:rPr>
          <w:rStyle w:val="None"/>
          <w:rFonts w:ascii="Arial" w:hAnsi="Arial"/>
          <w:sz w:val="14"/>
          <w:szCs w:val="14"/>
          <w:rtl w:val="0"/>
        </w:rPr>
        <w:t xml:space="preserve"> </w:t>
      </w:r>
      <w:r>
        <w:rPr>
          <w:rStyle w:val="None"/>
          <w:rFonts w:ascii="Arial" w:hAnsi="Arial"/>
          <w:sz w:val="14"/>
          <w:szCs w:val="14"/>
          <w:rtl w:val="0"/>
          <w:lang w:val="en-US"/>
        </w:rPr>
        <w:t>is an assistant professor of the Department of Veterinary Clinical Sciences, College of Veterinary Medicine, University of the Philippines Los Ba</w:t>
      </w:r>
      <w:r>
        <w:rPr>
          <w:rStyle w:val="None"/>
          <w:rFonts w:ascii="Arial" w:hAnsi="Arial" w:hint="default"/>
          <w:sz w:val="14"/>
          <w:szCs w:val="14"/>
          <w:rtl w:val="0"/>
          <w:lang w:val="en-US"/>
        </w:rPr>
        <w:t>ñ</w:t>
      </w:r>
      <w:r>
        <w:rPr>
          <w:rStyle w:val="None"/>
          <w:rFonts w:ascii="Arial" w:hAnsi="Arial"/>
          <w:sz w:val="14"/>
          <w:szCs w:val="14"/>
          <w:rtl w:val="0"/>
          <w:lang w:val="en-US"/>
        </w:rPr>
        <w:t>os, Philippines.  She is also a large animal practitioner specialising on ruminants and veterinary public health.  Her other work focuses on cattle welfare, antimicrobial resistance and  ethnoveterinary medicine.</w:t>
      </w:r>
    </w:p>
    <w:p>
      <w:pPr>
        <w:pStyle w:val="Body"/>
        <w:spacing w:before="62"/>
        <w:ind w:left="4217" w:right="4235" w:firstLine="0"/>
        <w:jc w:val="center"/>
        <w:rPr>
          <w:rStyle w:val="None"/>
          <w:rFonts w:ascii="Arial" w:cs="Arial" w:hAnsi="Arial" w:eastAsia="Arial"/>
          <w:sz w:val="14"/>
          <w:szCs w:val="14"/>
        </w:rPr>
      </w:pPr>
      <w:r>
        <w:rPr>
          <w:rStyle w:val="None"/>
          <w:rFonts w:ascii="Arial" w:hAnsi="Arial"/>
          <w:sz w:val="14"/>
          <w:szCs w:val="14"/>
          <w:rtl w:val="0"/>
        </w:rPr>
        <w:t xml:space="preserve">Email: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"mailto:frpilapil@up.edu.ph"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frpilapil@up.edu.ph</w:t>
      </w:r>
      <w:r>
        <w:rPr/>
        <w:fldChar w:fldCharType="end" w:fldLock="0"/>
      </w:r>
    </w:p>
    <w:p>
      <w:pPr>
        <w:pStyle w:val="Body Text"/>
        <w:spacing w:before="2"/>
        <w:rPr>
          <w:rStyle w:val="None"/>
          <w:rFonts w:ascii="Arial" w:cs="Arial" w:hAnsi="Arial" w:eastAsia="Arial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2061845</wp:posOffset>
                </wp:positionH>
                <wp:positionV relativeFrom="line">
                  <wp:posOffset>165100</wp:posOffset>
                </wp:positionV>
                <wp:extent cx="3442335" cy="0"/>
                <wp:effectExtent l="0" t="0" r="0" b="0"/>
                <wp:wrapTopAndBottom distT="0" distB="0"/>
                <wp:docPr id="1073741833" name="officeArt object" descr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408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162.4pt;margin-top:13.0pt;width:271.0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408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>
      <w:pPr>
        <w:pStyle w:val="Body"/>
        <w:spacing w:before="39"/>
        <w:ind w:left="100" w:firstLine="0"/>
        <w:rPr>
          <w:rStyle w:val="None"/>
          <w:rFonts w:ascii="Minion Pro" w:cs="Minion Pro" w:hAnsi="Minion Pro" w:eastAsia="Minion Pro"/>
          <w:b w:val="1"/>
          <w:bCs w:val="1"/>
          <w:sz w:val="20"/>
          <w:szCs w:val="20"/>
        </w:rPr>
      </w:pPr>
      <w:r>
        <w:rPr>
          <w:rStyle w:val="None"/>
          <w:rFonts w:ascii="Minion Pro" w:cs="Minion Pro" w:hAnsi="Minion Pro" w:eastAsia="Minion Pro"/>
          <w:b w:val="1"/>
          <w:bCs w:val="1"/>
          <w:sz w:val="20"/>
          <w:szCs w:val="20"/>
          <w:rtl w:val="0"/>
          <w:lang w:val="en-US"/>
        </w:rPr>
        <w:t>Notes/Comments:</w:t>
      </w:r>
    </w:p>
    <w:p>
      <w:pPr>
        <w:pStyle w:val="Body"/>
      </w:pPr>
      <w:r>
        <w:rPr>
          <w:rStyle w:val="None"/>
          <w:rFonts w:ascii="Minion Pro" w:cs="Minion Pro" w:hAnsi="Minion Pro" w:eastAsia="Minion Pro"/>
          <w:b w:val="1"/>
          <w:bCs w:val="1"/>
          <w:sz w:val="20"/>
          <w:szCs w:val="20"/>
        </w:rPr>
        <w:br w:type="page"/>
      </w:r>
    </w:p>
    <w:sectPr>
      <w:type w:val="continuous"/>
      <w:pgSz w:w="11920" w:h="16840" w:orient="portrait"/>
      <w:pgMar w:top="1740" w:right="600" w:bottom="840" w:left="620" w:header="541" w:footer="64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Tw Cen MT">
    <w:charset w:val="00"/>
    <w:family w:val="roman"/>
    <w:pitch w:val="default"/>
  </w:font>
  <w:font w:name="Myriad Pro">
    <w:charset w:val="00"/>
    <w:family w:val="roman"/>
    <w:pitch w:val="default"/>
  </w:font>
  <w:font w:name="Impact">
    <w:charset w:val="00"/>
    <w:family w:val="roman"/>
    <w:pitch w:val="default"/>
  </w:font>
  <w:font w:name="Minion Pro">
    <w:charset w:val="00"/>
    <w:family w:val="roman"/>
    <w:pitch w:val="default"/>
  </w:font>
  <w:font w:name="Calibri">
    <w:charset w:val="00"/>
    <w:family w:val="roman"/>
    <w:pitch w:val="default"/>
  </w:font>
  <w:font w:name="Trebuchet MS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 Text"/>
      <w:spacing w:line="14" w:lineRule="auto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 Text"/>
      <w:spacing w:line="14" w:lineRule="auto"/>
    </w:pPr>
    <w: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330834</wp:posOffset>
              </wp:positionV>
              <wp:extent cx="1832611" cy="220980"/>
              <wp:effectExtent l="0" t="0" r="0" b="0"/>
              <wp:wrapNone/>
              <wp:docPr id="1073741825" name="officeArt object" descr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2611" cy="22098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before="2" w:line="249" w:lineRule="auto"/>
                            <w:ind w:left="156" w:right="18" w:hanging="137"/>
                          </w:pPr>
                          <w:r>
                            <w:rPr>
                              <w:rFonts w:ascii="Arial" w:hAnsi="Arial"/>
                              <w:color w:val="ffffff"/>
                              <w:sz w:val="14"/>
                              <w:szCs w:val="14"/>
                              <w:u w:color="ffffff"/>
                              <w:rtl w:val="0"/>
                            </w:rPr>
                            <w:t xml:space="preserve">T Furuta et al., J Pai n Relief 2016, 5:3(Suppl) </w:t>
                          </w:r>
                          <w:r>
                            <w:rPr>
                              <w:rStyle w:val="Hyperlink.0"/>
                            </w:rPr>
                            <w:fldChar w:fldCharType="begin" w:fldLock="0"/>
                          </w:r>
                          <w:r>
                            <w:rPr>
                              <w:rStyle w:val="Hyperlink.0"/>
                            </w:rPr>
                            <w:instrText xml:space="preserve"> HYPERLINK "http://dx.doi.org/10.4172/2167-0846.C1.006"</w:instrText>
                          </w:r>
                          <w:r>
                            <w:rPr>
                              <w:rStyle w:val="Hyperlink.0"/>
                            </w:rPr>
                            <w:fldChar w:fldCharType="separate" w:fldLock="0"/>
                          </w:r>
                          <w:r>
                            <w:rPr>
                              <w:rStyle w:val="Hyperlink.0"/>
                              <w:rtl w:val="0"/>
                              <w:lang w:val="en-US"/>
                            </w:rPr>
                            <w:t>http://dx.doi.org/10.4172/2167-0846.C1.006</w:t>
                          </w:r>
                          <w:r>
                            <w:rPr/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8" type="#_x0000_t202" style="visibility:visible;position:absolute;margin-left:416.0pt;margin-top:26.0pt;width:144.3pt;height:17.4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before="2" w:line="249" w:lineRule="auto"/>
                      <w:ind w:left="156" w:right="18" w:hanging="137"/>
                    </w:pPr>
                    <w:r>
                      <w:rPr>
                        <w:rFonts w:ascii="Arial" w:hAnsi="Arial"/>
                        <w:color w:val="ffffff"/>
                        <w:sz w:val="14"/>
                        <w:szCs w:val="14"/>
                        <w:u w:color="ffffff"/>
                        <w:rtl w:val="0"/>
                      </w:rPr>
                      <w:t xml:space="preserve">T Furuta et al., J Pai n Relief 2016, 5:3(Suppl) </w:t>
                    </w:r>
                    <w:r>
                      <w:rPr>
                        <w:rStyle w:val="Hyperlink.0"/>
                      </w:rPr>
                      <w:fldChar w:fldCharType="begin" w:fldLock="0"/>
                    </w:r>
                    <w:r>
                      <w:rPr>
                        <w:rStyle w:val="Hyperlink.0"/>
                      </w:rPr>
                      <w:instrText xml:space="preserve"> HYPERLINK "http://dx.doi.org/10.4172/2167-0846.C1.006"</w:instrText>
                    </w:r>
                    <w:r>
                      <w:rPr>
                        <w:rStyle w:val="Hyperlink.0"/>
                      </w:rPr>
                      <w:fldChar w:fldCharType="separate" w:fldLock="0"/>
                    </w:r>
                    <w:r>
                      <w:rPr>
                        <w:rStyle w:val="Hyperlink.0"/>
                        <w:rtl w:val="0"/>
                        <w:lang w:val="en-US"/>
                      </w:rPr>
                      <w:t>http://dx.doi.org/10.4172/2167-0846.C1.006</w:t>
                    </w:r>
                    <w:r>
                      <w:rPr/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444499</wp:posOffset>
              </wp:positionH>
              <wp:positionV relativeFrom="page">
                <wp:posOffset>613409</wp:posOffset>
              </wp:positionV>
              <wp:extent cx="6606541" cy="509270"/>
              <wp:effectExtent l="0" t="0" r="0" b="0"/>
              <wp:wrapNone/>
              <wp:docPr id="1073741826" name="officeArt object" descr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06541" cy="50927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 Text"/>
                            <w:spacing w:line="187" w:lineRule="exact"/>
                            <w:ind w:left="20" w:firstLine="0"/>
                            <w:rPr>
                              <w:rStyle w:val="None"/>
                              <w:rFonts w:ascii="Myriad Pro" w:cs="Myriad Pro" w:hAnsi="Myriad Pro" w:eastAsia="Myriad Pro"/>
                              <w:color w:val="ffffff"/>
                              <w:u w:color="ffffff"/>
                            </w:rPr>
                          </w:pPr>
                          <w:r>
                            <w:rPr>
                              <w:rStyle w:val="None"/>
                              <w:rFonts w:ascii="Myriad Pro" w:cs="Myriad Pro" w:hAnsi="Myriad Pro" w:eastAsia="Myriad Pro"/>
                              <w:color w:val="ffffff"/>
                              <w:u w:color="ffffff"/>
                              <w:rtl w:val="0"/>
                              <w:lang w:val="en-US"/>
                            </w:rPr>
                            <w:t>International Conference on</w:t>
                          </w:r>
                        </w:p>
                        <w:p>
                          <w:pPr>
                            <w:pStyle w:val="Body"/>
                            <w:spacing w:line="614" w:lineRule="exact"/>
                            <w:ind w:left="20" w:firstLine="0"/>
                          </w:pPr>
                          <w:r>
                            <w:rPr>
                              <w:rStyle w:val="None"/>
                              <w:rFonts w:ascii="Impact" w:hAnsi="Impact"/>
                              <w:color w:val="ffffff"/>
                              <w:sz w:val="52"/>
                              <w:szCs w:val="52"/>
                              <w:u w:color="ffffff"/>
                              <w:rtl w:val="0"/>
                              <w:lang w:val="en-US"/>
                            </w:rPr>
                            <w:t xml:space="preserve">Fibromyalgia and Chronic Pain </w:t>
                          </w:r>
                          <w:r>
                            <w:rPr>
                              <w:rStyle w:val="None"/>
                              <w:rFonts w:ascii="Minion Pro" w:cs="Minion Pro" w:hAnsi="Minion Pro" w:eastAsia="Minion Pro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  <w:lang w:val="en-US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visibility:visible;position:absolute;margin-left:35.0pt;margin-top:48.3pt;width:520.2pt;height:40.1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 Text"/>
                      <w:spacing w:line="187" w:lineRule="exact"/>
                      <w:ind w:left="20" w:firstLine="0"/>
                      <w:rPr>
                        <w:rStyle w:val="None"/>
                        <w:rFonts w:ascii="Myriad Pro" w:cs="Myriad Pro" w:hAnsi="Myriad Pro" w:eastAsia="Myriad Pro"/>
                        <w:color w:val="ffffff"/>
                        <w:u w:color="ffffff"/>
                      </w:rPr>
                    </w:pPr>
                    <w:r>
                      <w:rPr>
                        <w:rStyle w:val="None"/>
                        <w:rFonts w:ascii="Myriad Pro" w:cs="Myriad Pro" w:hAnsi="Myriad Pro" w:eastAsia="Myriad Pro"/>
                        <w:color w:val="ffffff"/>
                        <w:u w:color="ffffff"/>
                        <w:rtl w:val="0"/>
                        <w:lang w:val="en-US"/>
                      </w:rPr>
                      <w:t>International Conference on</w:t>
                    </w:r>
                  </w:p>
                  <w:p>
                    <w:pPr>
                      <w:pStyle w:val="Body"/>
                      <w:spacing w:line="614" w:lineRule="exact"/>
                      <w:ind w:left="20" w:firstLine="0"/>
                    </w:pPr>
                    <w:r>
                      <w:rPr>
                        <w:rStyle w:val="None"/>
                        <w:rFonts w:ascii="Impact" w:hAnsi="Impact"/>
                        <w:color w:val="ffffff"/>
                        <w:sz w:val="52"/>
                        <w:szCs w:val="52"/>
                        <w:u w:color="ffffff"/>
                        <w:rtl w:val="0"/>
                        <w:lang w:val="en-US"/>
                      </w:rPr>
                      <w:t xml:space="preserve">Fibromyalgia and Chronic Pain </w:t>
                    </w:r>
                    <w:r>
                      <w:rPr>
                        <w:rStyle w:val="None"/>
                        <w:rFonts w:ascii="Minion Pro" w:cs="Minion Pro" w:hAnsi="Minion Pro" w:eastAsia="Minion Pro"/>
                        <w:color w:val="ffffff"/>
                        <w:sz w:val="24"/>
                        <w:szCs w:val="24"/>
                        <w:u w:color="ffffff"/>
                        <w:rtl w:val="0"/>
                        <w:lang w:val="en-US"/>
                      </w:rPr>
                      <w:t>(June 15-16, 2016   Philadelphia, USA)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10144759</wp:posOffset>
              </wp:positionV>
              <wp:extent cx="2136140" cy="248921"/>
              <wp:effectExtent l="0" t="0" r="0" b="0"/>
              <wp:wrapNone/>
              <wp:docPr id="1073741827" name="officeArt object" descr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6140" cy="24892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184" w:lineRule="exact"/>
                            <w:ind w:left="20" w:firstLine="0"/>
                            <w:rPr>
                              <w:rStyle w:val="None"/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Style w:val="None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J Pain Relief</w:t>
                          </w:r>
                        </w:p>
                        <w:p>
                          <w:pPr>
                            <w:pStyle w:val="Body"/>
                            <w:spacing w:before="8"/>
                            <w:ind w:left="20" w:firstLine="0"/>
                          </w:pPr>
                          <w:r>
                            <w:rPr>
                              <w:rStyle w:val="None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0" type="#_x0000_t202" style="visibility:visible;position:absolute;margin-left:35.0pt;margin-top:798.8pt;width:168.2pt;height:19.6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184" w:lineRule="exact"/>
                      <w:ind w:left="20" w:firstLine="0"/>
                      <w:rPr>
                        <w:rStyle w:val="None"/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Style w:val="None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J Pain Relief</w:t>
                    </w:r>
                  </w:p>
                  <w:p>
                    <w:pPr>
                      <w:pStyle w:val="Body"/>
                      <w:spacing w:before="8"/>
                      <w:ind w:left="20" w:firstLine="0"/>
                    </w:pPr>
                    <w:r>
                      <w:rPr>
                        <w:rStyle w:val="None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ISSN: 2167-0846 JPAR an open access journa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10147934</wp:posOffset>
              </wp:positionV>
              <wp:extent cx="1167130" cy="316865"/>
              <wp:effectExtent l="0" t="0" r="0" b="0"/>
              <wp:wrapNone/>
              <wp:docPr id="1073741828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269" w:lineRule="exact"/>
                            <w:jc w:val="center"/>
                            <w:rPr>
                              <w:rStyle w:val="None"/>
                              <w:rFonts w:ascii="Impact" w:cs="Impact" w:hAnsi="Impact" w:eastAsia="Impact"/>
                              <w:color w:val="ffffff"/>
                              <w:sz w:val="24"/>
                              <w:szCs w:val="24"/>
                              <w:u w:color="ffffff"/>
                            </w:rPr>
                          </w:pPr>
                          <w:r>
                            <w:rPr>
                              <w:rStyle w:val="None"/>
                              <w:rFonts w:ascii="Impact" w:hAnsi="Impact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</w:rPr>
                            <w:t>Fibromyalgia 2016</w:t>
                          </w:r>
                        </w:p>
                        <w:p>
                          <w:pPr>
                            <w:pStyle w:val="Body"/>
                            <w:spacing w:before="29"/>
                            <w:jc w:val="center"/>
                          </w:pPr>
                          <w:r>
                            <w:rPr>
                              <w:rStyle w:val="None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June 15-16, 2016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visibility:visible;position:absolute;margin-left:252.1pt;margin-top:799.0pt;width:91.9pt;height:24.9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269" w:lineRule="exact"/>
                      <w:jc w:val="center"/>
                      <w:rPr>
                        <w:rStyle w:val="None"/>
                        <w:rFonts w:ascii="Impact" w:cs="Impact" w:hAnsi="Impact" w:eastAsia="Impact"/>
                        <w:color w:val="ffffff"/>
                        <w:sz w:val="24"/>
                        <w:szCs w:val="24"/>
                        <w:u w:color="ffffff"/>
                      </w:rPr>
                    </w:pPr>
                    <w:r>
                      <w:rPr>
                        <w:rStyle w:val="None"/>
                        <w:rFonts w:ascii="Impact" w:hAnsi="Impact"/>
                        <w:color w:val="ffffff"/>
                        <w:sz w:val="24"/>
                        <w:szCs w:val="24"/>
                        <w:u w:color="ffffff"/>
                        <w:rtl w:val="0"/>
                      </w:rPr>
                      <w:t>Fibromyalgia 2016</w:t>
                    </w:r>
                  </w:p>
                  <w:p>
                    <w:pPr>
                      <w:pStyle w:val="Body"/>
                      <w:spacing w:before="29"/>
                      <w:jc w:val="center"/>
                    </w:pPr>
                    <w:r>
                      <w:rPr>
                        <w:rStyle w:val="None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June 15-16, 2016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2336" behindDoc="1" locked="0" layoutInCell="1" allowOverlap="1">
              <wp:simplePos x="0" y="0"/>
              <wp:positionH relativeFrom="page">
                <wp:posOffset>5955029</wp:posOffset>
              </wp:positionH>
              <wp:positionV relativeFrom="page">
                <wp:posOffset>10144759</wp:posOffset>
              </wp:positionV>
              <wp:extent cx="1160781" cy="330836"/>
              <wp:effectExtent l="0" t="0" r="0" b="0"/>
              <wp:wrapNone/>
              <wp:docPr id="1073741829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0781" cy="33083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184" w:lineRule="exact"/>
                            <w:ind w:right="18"/>
                            <w:jc w:val="right"/>
                            <w:rPr>
                              <w:rStyle w:val="None"/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Style w:val="None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Volume 5, Issue 3(Suppl)</w:t>
                          </w:r>
                        </w:p>
                        <w:p>
                          <w:pPr>
                            <w:pStyle w:val="Body"/>
                            <w:spacing w:before="116"/>
                            <w:ind w:right="18"/>
                            <w:jc w:val="right"/>
                          </w:pPr>
                          <w:r>
                            <w:rPr>
                              <w:rStyle w:val="None"/>
                              <w:rFonts w:ascii="Minion Pro" w:cs="Minion Pro" w:hAnsi="Minion Pro" w:eastAsia="Minion Pro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da-DK"/>
                            </w:rPr>
                            <w:t>Page 40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2" type="#_x0000_t202" style="visibility:visible;position:absolute;margin-left:468.9pt;margin-top:798.8pt;width:91.4pt;height:26.1pt;z-index:-251654144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184" w:lineRule="exact"/>
                      <w:ind w:right="18"/>
                      <w:jc w:val="right"/>
                      <w:rPr>
                        <w:rStyle w:val="None"/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Style w:val="None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Volume 5, Issue 3(Suppl)</w:t>
                    </w:r>
                  </w:p>
                  <w:p>
                    <w:pPr>
                      <w:pStyle w:val="Body"/>
                      <w:spacing w:before="116"/>
                      <w:ind w:right="18"/>
                      <w:jc w:val="right"/>
                    </w:pPr>
                    <w:r>
                      <w:rPr>
                        <w:rStyle w:val="None"/>
                        <w:rFonts w:ascii="Minion Pro" w:cs="Minion Pro" w:hAnsi="Minion Pro" w:eastAsia="Minion Pro"/>
                        <w:color w:val="ffffff"/>
                        <w:sz w:val="16"/>
                        <w:szCs w:val="16"/>
                        <w:u w:color="ffffff"/>
                        <w:rtl w:val="0"/>
                        <w:lang w:val="da-DK"/>
                      </w:rPr>
                      <w:t>Page 40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tabs>
          <w:tab w:val="left" w:pos="384"/>
        </w:tabs>
        <w:ind w:left="383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384"/>
        </w:tabs>
        <w:ind w:left="1003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384"/>
        </w:tabs>
        <w:ind w:left="1723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384"/>
        </w:tabs>
        <w:ind w:left="2443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384"/>
        </w:tabs>
        <w:ind w:left="3163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384"/>
        </w:tabs>
        <w:ind w:left="3883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384"/>
        </w:tabs>
        <w:ind w:left="4603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384"/>
        </w:tabs>
        <w:ind w:left="5323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384"/>
        </w:tabs>
        <w:ind w:left="6043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w Cen MT" w:cs="Arial Unicode MS" w:hAnsi="Tw Cen M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 w:color="000000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w Cen MT" w:cs="Arial Unicode MS" w:hAnsi="Tw Cen M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Arial" w:cs="Arial" w:hAnsi="Arial" w:eastAsia="Arial"/>
      <w:color w:val="ffffff"/>
      <w:sz w:val="14"/>
      <w:szCs w:val="14"/>
      <w:u w:color="ffffff"/>
    </w:rPr>
  </w:style>
  <w:style w:type="paragraph" w:styleId="Heading">
    <w:name w:val="Heading"/>
    <w:next w:val="Heading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47" w:after="0" w:line="400" w:lineRule="exact"/>
      <w:ind w:left="100" w:right="0" w:firstLine="0"/>
      <w:jc w:val="left"/>
      <w:outlineLvl w:val="0"/>
    </w:pPr>
    <w:rPr>
      <w:rFonts w:ascii="Minion Pro" w:cs="Minion Pro" w:hAnsi="Minion Pro" w:eastAsia="Minion Pro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vertAlign w:val="baseline"/>
      <w:lang w:val="en-US"/>
    </w:rPr>
  </w:style>
  <w:style w:type="paragraph" w:styleId="Heading 3">
    <w:name w:val="Heading 3"/>
    <w:next w:val="Heading 3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100" w:right="0" w:firstLine="0"/>
      <w:jc w:val="left"/>
      <w:outlineLvl w:val="2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de-DE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90" w:after="0" w:line="200" w:lineRule="exact"/>
      <w:ind w:left="383" w:right="0" w:hanging="283"/>
      <w:jc w:val="both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Imported Style 1">
    <w:name w:val="Imported Style 1"/>
    <w:pPr>
      <w:numPr>
        <w:numId w:val="1"/>
      </w:numPr>
    </w:pPr>
  </w:style>
  <w:style w:type="character" w:styleId="Link">
    <w:name w:val="Link"/>
    <w:rPr>
      <w:color w:val="0000ff"/>
      <w:u w:val="single" w:color="0000ff"/>
    </w:rPr>
  </w:style>
  <w:style w:type="character" w:styleId="Hyperlink.1">
    <w:name w:val="Hyperlink.1"/>
    <w:basedOn w:val="Link"/>
    <w:next w:val="Hyperlink.1"/>
    <w:rPr>
      <w:rFonts w:ascii="Arial" w:cs="Arial" w:hAnsi="Arial" w:eastAsia="Arial"/>
      <w:sz w:val="14"/>
      <w:szCs w:val="1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1.jpeg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