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09C" w:rsidRDefault="0051509C" w:rsidP="0051509C">
      <w:pPr>
        <w:pStyle w:val="Default"/>
      </w:pPr>
    </w:p>
    <w:p w:rsidR="0081496F" w:rsidRPr="00D4312A" w:rsidRDefault="00F33BB1" w:rsidP="0051509C">
      <w:pPr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D4312A">
        <w:rPr>
          <w:rFonts w:ascii="Times New Roman" w:hAnsi="Times New Roman" w:cs="Times New Roman"/>
          <w:b/>
          <w:sz w:val="32"/>
          <w:szCs w:val="32"/>
        </w:rPr>
        <w:t>Alternative modality for d</w:t>
      </w:r>
      <w:r w:rsidR="0051509C" w:rsidRPr="00D4312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etection of </w:t>
      </w:r>
      <w:proofErr w:type="spellStart"/>
      <w:r w:rsidR="0051509C" w:rsidRPr="00D4312A"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  <w:t>Entamoeba</w:t>
      </w:r>
      <w:proofErr w:type="spellEnd"/>
      <w:r w:rsidR="0051509C" w:rsidRPr="00D4312A"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  <w:t xml:space="preserve"> </w:t>
      </w:r>
      <w:r w:rsidR="0051509C" w:rsidRPr="00D4312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Species: </w:t>
      </w:r>
      <w:proofErr w:type="gramStart"/>
      <w:r w:rsidR="0051509C" w:rsidRPr="00D4312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A</w:t>
      </w:r>
      <w:proofErr w:type="gramEnd"/>
      <w:r w:rsidR="0051509C" w:rsidRPr="00D4312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Comparative Analysis of Nested- Multiplex PCR and </w:t>
      </w:r>
      <w:proofErr w:type="spellStart"/>
      <w:r w:rsidR="0051509C" w:rsidRPr="00D4312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Recombinase</w:t>
      </w:r>
      <w:proofErr w:type="spellEnd"/>
      <w:r w:rsidR="0051509C" w:rsidRPr="00D4312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Polymerase Amplification</w:t>
      </w:r>
    </w:p>
    <w:p w:rsidR="0051509C" w:rsidRPr="0051509C" w:rsidRDefault="0051509C" w:rsidP="0051509C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1509C" w:rsidRDefault="0051509C" w:rsidP="0051509C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spellStart"/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Nonika</w:t>
      </w:r>
      <w:proofErr w:type="spellEnd"/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R</w:t>
      </w:r>
      <w:r w:rsidR="00640B6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ajkumari</w:t>
      </w:r>
      <w:proofErr w:type="spellEnd"/>
      <w:r w:rsidR="00640B6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*, S. Ajay Philips, </w:t>
      </w:r>
      <w:proofErr w:type="spellStart"/>
      <w:r w:rsidR="00640B6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Mano</w:t>
      </w:r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chitra</w:t>
      </w:r>
      <w:proofErr w:type="spellEnd"/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Kumar, </w:t>
      </w:r>
      <w:proofErr w:type="spellStart"/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</w:t>
      </w:r>
      <w:r w:rsidR="001076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</w:t>
      </w:r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ashiraja</w:t>
      </w:r>
      <w:proofErr w:type="spellEnd"/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Padukone</w:t>
      </w:r>
      <w:proofErr w:type="spellEnd"/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, </w:t>
      </w:r>
      <w:proofErr w:type="spellStart"/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Subhash</w:t>
      </w:r>
      <w:proofErr w:type="spellEnd"/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Chandra </w:t>
      </w:r>
      <w:proofErr w:type="spellStart"/>
      <w:r w:rsidRPr="0051509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Parija</w:t>
      </w:r>
      <w:proofErr w:type="spellEnd"/>
    </w:p>
    <w:p w:rsidR="00E60A29" w:rsidRPr="0051509C" w:rsidRDefault="00E60A29" w:rsidP="0051509C">
      <w:pPr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51509C" w:rsidRPr="0051509C" w:rsidRDefault="0051509C" w:rsidP="0051509C">
      <w:pPr>
        <w:pStyle w:val="Default"/>
        <w:jc w:val="both"/>
        <w:rPr>
          <w:color w:val="000000" w:themeColor="text1"/>
          <w:sz w:val="28"/>
          <w:szCs w:val="28"/>
        </w:rPr>
      </w:pPr>
    </w:p>
    <w:p w:rsidR="0051509C" w:rsidRPr="0051509C" w:rsidRDefault="0051509C" w:rsidP="0051509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>Amoebiasis</w:t>
      </w:r>
      <w:proofErr w:type="spellEnd"/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A4F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disease </w:t>
      </w:r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caused by </w:t>
      </w:r>
      <w:proofErr w:type="spellStart"/>
      <w:r w:rsidRPr="0051509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Entamoeba</w:t>
      </w:r>
      <w:proofErr w:type="spellEnd"/>
      <w:r w:rsidRPr="0051509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51509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histolytica</w:t>
      </w:r>
      <w:proofErr w:type="spellEnd"/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>, remains a serious public health issue worldwide. For decades, mic</w:t>
      </w:r>
      <w:r w:rsidR="005A4F0A">
        <w:rPr>
          <w:rFonts w:ascii="Times New Roman" w:hAnsi="Times New Roman" w:cs="Times New Roman"/>
          <w:color w:val="000000" w:themeColor="text1"/>
          <w:sz w:val="28"/>
          <w:szCs w:val="28"/>
        </w:rPr>
        <w:t>roscopy remains preferred modality</w:t>
      </w:r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for detection of the pathogenic species. </w:t>
      </w:r>
      <w:r w:rsidR="00443458">
        <w:rPr>
          <w:rFonts w:ascii="Times New Roman" w:hAnsi="Times New Roman" w:cs="Times New Roman"/>
          <w:color w:val="000000" w:themeColor="text1"/>
          <w:sz w:val="28"/>
          <w:szCs w:val="28"/>
        </w:rPr>
        <w:t>Differe</w:t>
      </w:r>
      <w:r w:rsidR="00E60A29">
        <w:rPr>
          <w:rFonts w:ascii="Times New Roman" w:hAnsi="Times New Roman" w:cs="Times New Roman"/>
          <w:color w:val="000000" w:themeColor="text1"/>
          <w:sz w:val="28"/>
          <w:szCs w:val="28"/>
        </w:rPr>
        <w:t>ntia</w:t>
      </w:r>
      <w:r w:rsidR="004434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tion of </w:t>
      </w:r>
      <w:proofErr w:type="spellStart"/>
      <w:r w:rsidR="00443458" w:rsidRPr="00E60A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Entamoeba</w:t>
      </w:r>
      <w:proofErr w:type="spellEnd"/>
      <w:r w:rsidR="00443458" w:rsidRPr="00E60A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proofErr w:type="spellStart"/>
      <w:r w:rsidR="00443458" w:rsidRPr="00E60A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histolytica</w:t>
      </w:r>
      <w:proofErr w:type="spellEnd"/>
      <w:r w:rsidR="004434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and </w:t>
      </w:r>
      <w:r w:rsidR="00443458" w:rsidRPr="00E60A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E. </w:t>
      </w:r>
      <w:proofErr w:type="spellStart"/>
      <w:r w:rsidR="00443458" w:rsidRPr="00E60A29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dispar</w:t>
      </w:r>
      <w:proofErr w:type="spellEnd"/>
      <w:r w:rsidR="004434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still remains a challenge. </w:t>
      </w:r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>The recent advent of molecular biology has helped in developing appropriate diagnostic technologies, of which isothermal amplification is considered to be robust an</w:t>
      </w:r>
      <w:r w:rsidR="00C45F92">
        <w:rPr>
          <w:rFonts w:ascii="Times New Roman" w:hAnsi="Times New Roman" w:cs="Times New Roman"/>
          <w:color w:val="000000" w:themeColor="text1"/>
          <w:sz w:val="28"/>
          <w:szCs w:val="28"/>
        </w:rPr>
        <w:t>d cost-effective compared to Polymerase chain reaction</w:t>
      </w:r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that requires expensive instruments and highly skilled personnel. The aim of the present study was to compare the diagnostic ability of nested-multiplex PCR and </w:t>
      </w:r>
      <w:proofErr w:type="spellStart"/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>Recombinase</w:t>
      </w:r>
      <w:proofErr w:type="spellEnd"/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polymerase amplification for differential detection of </w:t>
      </w:r>
      <w:r w:rsidRPr="0051509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E. </w:t>
      </w:r>
      <w:proofErr w:type="spellStart"/>
      <w:r w:rsidRPr="0051509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histolytica</w:t>
      </w:r>
      <w:proofErr w:type="spellEnd"/>
      <w:r w:rsidRPr="0051509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and </w:t>
      </w:r>
      <w:r w:rsidRPr="0051509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E. </w:t>
      </w:r>
      <w:proofErr w:type="spellStart"/>
      <w:r w:rsidRPr="0051509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dispar</w:t>
      </w:r>
      <w:proofErr w:type="spellEnd"/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The results of this study showed good agreement between the two tests. This suggests that RPA can be used as clinical and epidemiological tool for diagnosis of </w:t>
      </w:r>
      <w:proofErr w:type="spellStart"/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>amoebiasis</w:t>
      </w:r>
      <w:proofErr w:type="spellEnd"/>
      <w:r w:rsidRPr="005150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in resource-limited setups and in endemic regions.</w:t>
      </w:r>
    </w:p>
    <w:sectPr w:rsidR="0051509C" w:rsidRPr="0051509C" w:rsidSect="008149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1509C"/>
    <w:rsid w:val="00107621"/>
    <w:rsid w:val="00443458"/>
    <w:rsid w:val="0051509C"/>
    <w:rsid w:val="005A4F0A"/>
    <w:rsid w:val="00640B68"/>
    <w:rsid w:val="0081496F"/>
    <w:rsid w:val="00C22012"/>
    <w:rsid w:val="00C45F92"/>
    <w:rsid w:val="00D4312A"/>
    <w:rsid w:val="00E60A29"/>
    <w:rsid w:val="00F33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9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150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nonika rajkumari</dc:creator>
  <cp:keywords/>
  <dc:description/>
  <cp:lastModifiedBy>nonika rajkumari</cp:lastModifiedBy>
  <cp:revision>3</cp:revision>
  <dcterms:created xsi:type="dcterms:W3CDTF">2018-11-30T05:11:00Z</dcterms:created>
  <dcterms:modified xsi:type="dcterms:W3CDTF">2018-11-30T05:32:00Z</dcterms:modified>
</cp:coreProperties>
</file>