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3A1B" w:rsidRPr="00C13A1B" w:rsidRDefault="00597ECA" w:rsidP="00C13A1B">
      <w:pPr>
        <w:bidi w:val="0"/>
        <w:spacing w:line="360" w:lineRule="auto"/>
        <w:jc w:val="center"/>
        <w:rPr>
          <w:rFonts w:ascii="Times New Roman" w:eastAsia="Calibri" w:hAnsi="Times New Roman"/>
          <w:b/>
          <w:bCs/>
          <w:sz w:val="28"/>
          <w:szCs w:val="28"/>
        </w:rPr>
      </w:pPr>
      <w:r w:rsidRPr="00C13A1B">
        <w:rPr>
          <w:rFonts w:ascii="Times New Roman" w:eastAsia="Calibri" w:hAnsi="Times New Roman"/>
          <w:b/>
          <w:bCs/>
          <w:sz w:val="28"/>
          <w:szCs w:val="28"/>
        </w:rPr>
        <w:t xml:space="preserve"> </w:t>
      </w:r>
      <w:r w:rsidR="00C13A1B" w:rsidRPr="00C13A1B">
        <w:rPr>
          <w:rFonts w:ascii="Times New Roman" w:eastAsia="Calibri" w:hAnsi="Times New Roman"/>
          <w:b/>
          <w:bCs/>
          <w:sz w:val="28"/>
          <w:szCs w:val="28"/>
        </w:rPr>
        <w:t xml:space="preserve">Factors </w:t>
      </w:r>
      <w:r w:rsidR="00186C93">
        <w:rPr>
          <w:rFonts w:ascii="Times New Roman" w:eastAsia="Calibri" w:hAnsi="Times New Roman"/>
          <w:b/>
          <w:bCs/>
          <w:sz w:val="28"/>
          <w:szCs w:val="28"/>
        </w:rPr>
        <w:t>A</w:t>
      </w:r>
      <w:r w:rsidR="00C13A1B" w:rsidRPr="00C13A1B">
        <w:rPr>
          <w:rFonts w:ascii="Times New Roman" w:eastAsia="Calibri" w:hAnsi="Times New Roman"/>
          <w:b/>
          <w:bCs/>
          <w:sz w:val="28"/>
          <w:szCs w:val="28"/>
        </w:rPr>
        <w:t>ssociated with Successful Responses to Ganglion Impar Block in Prince Sultan Military Medical City, Riyadh</w:t>
      </w:r>
    </w:p>
    <w:p w:rsidR="00597ECA" w:rsidRDefault="00597ECA" w:rsidP="00597ECA">
      <w:pPr>
        <w:bidi w:val="0"/>
        <w:spacing w:line="360" w:lineRule="auto"/>
        <w:jc w:val="both"/>
        <w:rPr>
          <w:rFonts w:ascii="Times New Roman" w:eastAsia="Calibri" w:hAnsi="Times New Roman" w:cs="Times New Roman"/>
          <w:b/>
          <w:bCs/>
          <w:sz w:val="24"/>
          <w:szCs w:val="24"/>
        </w:rPr>
      </w:pPr>
    </w:p>
    <w:p w:rsidR="00597ECA" w:rsidRDefault="00597ECA" w:rsidP="00597ECA">
      <w:pPr>
        <w:bidi w:val="0"/>
        <w:spacing w:line="360" w:lineRule="auto"/>
        <w:jc w:val="both"/>
        <w:rPr>
          <w:rFonts w:ascii="Times New Roman" w:eastAsia="Times New Roman" w:hAnsi="Times New Roman" w:cs="Times New Roman"/>
          <w:b/>
          <w:bCs/>
          <w:color w:val="0E101A"/>
        </w:rPr>
      </w:pPr>
      <w:r>
        <w:rPr>
          <w:rFonts w:ascii="Times New Roman" w:hAnsi="Times New Roman" w:cs="Times New Roman"/>
          <w:b/>
          <w:bCs/>
          <w:color w:val="0E101A"/>
        </w:rPr>
        <w:t xml:space="preserve"> </w:t>
      </w:r>
    </w:p>
    <w:p w:rsidR="00597ECA" w:rsidRPr="00C13A1B" w:rsidRDefault="00597ECA" w:rsidP="00597ECA">
      <w:pPr>
        <w:bidi w:val="0"/>
        <w:jc w:val="both"/>
        <w:rPr>
          <w:rFonts w:ascii="Times New Roman" w:hAnsi="Times New Roman" w:cs="Times New Roman"/>
          <w:color w:val="0E101A"/>
          <w:sz w:val="24"/>
          <w:szCs w:val="24"/>
        </w:rPr>
      </w:pPr>
      <w:r w:rsidRPr="00C13A1B">
        <w:rPr>
          <w:rFonts w:ascii="Times New Roman" w:hAnsi="Times New Roman" w:cs="Times New Roman"/>
          <w:b/>
          <w:bCs/>
          <w:color w:val="0E101A"/>
          <w:sz w:val="24"/>
          <w:szCs w:val="24"/>
        </w:rPr>
        <w:t>Abstract</w:t>
      </w:r>
    </w:p>
    <w:p w:rsidR="00597ECA" w:rsidRDefault="00597ECA" w:rsidP="00E33264">
      <w:pPr>
        <w:bidi w:val="0"/>
        <w:jc w:val="both"/>
        <w:rPr>
          <w:rFonts w:ascii="Times New Roman" w:hAnsi="Times New Roman" w:cs="Times New Roman"/>
          <w:color w:val="0E101A"/>
        </w:rPr>
      </w:pPr>
      <w:r>
        <w:rPr>
          <w:rFonts w:ascii="Times New Roman" w:hAnsi="Times New Roman" w:cs="Times New Roman"/>
          <w:b/>
          <w:bCs/>
          <w:color w:val="0E101A"/>
        </w:rPr>
        <w:t>Background:</w:t>
      </w:r>
      <w:r w:rsidR="00C13A1B">
        <w:rPr>
          <w:rFonts w:ascii="Times New Roman" w:hAnsi="Times New Roman" w:cs="Times New Roman"/>
          <w:b/>
          <w:bCs/>
          <w:color w:val="0E101A"/>
        </w:rPr>
        <w:t xml:space="preserve"> </w:t>
      </w:r>
      <w:r w:rsidR="00E33264" w:rsidRPr="00E33264">
        <w:rPr>
          <w:rFonts w:ascii="Times New Roman" w:hAnsi="Times New Roman" w:cs="Times New Roman"/>
          <w:color w:val="0E101A"/>
        </w:rPr>
        <w:t>The ganglion block has been used to manage coccygeal and perineal (perianal and genital) pain due to both benign and malignant causes. However, the factors associated with successful responses to ganglion impar block are unknown</w:t>
      </w:r>
      <w:r w:rsidR="00E33264">
        <w:rPr>
          <w:rFonts w:ascii="Times New Roman" w:hAnsi="Times New Roman" w:cs="Times New Roman"/>
          <w:color w:val="0E101A"/>
        </w:rPr>
        <w:t xml:space="preserve">. It was </w:t>
      </w:r>
      <w:r w:rsidR="00E33264" w:rsidRPr="00E33264">
        <w:rPr>
          <w:rFonts w:ascii="Times New Roman" w:hAnsi="Times New Roman" w:cs="Times New Roman"/>
          <w:color w:val="0E101A"/>
        </w:rPr>
        <w:t>originally described in the treatment of sympathetically mediated cancer pain involving the perineum</w:t>
      </w:r>
      <w:r>
        <w:rPr>
          <w:rFonts w:ascii="Times New Roman" w:hAnsi="Times New Roman" w:cs="Times New Roman"/>
          <w:color w:val="0E101A"/>
        </w:rPr>
        <w:t>.</w:t>
      </w:r>
    </w:p>
    <w:p w:rsidR="00597ECA" w:rsidRDefault="00597ECA" w:rsidP="00E33264">
      <w:pPr>
        <w:bidi w:val="0"/>
        <w:spacing w:line="276" w:lineRule="auto"/>
        <w:jc w:val="both"/>
        <w:rPr>
          <w:rFonts w:ascii="Times New Roman" w:hAnsi="Times New Roman" w:cs="Times New Roman"/>
          <w:color w:val="0E101A"/>
        </w:rPr>
      </w:pPr>
      <w:r>
        <w:rPr>
          <w:rFonts w:ascii="Times New Roman" w:hAnsi="Times New Roman" w:cs="Times New Roman"/>
          <w:b/>
          <w:bCs/>
          <w:color w:val="0E101A"/>
        </w:rPr>
        <w:t>Aim:</w:t>
      </w:r>
      <w:r>
        <w:rPr>
          <w:rFonts w:ascii="Times New Roman" w:hAnsi="Times New Roman" w:cs="Times New Roman"/>
          <w:color w:val="0E101A"/>
        </w:rPr>
        <w:t xml:space="preserve"> This study aims to </w:t>
      </w:r>
      <w:r w:rsidR="00E33264" w:rsidRPr="00E33264">
        <w:rPr>
          <w:rFonts w:ascii="Times New Roman" w:hAnsi="Times New Roman" w:cs="Times New Roman"/>
          <w:color w:val="0E101A"/>
        </w:rPr>
        <w:t>identify the incidence and the independent factors associated with successful responses to ganglion impar block in patients with chronic pain in the coccygeal and perineal regions at Prince Sultan Military Medical City Riyadh, Saudi Arabia.</w:t>
      </w:r>
    </w:p>
    <w:p w:rsidR="00597ECA" w:rsidRDefault="00597ECA" w:rsidP="00E33264">
      <w:pPr>
        <w:bidi w:val="0"/>
        <w:spacing w:line="276" w:lineRule="auto"/>
        <w:jc w:val="both"/>
        <w:rPr>
          <w:rFonts w:ascii="Times New Roman" w:hAnsi="Times New Roman" w:cs="Times New Roman"/>
          <w:color w:val="0E101A"/>
        </w:rPr>
      </w:pPr>
      <w:r>
        <w:rPr>
          <w:rFonts w:ascii="Times New Roman" w:hAnsi="Times New Roman" w:cs="Times New Roman"/>
          <w:b/>
          <w:bCs/>
          <w:color w:val="0E101A"/>
        </w:rPr>
        <w:t>Methods:</w:t>
      </w:r>
      <w:r>
        <w:rPr>
          <w:rFonts w:ascii="Times New Roman" w:hAnsi="Times New Roman" w:cs="Times New Roman"/>
          <w:color w:val="0E101A"/>
        </w:rPr>
        <w:t xml:space="preserve"> </w:t>
      </w:r>
      <w:r w:rsidR="00E33264" w:rsidRPr="00E33264">
        <w:rPr>
          <w:rFonts w:ascii="Times New Roman" w:hAnsi="Times New Roman" w:cs="Times New Roman"/>
          <w:color w:val="0E101A"/>
        </w:rPr>
        <w:t>A record-based retrospective study was conducted targeting all patients with chronic coccygodynia who underwent ganglion impar block at Prince Sultan Military Medical City Riyadh, Saudi Arabia during the period from 2019-2023.</w:t>
      </w:r>
      <w:r w:rsidR="00E33264">
        <w:rPr>
          <w:rFonts w:ascii="Times New Roman" w:hAnsi="Times New Roman" w:cs="Times New Roman"/>
          <w:color w:val="0E101A"/>
        </w:rPr>
        <w:t xml:space="preserve"> </w:t>
      </w:r>
      <w:r w:rsidR="00E33264" w:rsidRPr="00E33264">
        <w:rPr>
          <w:rFonts w:ascii="Times New Roman" w:hAnsi="Times New Roman" w:cs="Times New Roman"/>
          <w:color w:val="0E101A"/>
        </w:rPr>
        <w:t>Patients aged 18 to 80 years, with chronic coccygodynia underwent ganglion impar block, and those with complete records were included.</w:t>
      </w:r>
      <w:r w:rsidR="00E33264">
        <w:rPr>
          <w:rFonts w:ascii="Times New Roman" w:hAnsi="Times New Roman" w:cs="Times New Roman"/>
          <w:color w:val="0E101A"/>
        </w:rPr>
        <w:t xml:space="preserve"> </w:t>
      </w:r>
      <w:r w:rsidR="00E33264" w:rsidRPr="00E33264">
        <w:rPr>
          <w:rFonts w:ascii="Times New Roman" w:hAnsi="Times New Roman" w:cs="Times New Roman"/>
          <w:color w:val="0E101A"/>
        </w:rPr>
        <w:t xml:space="preserve">All accessible completed records during the study period </w:t>
      </w:r>
      <w:r w:rsidR="007D36FE">
        <w:rPr>
          <w:rFonts w:ascii="Times New Roman" w:hAnsi="Times New Roman" w:cs="Times New Roman"/>
          <w:color w:val="0E101A"/>
        </w:rPr>
        <w:t>were</w:t>
      </w:r>
      <w:r w:rsidR="00E33264" w:rsidRPr="00E33264">
        <w:rPr>
          <w:rFonts w:ascii="Times New Roman" w:hAnsi="Times New Roman" w:cs="Times New Roman"/>
          <w:color w:val="0E101A"/>
        </w:rPr>
        <w:t xml:space="preserve"> included consecutively included till the end date of the study</w:t>
      </w:r>
      <w:r w:rsidR="00E33264">
        <w:rPr>
          <w:rFonts w:ascii="Times New Roman" w:hAnsi="Times New Roman" w:cs="Times New Roman"/>
          <w:color w:val="0E101A"/>
        </w:rPr>
        <w:t>.</w:t>
      </w:r>
      <w:r>
        <w:rPr>
          <w:rFonts w:ascii="Times New Roman" w:hAnsi="Times New Roman" w:cs="Times New Roman"/>
          <w:color w:val="0E101A"/>
        </w:rPr>
        <w:t xml:space="preserve"> </w:t>
      </w:r>
    </w:p>
    <w:p w:rsidR="00635610" w:rsidRDefault="00597ECA" w:rsidP="00635610">
      <w:pPr>
        <w:bidi w:val="0"/>
        <w:spacing w:line="276" w:lineRule="auto"/>
        <w:jc w:val="both"/>
      </w:pPr>
      <w:r>
        <w:rPr>
          <w:rFonts w:ascii="Times New Roman" w:hAnsi="Times New Roman" w:cs="Times New Roman"/>
          <w:b/>
          <w:bCs/>
          <w:color w:val="0E101A"/>
        </w:rPr>
        <w:t>Results:</w:t>
      </w:r>
      <w:r w:rsidR="00C13A1B">
        <w:rPr>
          <w:rFonts w:ascii="Times New Roman" w:hAnsi="Times New Roman" w:cs="Times New Roman"/>
          <w:b/>
          <w:bCs/>
          <w:color w:val="0E101A"/>
        </w:rPr>
        <w:t xml:space="preserve"> </w:t>
      </w:r>
      <w:r w:rsidR="00635610" w:rsidRPr="00635610">
        <w:rPr>
          <w:rFonts w:ascii="Times New Roman" w:hAnsi="Times New Roman" w:cs="Times New Roman"/>
          <w:color w:val="0E101A"/>
        </w:rPr>
        <w:t>A total of 28 patients fulfilling the inclusion criteria were included. Patients' ages ranged from 21 to 61 years with a mean age of 43.7 ± 11.3 years old. A total of 19 (67.9%) patients were females.</w:t>
      </w:r>
      <w:r w:rsidR="00635610">
        <w:rPr>
          <w:rFonts w:ascii="Times New Roman" w:hAnsi="Times New Roman" w:cs="Times New Roman"/>
          <w:color w:val="0E101A"/>
        </w:rPr>
        <w:t xml:space="preserve"> </w:t>
      </w:r>
      <w:r w:rsidR="00635610" w:rsidRPr="00635610">
        <w:rPr>
          <w:rFonts w:ascii="Times New Roman" w:hAnsi="Times New Roman" w:cs="Times New Roman"/>
          <w:color w:val="0E101A"/>
        </w:rPr>
        <w:t xml:space="preserve">Most of the cases needed GIB for the first injection (89.3; 25) and 3 (10.7%) needed PRP. </w:t>
      </w:r>
      <w:r w:rsidR="00EE531F">
        <w:rPr>
          <w:rFonts w:ascii="Times New Roman" w:hAnsi="Times New Roman" w:cs="Times New Roman"/>
          <w:color w:val="0E101A"/>
        </w:rPr>
        <w:t xml:space="preserve">The most frequent coccyx type among patients with </w:t>
      </w:r>
      <w:r w:rsidR="00EE531F" w:rsidRPr="00E33264">
        <w:rPr>
          <w:rFonts w:ascii="Times New Roman" w:hAnsi="Times New Roman" w:cs="Times New Roman"/>
          <w:color w:val="0E101A"/>
        </w:rPr>
        <w:t xml:space="preserve">chronic pain in the coccygeal </w:t>
      </w:r>
      <w:r w:rsidR="00EE531F">
        <w:rPr>
          <w:rFonts w:ascii="Times New Roman" w:hAnsi="Times New Roman" w:cs="Times New Roman"/>
          <w:color w:val="0E101A"/>
        </w:rPr>
        <w:t xml:space="preserve">was type 4 (39.3% and type 3 (21.4%). </w:t>
      </w:r>
      <w:r w:rsidR="00635610" w:rsidRPr="00635610">
        <w:rPr>
          <w:rFonts w:ascii="Times New Roman" w:hAnsi="Times New Roman" w:cs="Times New Roman"/>
          <w:color w:val="0E101A"/>
        </w:rPr>
        <w:t>After the first injection, 20 (71.4%) showed a satisfactory reduction in pain</w:t>
      </w:r>
      <w:r w:rsidR="00635610">
        <w:rPr>
          <w:rFonts w:ascii="Times New Roman" w:hAnsi="Times New Roman" w:cs="Times New Roman"/>
          <w:color w:val="0E101A"/>
        </w:rPr>
        <w:t xml:space="preserve">. </w:t>
      </w:r>
      <w:r w:rsidR="00635610" w:rsidRPr="00635610">
        <w:rPr>
          <w:rFonts w:ascii="Times New Roman" w:hAnsi="Times New Roman" w:cs="Times New Roman"/>
          <w:color w:val="0E101A"/>
        </w:rPr>
        <w:t xml:space="preserve">Almost 71.4% of the patients who were injected </w:t>
      </w:r>
      <w:r w:rsidR="004A2E2E">
        <w:rPr>
          <w:rFonts w:ascii="Times New Roman" w:hAnsi="Times New Roman" w:cs="Times New Roman"/>
          <w:color w:val="0E101A"/>
        </w:rPr>
        <w:t>with</w:t>
      </w:r>
      <w:r w:rsidR="00635610" w:rsidRPr="00635610">
        <w:rPr>
          <w:rFonts w:ascii="Times New Roman" w:hAnsi="Times New Roman" w:cs="Times New Roman"/>
          <w:color w:val="0E101A"/>
        </w:rPr>
        <w:t xml:space="preserve"> GIB and then by PRP showed successful responses</w:t>
      </w:r>
      <w:r w:rsidR="00635610">
        <w:rPr>
          <w:rFonts w:asciiTheme="majorBidi" w:hAnsiTheme="majorBidi" w:cstheme="majorBidi"/>
          <w:sz w:val="24"/>
          <w:szCs w:val="24"/>
        </w:rPr>
        <w:t xml:space="preserve">. Obesity and pain </w:t>
      </w:r>
      <w:r w:rsidR="004A2E2E">
        <w:rPr>
          <w:rFonts w:asciiTheme="majorBidi" w:hAnsiTheme="majorBidi" w:cstheme="majorBidi"/>
          <w:sz w:val="24"/>
          <w:szCs w:val="24"/>
        </w:rPr>
        <w:t>in</w:t>
      </w:r>
      <w:r w:rsidR="00635610">
        <w:rPr>
          <w:rFonts w:asciiTheme="majorBidi" w:hAnsiTheme="majorBidi" w:cstheme="majorBidi"/>
          <w:sz w:val="24"/>
          <w:szCs w:val="24"/>
        </w:rPr>
        <w:t xml:space="preserve"> Coccyx were the significant factors </w:t>
      </w:r>
      <w:r w:rsidR="004A2E2E">
        <w:rPr>
          <w:rFonts w:asciiTheme="majorBidi" w:hAnsiTheme="majorBidi" w:cstheme="majorBidi"/>
          <w:sz w:val="24"/>
          <w:szCs w:val="24"/>
        </w:rPr>
        <w:t>associated</w:t>
      </w:r>
      <w:r w:rsidR="00635610">
        <w:rPr>
          <w:rFonts w:asciiTheme="majorBidi" w:hAnsiTheme="majorBidi" w:cstheme="majorBidi"/>
          <w:sz w:val="24"/>
          <w:szCs w:val="24"/>
        </w:rPr>
        <w:t xml:space="preserve"> with improved pain after GIB (P&lt;0.05). </w:t>
      </w:r>
    </w:p>
    <w:p w:rsidR="00597ECA" w:rsidRDefault="00597ECA" w:rsidP="004A2E2E">
      <w:pPr>
        <w:bidi w:val="0"/>
        <w:jc w:val="both"/>
        <w:rPr>
          <w:rFonts w:ascii="Times New Roman" w:hAnsi="Times New Roman" w:cs="Times New Roman"/>
          <w:color w:val="0E101A"/>
        </w:rPr>
      </w:pPr>
      <w:r>
        <w:rPr>
          <w:rFonts w:ascii="Times New Roman" w:hAnsi="Times New Roman" w:cs="Times New Roman"/>
          <w:b/>
          <w:bCs/>
          <w:color w:val="0E101A"/>
        </w:rPr>
        <w:t>Conclusion:</w:t>
      </w:r>
      <w:r>
        <w:rPr>
          <w:rFonts w:ascii="Times New Roman" w:hAnsi="Times New Roman" w:cs="Times New Roman"/>
          <w:color w:val="0E101A"/>
        </w:rPr>
        <w:t xml:space="preserve"> </w:t>
      </w:r>
    </w:p>
    <w:p w:rsidR="00597ECA" w:rsidRDefault="00465715" w:rsidP="00465715">
      <w:pPr>
        <w:bidi w:val="0"/>
        <w:spacing w:line="276" w:lineRule="auto"/>
        <w:jc w:val="both"/>
        <w:rPr>
          <w:rFonts w:ascii="Times New Roman" w:hAnsi="Times New Roman" w:cs="Times New Roman"/>
          <w:color w:val="0E101A"/>
        </w:rPr>
      </w:pPr>
      <w:r w:rsidRPr="00465715">
        <w:rPr>
          <w:rFonts w:ascii="Times New Roman" w:hAnsi="Times New Roman" w:cs="Times New Roman"/>
          <w:color w:val="0E101A"/>
        </w:rPr>
        <w:t xml:space="preserve">In conclusion, the current study showed that chronic Coccydynia was more reported among females round the age of 40s. Coccyx type 4 and 3 were the dominant among cases with setting for </w:t>
      </w:r>
      <w:proofErr w:type="spellStart"/>
      <w:r w:rsidRPr="00465715">
        <w:rPr>
          <w:rFonts w:ascii="Times New Roman" w:hAnsi="Times New Roman" w:cs="Times New Roman"/>
          <w:color w:val="0E101A"/>
        </w:rPr>
        <w:t>a</w:t>
      </w:r>
      <w:proofErr w:type="spellEnd"/>
      <w:r w:rsidRPr="00465715">
        <w:rPr>
          <w:rFonts w:ascii="Times New Roman" w:hAnsi="Times New Roman" w:cs="Times New Roman"/>
          <w:color w:val="0E101A"/>
        </w:rPr>
        <w:t xml:space="preserve"> </w:t>
      </w:r>
      <w:proofErr w:type="spellStart"/>
      <w:r w:rsidRPr="00465715">
        <w:rPr>
          <w:rFonts w:ascii="Times New Roman" w:hAnsi="Times New Roman" w:cs="Times New Roman"/>
          <w:color w:val="0E101A"/>
        </w:rPr>
        <w:t>along</w:t>
      </w:r>
      <w:proofErr w:type="spellEnd"/>
      <w:r w:rsidRPr="00465715">
        <w:rPr>
          <w:rFonts w:ascii="Times New Roman" w:hAnsi="Times New Roman" w:cs="Times New Roman"/>
          <w:color w:val="0E101A"/>
        </w:rPr>
        <w:t xml:space="preserve"> period as an aggravating factor. High reduction in pain (up to 90%) was reported among cases injected with GIB</w:t>
      </w:r>
    </w:p>
    <w:p w:rsidR="00597ECA" w:rsidRDefault="00597ECA" w:rsidP="00597ECA">
      <w:pPr>
        <w:bidi w:val="0"/>
        <w:jc w:val="both"/>
        <w:rPr>
          <w:rFonts w:ascii="Times New Roman" w:hAnsi="Times New Roman" w:cs="Times New Roman"/>
          <w:color w:val="0E101A"/>
        </w:rPr>
      </w:pPr>
      <w:r>
        <w:rPr>
          <w:rFonts w:ascii="Times New Roman" w:hAnsi="Times New Roman" w:cs="Times New Roman"/>
          <w:color w:val="0E101A"/>
        </w:rPr>
        <w:t xml:space="preserve"> </w:t>
      </w:r>
    </w:p>
    <w:p w:rsidR="00597ECA" w:rsidRDefault="00597ECA" w:rsidP="00597ECA">
      <w:pPr>
        <w:bidi w:val="0"/>
        <w:jc w:val="both"/>
        <w:rPr>
          <w:rFonts w:ascii="Times New Roman" w:hAnsi="Times New Roman" w:cs="Times New Roman"/>
          <w:b/>
          <w:bCs/>
          <w:color w:val="0E101A"/>
        </w:rPr>
      </w:pPr>
      <w:r>
        <w:rPr>
          <w:rFonts w:ascii="Times New Roman" w:hAnsi="Times New Roman" w:cs="Times New Roman"/>
          <w:b/>
          <w:bCs/>
          <w:color w:val="0E101A"/>
        </w:rPr>
        <w:t>Keywords:</w:t>
      </w:r>
    </w:p>
    <w:p w:rsidR="004A2E2E" w:rsidRPr="004A2E2E" w:rsidRDefault="004A2E2E" w:rsidP="004A2E2E">
      <w:pPr>
        <w:bidi w:val="0"/>
        <w:spacing w:line="276" w:lineRule="auto"/>
        <w:jc w:val="both"/>
        <w:rPr>
          <w:rFonts w:ascii="Times New Roman" w:hAnsi="Times New Roman" w:cs="Times New Roman"/>
          <w:color w:val="0E101A"/>
        </w:rPr>
      </w:pPr>
      <w:r>
        <w:rPr>
          <w:rFonts w:ascii="Times New Roman" w:hAnsi="Times New Roman" w:cs="Times New Roman"/>
          <w:color w:val="0E101A"/>
        </w:rPr>
        <w:t>C</w:t>
      </w:r>
      <w:r w:rsidRPr="00E33264">
        <w:rPr>
          <w:rFonts w:ascii="Times New Roman" w:hAnsi="Times New Roman" w:cs="Times New Roman"/>
          <w:color w:val="0E101A"/>
        </w:rPr>
        <w:t>hronic coccygodynia</w:t>
      </w:r>
      <w:r w:rsidRPr="004A2E2E">
        <w:rPr>
          <w:rFonts w:ascii="Times New Roman" w:hAnsi="Times New Roman" w:cs="Times New Roman"/>
          <w:color w:val="0E101A"/>
        </w:rPr>
        <w:t xml:space="preserve">, frequency, </w:t>
      </w:r>
      <w:r w:rsidRPr="00E33264">
        <w:rPr>
          <w:rFonts w:ascii="Times New Roman" w:hAnsi="Times New Roman" w:cs="Times New Roman"/>
          <w:color w:val="0E101A"/>
        </w:rPr>
        <w:t>ganglion block</w:t>
      </w:r>
      <w:r>
        <w:rPr>
          <w:rFonts w:ascii="Times New Roman" w:hAnsi="Times New Roman" w:cs="Times New Roman"/>
          <w:color w:val="0E101A"/>
        </w:rPr>
        <w:t>, effectiveness, success, factors associated, Saudi Arabia.</w:t>
      </w:r>
    </w:p>
    <w:p w:rsidR="00D8534D" w:rsidRDefault="00D8534D" w:rsidP="004A2E2E">
      <w:pPr>
        <w:bidi w:val="0"/>
        <w:spacing w:line="48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Introduction</w:t>
      </w:r>
    </w:p>
    <w:p w:rsidR="007578E9" w:rsidRDefault="007578E9" w:rsidP="008D7815">
      <w:pPr>
        <w:bidi w:val="0"/>
        <w:spacing w:line="480" w:lineRule="auto"/>
        <w:jc w:val="both"/>
        <w:rPr>
          <w:rFonts w:ascii="Times New Roman" w:eastAsia="Calibri" w:hAnsi="Times New Roman" w:cs="Times New Roman"/>
          <w:sz w:val="24"/>
          <w:szCs w:val="24"/>
        </w:rPr>
      </w:pPr>
      <w:r w:rsidRPr="007578E9">
        <w:rPr>
          <w:rFonts w:ascii="Times New Roman" w:eastAsia="Calibri" w:hAnsi="Times New Roman" w:cs="Times New Roman"/>
          <w:sz w:val="24"/>
          <w:szCs w:val="24"/>
        </w:rPr>
        <w:t xml:space="preserve">Coccydynia, also known as coccygodynia, refers to pain in the region of the coccyx. The term was first introduced by Simpson in 1859, </w:t>
      </w:r>
      <w:r w:rsidR="00A458B9">
        <w:rPr>
          <w:rFonts w:ascii="Times New Roman" w:eastAsia="Calibri" w:hAnsi="Times New Roman" w:cs="Times New Roman"/>
          <w:sz w:val="24"/>
          <w:szCs w:val="24"/>
        </w:rPr>
        <w:t xml:space="preserve">(1) </w:t>
      </w:r>
      <w:r w:rsidRPr="007578E9">
        <w:rPr>
          <w:rFonts w:ascii="Times New Roman" w:eastAsia="Calibri" w:hAnsi="Times New Roman" w:cs="Times New Roman"/>
          <w:sz w:val="24"/>
          <w:szCs w:val="24"/>
        </w:rPr>
        <w:t xml:space="preserve">but accounts of coccygeal pain date back to the 16th century. Although chronic coccygeal pain was identified hundreds of years ago, its treatment can be challenging and controversial due to the multifactorial nature of the condition. </w:t>
      </w:r>
      <w:r w:rsidR="00A458B9">
        <w:rPr>
          <w:rFonts w:ascii="Times New Roman" w:eastAsia="Calibri" w:hAnsi="Times New Roman" w:cs="Times New Roman"/>
          <w:sz w:val="24"/>
          <w:szCs w:val="24"/>
        </w:rPr>
        <w:t xml:space="preserve">(2-3) </w:t>
      </w:r>
      <w:r w:rsidRPr="007578E9">
        <w:rPr>
          <w:rFonts w:ascii="Times New Roman" w:eastAsia="Calibri" w:hAnsi="Times New Roman" w:cs="Times New Roman"/>
          <w:sz w:val="24"/>
          <w:szCs w:val="24"/>
        </w:rPr>
        <w:t>Various physiological and psychological factors contribute to its etiology. While most cases of coccydynia resolve within weeks to months with or without conservative treatment, for some patients, the pain can become chronic and debilitating. This article aims to provide an overview of the anatomy, physiology, and treatment of coccydynia.</w:t>
      </w:r>
      <w:r w:rsidR="00A458B9">
        <w:rPr>
          <w:rFonts w:ascii="Times New Roman" w:eastAsia="Calibri" w:hAnsi="Times New Roman" w:cs="Times New Roman"/>
          <w:sz w:val="24"/>
          <w:szCs w:val="24"/>
        </w:rPr>
        <w:t xml:space="preserve"> (4)</w:t>
      </w:r>
    </w:p>
    <w:p w:rsidR="007578E9" w:rsidRDefault="00801834" w:rsidP="007578E9">
      <w:pPr>
        <w:bidi w:val="0"/>
        <w:spacing w:line="480" w:lineRule="auto"/>
        <w:jc w:val="both"/>
        <w:rPr>
          <w:rFonts w:ascii="Times New Roman" w:eastAsia="Calibri" w:hAnsi="Times New Roman" w:cs="Times New Roman"/>
          <w:sz w:val="24"/>
          <w:szCs w:val="24"/>
        </w:rPr>
      </w:pPr>
      <w:r w:rsidRPr="00801834">
        <w:rPr>
          <w:rFonts w:ascii="Times New Roman" w:eastAsia="Calibri" w:hAnsi="Times New Roman" w:cs="Times New Roman"/>
          <w:sz w:val="24"/>
          <w:szCs w:val="24"/>
        </w:rPr>
        <w:t xml:space="preserve">The meticulous frequency of coccydynia is currently unknown, but certain factors have been associated with </w:t>
      </w:r>
      <w:r>
        <w:rPr>
          <w:rFonts w:ascii="Times New Roman" w:eastAsia="Calibri" w:hAnsi="Times New Roman" w:cs="Times New Roman"/>
          <w:sz w:val="24"/>
          <w:szCs w:val="24"/>
        </w:rPr>
        <w:t xml:space="preserve">a </w:t>
      </w:r>
      <w:r w:rsidRPr="00801834">
        <w:rPr>
          <w:rFonts w:ascii="Times New Roman" w:eastAsia="Calibri" w:hAnsi="Times New Roman" w:cs="Times New Roman"/>
          <w:sz w:val="24"/>
          <w:szCs w:val="24"/>
        </w:rPr>
        <w:t xml:space="preserve">greater risk of developing this condition, such as being overweight and being female. </w:t>
      </w:r>
      <w:r>
        <w:rPr>
          <w:rFonts w:ascii="Times New Roman" w:eastAsia="Calibri" w:hAnsi="Times New Roman" w:cs="Times New Roman"/>
          <w:sz w:val="24"/>
          <w:szCs w:val="24"/>
        </w:rPr>
        <w:t xml:space="preserve">(5) </w:t>
      </w:r>
      <w:r w:rsidRPr="00801834">
        <w:rPr>
          <w:rFonts w:ascii="Times New Roman" w:eastAsia="Calibri" w:hAnsi="Times New Roman" w:cs="Times New Roman"/>
          <w:sz w:val="24"/>
          <w:szCs w:val="24"/>
        </w:rPr>
        <w:t>Women are five times more likely to develop coccydynia than men. Coccydynia is more common in adolescents and adults than in children.</w:t>
      </w:r>
      <w:r>
        <w:rPr>
          <w:rFonts w:ascii="Times New Roman" w:eastAsia="Calibri" w:hAnsi="Times New Roman" w:cs="Times New Roman"/>
          <w:sz w:val="24"/>
          <w:szCs w:val="24"/>
        </w:rPr>
        <w:t xml:space="preserve"> (6)</w:t>
      </w:r>
      <w:r w:rsidRPr="00801834">
        <w:rPr>
          <w:rFonts w:ascii="Times New Roman" w:eastAsia="Calibri" w:hAnsi="Times New Roman" w:cs="Times New Roman"/>
          <w:sz w:val="24"/>
          <w:szCs w:val="24"/>
        </w:rPr>
        <w:t xml:space="preserve"> Rapid weight loss can also be a risk factor due to the loss of mechanical cushioning. The most common cause of coccydynia is trauma, either external or internal. External trauma usually occurs when a person falls </w:t>
      </w:r>
      <w:r w:rsidR="00860E7E">
        <w:rPr>
          <w:rFonts w:ascii="Times New Roman" w:eastAsia="Calibri" w:hAnsi="Times New Roman" w:cs="Times New Roman"/>
          <w:sz w:val="24"/>
          <w:szCs w:val="24"/>
        </w:rPr>
        <w:t>backward</w:t>
      </w:r>
      <w:r w:rsidRPr="00801834">
        <w:rPr>
          <w:rFonts w:ascii="Times New Roman" w:eastAsia="Calibri" w:hAnsi="Times New Roman" w:cs="Times New Roman"/>
          <w:sz w:val="24"/>
          <w:szCs w:val="24"/>
        </w:rPr>
        <w:t xml:space="preserve">, which can result in a bruised, dislocated, or broken coccyx. </w:t>
      </w:r>
      <w:r>
        <w:rPr>
          <w:rFonts w:ascii="Times New Roman" w:eastAsia="Calibri" w:hAnsi="Times New Roman" w:cs="Times New Roman"/>
          <w:sz w:val="24"/>
          <w:szCs w:val="24"/>
        </w:rPr>
        <w:t xml:space="preserve">(7) </w:t>
      </w:r>
      <w:r w:rsidRPr="00801834">
        <w:rPr>
          <w:rFonts w:ascii="Times New Roman" w:eastAsia="Calibri" w:hAnsi="Times New Roman" w:cs="Times New Roman"/>
          <w:sz w:val="24"/>
          <w:szCs w:val="24"/>
        </w:rPr>
        <w:t>The location of the coccyx makes it particularly susceptible to internal injury during childbirth, particularly in difficult or instrumented deliveries. Minor trauma can also occur from sitting on hard, narrow, or uncomfortable surfaces for prolonged periods of time.</w:t>
      </w:r>
      <w:r>
        <w:rPr>
          <w:rFonts w:ascii="Times New Roman" w:eastAsia="Calibri" w:hAnsi="Times New Roman" w:cs="Times New Roman"/>
          <w:sz w:val="24"/>
          <w:szCs w:val="24"/>
        </w:rPr>
        <w:t xml:space="preserve"> (8)</w:t>
      </w:r>
    </w:p>
    <w:p w:rsidR="00C8755A" w:rsidRDefault="00C8755A" w:rsidP="00C8755A">
      <w:pPr>
        <w:bidi w:val="0"/>
        <w:spacing w:line="480" w:lineRule="auto"/>
        <w:jc w:val="both"/>
        <w:rPr>
          <w:rFonts w:ascii="Times New Roman" w:eastAsia="Calibri" w:hAnsi="Times New Roman" w:cs="Times New Roman"/>
          <w:sz w:val="24"/>
          <w:szCs w:val="24"/>
        </w:rPr>
      </w:pPr>
      <w:r w:rsidRPr="00C8755A">
        <w:rPr>
          <w:rFonts w:ascii="Times New Roman" w:eastAsia="Calibri" w:hAnsi="Times New Roman" w:cs="Times New Roman"/>
          <w:sz w:val="24"/>
          <w:szCs w:val="24"/>
        </w:rPr>
        <w:t xml:space="preserve">Blocking sympathetic ganglia has been a pain relief method used for over a century, dating back to World War I. The inputs originating from </w:t>
      </w:r>
      <w:r w:rsidR="00213D97">
        <w:rPr>
          <w:rFonts w:ascii="Times New Roman" w:eastAsia="Calibri" w:hAnsi="Times New Roman" w:cs="Times New Roman"/>
          <w:sz w:val="24"/>
          <w:szCs w:val="24"/>
        </w:rPr>
        <w:t xml:space="preserve">the </w:t>
      </w:r>
      <w:r w:rsidRPr="00C8755A">
        <w:rPr>
          <w:rFonts w:ascii="Times New Roman" w:eastAsia="Calibri" w:hAnsi="Times New Roman" w:cs="Times New Roman"/>
          <w:sz w:val="24"/>
          <w:szCs w:val="24"/>
        </w:rPr>
        <w:t xml:space="preserve">sympathetic ganglia play a role in the pathophysiology of different conditions, such as complex regional pain syndrome </w:t>
      </w:r>
      <w:r w:rsidRPr="00C8755A">
        <w:rPr>
          <w:rFonts w:ascii="Times New Roman" w:eastAsia="Calibri" w:hAnsi="Times New Roman" w:cs="Times New Roman"/>
          <w:sz w:val="24"/>
          <w:szCs w:val="24"/>
        </w:rPr>
        <w:lastRenderedPageBreak/>
        <w:t>(CRPS).</w:t>
      </w:r>
      <w:r>
        <w:rPr>
          <w:rFonts w:ascii="Times New Roman" w:eastAsia="Calibri" w:hAnsi="Times New Roman" w:cs="Times New Roman"/>
          <w:sz w:val="24"/>
          <w:szCs w:val="24"/>
        </w:rPr>
        <w:t xml:space="preserve"> (9) </w:t>
      </w:r>
      <w:r w:rsidRPr="00C8755A">
        <w:rPr>
          <w:rFonts w:ascii="Times New Roman" w:eastAsia="Calibri" w:hAnsi="Times New Roman" w:cs="Times New Roman"/>
          <w:sz w:val="24"/>
          <w:szCs w:val="24"/>
        </w:rPr>
        <w:t>This suggests that blocking sympathetic neurons interrupts the positive feedback loop, reducing central hyperexcitability.</w:t>
      </w:r>
      <w:r>
        <w:rPr>
          <w:rFonts w:ascii="Times New Roman" w:eastAsia="Calibri" w:hAnsi="Times New Roman" w:cs="Times New Roman"/>
          <w:sz w:val="24"/>
          <w:szCs w:val="24"/>
        </w:rPr>
        <w:t xml:space="preserve"> (10)</w:t>
      </w:r>
    </w:p>
    <w:p w:rsidR="0040689A" w:rsidRPr="0040689A" w:rsidRDefault="006A365A" w:rsidP="0040689A">
      <w:pPr>
        <w:bidi w:val="0"/>
        <w:spacing w:line="480" w:lineRule="auto"/>
        <w:jc w:val="both"/>
        <w:rPr>
          <w:rFonts w:ascii="Times New Roman" w:eastAsia="Calibri" w:hAnsi="Times New Roman" w:cs="Times New Roman"/>
          <w:sz w:val="24"/>
          <w:szCs w:val="24"/>
        </w:rPr>
      </w:pPr>
      <w:r w:rsidRPr="006A365A">
        <w:rPr>
          <w:rFonts w:ascii="Times New Roman" w:eastAsia="Calibri" w:hAnsi="Times New Roman" w:cs="Times New Roman"/>
          <w:sz w:val="24"/>
          <w:szCs w:val="24"/>
        </w:rPr>
        <w:t xml:space="preserve">The ganglion impar block (also known as the ganglion of Walther block) is a pain management technique used to relieve pain in the coccygeal and perineal regions caused by both benign and malignant conditions. </w:t>
      </w:r>
      <w:r w:rsidR="000E084F">
        <w:rPr>
          <w:rFonts w:ascii="Times New Roman" w:eastAsia="Calibri" w:hAnsi="Times New Roman" w:cs="Times New Roman"/>
          <w:sz w:val="24"/>
          <w:szCs w:val="24"/>
        </w:rPr>
        <w:t>(</w:t>
      </w:r>
      <w:r w:rsidR="00CA72BF">
        <w:rPr>
          <w:rFonts w:ascii="Times New Roman" w:eastAsia="Calibri" w:hAnsi="Times New Roman" w:cs="Times New Roman"/>
          <w:sz w:val="24"/>
          <w:szCs w:val="24"/>
        </w:rPr>
        <w:t>11</w:t>
      </w:r>
      <w:r w:rsidR="000E084F">
        <w:rPr>
          <w:rFonts w:ascii="Times New Roman" w:eastAsia="Calibri" w:hAnsi="Times New Roman" w:cs="Times New Roman"/>
          <w:sz w:val="24"/>
          <w:szCs w:val="24"/>
        </w:rPr>
        <w:t xml:space="preserve">) </w:t>
      </w:r>
      <w:r w:rsidRPr="006A365A">
        <w:rPr>
          <w:rFonts w:ascii="Times New Roman" w:eastAsia="Calibri" w:hAnsi="Times New Roman" w:cs="Times New Roman"/>
          <w:sz w:val="24"/>
          <w:szCs w:val="24"/>
        </w:rPr>
        <w:t xml:space="preserve">Though, it is not clear which factors contribute to a successful response to this treatment. </w:t>
      </w:r>
      <w:r w:rsidR="000E084F">
        <w:rPr>
          <w:rFonts w:ascii="Times New Roman" w:eastAsia="Calibri" w:hAnsi="Times New Roman" w:cs="Times New Roman"/>
          <w:sz w:val="24"/>
          <w:szCs w:val="24"/>
        </w:rPr>
        <w:t>(</w:t>
      </w:r>
      <w:r w:rsidR="00CA72BF">
        <w:rPr>
          <w:rFonts w:ascii="Times New Roman" w:eastAsia="Calibri" w:hAnsi="Times New Roman" w:cs="Times New Roman"/>
          <w:sz w:val="24"/>
          <w:szCs w:val="24"/>
        </w:rPr>
        <w:t>12</w:t>
      </w:r>
      <w:r w:rsidR="000E084F">
        <w:rPr>
          <w:rFonts w:ascii="Times New Roman" w:eastAsia="Calibri" w:hAnsi="Times New Roman" w:cs="Times New Roman"/>
          <w:sz w:val="24"/>
          <w:szCs w:val="24"/>
        </w:rPr>
        <w:t xml:space="preserve">, </w:t>
      </w:r>
      <w:r w:rsidR="00CA72BF">
        <w:rPr>
          <w:rFonts w:ascii="Times New Roman" w:eastAsia="Calibri" w:hAnsi="Times New Roman" w:cs="Times New Roman"/>
          <w:sz w:val="24"/>
          <w:szCs w:val="24"/>
        </w:rPr>
        <w:t>13</w:t>
      </w:r>
      <w:r w:rsidR="000E084F">
        <w:rPr>
          <w:rFonts w:ascii="Times New Roman" w:eastAsia="Calibri" w:hAnsi="Times New Roman" w:cs="Times New Roman"/>
          <w:sz w:val="24"/>
          <w:szCs w:val="24"/>
        </w:rPr>
        <w:t>)</w:t>
      </w:r>
      <w:r w:rsidR="00573C3F">
        <w:rPr>
          <w:rFonts w:ascii="Times New Roman" w:eastAsia="Calibri" w:hAnsi="Times New Roman" w:cs="Times New Roman"/>
          <w:sz w:val="24"/>
          <w:szCs w:val="24"/>
        </w:rPr>
        <w:t xml:space="preserve"> </w:t>
      </w:r>
      <w:r w:rsidR="00573C3F" w:rsidRPr="00573C3F">
        <w:rPr>
          <w:rFonts w:ascii="Times New Roman" w:eastAsia="Calibri" w:hAnsi="Times New Roman" w:cs="Times New Roman"/>
          <w:sz w:val="24"/>
          <w:szCs w:val="24"/>
        </w:rPr>
        <w:t xml:space="preserve">The ganglion impar is positioned at the </w:t>
      </w:r>
      <w:r w:rsidR="00573C3F">
        <w:rPr>
          <w:rFonts w:ascii="Times New Roman" w:eastAsia="Calibri" w:hAnsi="Times New Roman" w:cs="Times New Roman"/>
          <w:sz w:val="24"/>
          <w:szCs w:val="24"/>
        </w:rPr>
        <w:t>endpoint</w:t>
      </w:r>
      <w:r w:rsidR="00573C3F" w:rsidRPr="00573C3F">
        <w:rPr>
          <w:rFonts w:ascii="Times New Roman" w:eastAsia="Calibri" w:hAnsi="Times New Roman" w:cs="Times New Roman"/>
          <w:sz w:val="24"/>
          <w:szCs w:val="24"/>
        </w:rPr>
        <w:t xml:space="preserve"> of the paravertebral sympathetic chain and is responsible for the nociception and sympathetic innervation of the perineal region. </w:t>
      </w:r>
      <w:r w:rsidR="00573C3F">
        <w:rPr>
          <w:rFonts w:ascii="Times New Roman" w:eastAsia="Calibri" w:hAnsi="Times New Roman" w:cs="Times New Roman"/>
          <w:sz w:val="24"/>
          <w:szCs w:val="24"/>
        </w:rPr>
        <w:t xml:space="preserve">(14) </w:t>
      </w:r>
      <w:r w:rsidR="00573C3F" w:rsidRPr="00573C3F">
        <w:rPr>
          <w:rFonts w:ascii="Times New Roman" w:eastAsia="Calibri" w:hAnsi="Times New Roman" w:cs="Times New Roman"/>
          <w:sz w:val="24"/>
          <w:szCs w:val="24"/>
        </w:rPr>
        <w:t xml:space="preserve">A ganglion impar block can be performed using either a trans sacrococcygeal or Plancarte technique, under fluoroscopy, computerized tomography or ultrasound guidance. </w:t>
      </w:r>
      <w:r w:rsidR="00573C3F">
        <w:rPr>
          <w:rFonts w:ascii="Times New Roman" w:eastAsia="Calibri" w:hAnsi="Times New Roman" w:cs="Times New Roman"/>
          <w:sz w:val="24"/>
          <w:szCs w:val="24"/>
        </w:rPr>
        <w:t xml:space="preserve">(15) </w:t>
      </w:r>
      <w:r w:rsidR="00573C3F" w:rsidRPr="00573C3F">
        <w:rPr>
          <w:rFonts w:ascii="Times New Roman" w:eastAsia="Calibri" w:hAnsi="Times New Roman" w:cs="Times New Roman"/>
          <w:sz w:val="24"/>
          <w:szCs w:val="24"/>
        </w:rPr>
        <w:t xml:space="preserve">There is currently no data that shows one technique to be more effective than the other, and the choice of technique ultimately depends on the physician's preference and availability of equipment. </w:t>
      </w:r>
      <w:r w:rsidR="00573C3F">
        <w:rPr>
          <w:rFonts w:ascii="Times New Roman" w:eastAsia="Calibri" w:hAnsi="Times New Roman" w:cs="Times New Roman"/>
          <w:sz w:val="24"/>
          <w:szCs w:val="24"/>
        </w:rPr>
        <w:t>(16)</w:t>
      </w:r>
      <w:r w:rsidR="0040689A">
        <w:rPr>
          <w:rFonts w:ascii="Times New Roman" w:eastAsia="Calibri" w:hAnsi="Times New Roman" w:cs="Times New Roman"/>
          <w:sz w:val="24"/>
          <w:szCs w:val="24"/>
        </w:rPr>
        <w:t xml:space="preserve"> The current study was conducted to identify</w:t>
      </w:r>
      <w:r w:rsidR="0040689A" w:rsidRPr="0040689A">
        <w:rPr>
          <w:rFonts w:ascii="Times New Roman" w:eastAsia="Calibri" w:hAnsi="Times New Roman" w:cs="Times New Roman"/>
          <w:sz w:val="24"/>
          <w:szCs w:val="24"/>
        </w:rPr>
        <w:t xml:space="preserve"> </w:t>
      </w:r>
      <w:r w:rsidR="0040689A">
        <w:rPr>
          <w:rFonts w:ascii="Times New Roman" w:eastAsia="Calibri" w:hAnsi="Times New Roman" w:cs="Times New Roman"/>
          <w:sz w:val="24"/>
          <w:szCs w:val="24"/>
        </w:rPr>
        <w:t xml:space="preserve">the incidence and </w:t>
      </w:r>
      <w:r w:rsidR="0040689A" w:rsidRPr="0040689A">
        <w:rPr>
          <w:rFonts w:ascii="Times New Roman" w:eastAsia="Calibri" w:hAnsi="Times New Roman" w:cs="Times New Roman"/>
          <w:sz w:val="24"/>
          <w:szCs w:val="24"/>
        </w:rPr>
        <w:t xml:space="preserve">the independent factors associated with successful responses to ganglion impar block in patients with chronic pain in </w:t>
      </w:r>
      <w:r w:rsidR="0040689A">
        <w:rPr>
          <w:rFonts w:ascii="Times New Roman" w:eastAsia="Calibri" w:hAnsi="Times New Roman" w:cs="Times New Roman"/>
          <w:sz w:val="24"/>
          <w:szCs w:val="24"/>
        </w:rPr>
        <w:t xml:space="preserve">the </w:t>
      </w:r>
      <w:r w:rsidR="0040689A" w:rsidRPr="0040689A">
        <w:rPr>
          <w:rFonts w:ascii="Times New Roman" w:eastAsia="Calibri" w:hAnsi="Times New Roman" w:cs="Times New Roman"/>
          <w:sz w:val="24"/>
          <w:szCs w:val="24"/>
        </w:rPr>
        <w:t xml:space="preserve">coccygeal and perineal regions at Prince Sultan Military Medical </w:t>
      </w:r>
      <w:r w:rsidR="0040689A">
        <w:rPr>
          <w:rFonts w:ascii="Times New Roman" w:eastAsia="Calibri" w:hAnsi="Times New Roman" w:cs="Times New Roman"/>
          <w:sz w:val="24"/>
          <w:szCs w:val="24"/>
        </w:rPr>
        <w:t>City</w:t>
      </w:r>
      <w:r w:rsidR="0040689A" w:rsidRPr="0040689A">
        <w:rPr>
          <w:rFonts w:ascii="Times New Roman" w:eastAsia="Calibri" w:hAnsi="Times New Roman" w:cs="Times New Roman"/>
          <w:sz w:val="24"/>
          <w:szCs w:val="24"/>
        </w:rPr>
        <w:t xml:space="preserve"> Riyadh, Saudi Arabia.</w:t>
      </w:r>
    </w:p>
    <w:p w:rsidR="00234D49" w:rsidRPr="004326E0" w:rsidRDefault="00234D49" w:rsidP="007578E9">
      <w:pPr>
        <w:bidi w:val="0"/>
        <w:spacing w:line="480" w:lineRule="auto"/>
        <w:jc w:val="both"/>
        <w:rPr>
          <w:rFonts w:ascii="Times New Roman" w:eastAsia="Calibri" w:hAnsi="Times New Roman" w:cs="Times New Roman"/>
          <w:b/>
          <w:bCs/>
          <w:sz w:val="24"/>
          <w:szCs w:val="24"/>
        </w:rPr>
      </w:pPr>
      <w:r w:rsidRPr="004326E0">
        <w:rPr>
          <w:rFonts w:ascii="Times New Roman" w:eastAsia="Calibri" w:hAnsi="Times New Roman" w:cs="Times New Roman"/>
          <w:b/>
          <w:bCs/>
          <w:sz w:val="24"/>
          <w:szCs w:val="24"/>
        </w:rPr>
        <w:t>Methodology</w:t>
      </w:r>
    </w:p>
    <w:p w:rsidR="004326E0" w:rsidRPr="004326E0" w:rsidRDefault="004326E0" w:rsidP="004326E0">
      <w:pPr>
        <w:bidi w:val="0"/>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record-based </w:t>
      </w:r>
      <w:r w:rsidRPr="004326E0">
        <w:rPr>
          <w:rFonts w:ascii="Times New Roman" w:eastAsia="Calibri" w:hAnsi="Times New Roman" w:cs="Times New Roman"/>
          <w:sz w:val="24"/>
          <w:szCs w:val="24"/>
        </w:rPr>
        <w:t xml:space="preserve">retrospective study </w:t>
      </w:r>
      <w:r>
        <w:rPr>
          <w:rFonts w:ascii="Times New Roman" w:eastAsia="Calibri" w:hAnsi="Times New Roman" w:cs="Times New Roman"/>
          <w:sz w:val="24"/>
          <w:szCs w:val="24"/>
        </w:rPr>
        <w:t>was</w:t>
      </w:r>
      <w:r w:rsidRPr="004326E0">
        <w:rPr>
          <w:rFonts w:ascii="Times New Roman" w:eastAsia="Calibri" w:hAnsi="Times New Roman" w:cs="Times New Roman"/>
          <w:sz w:val="24"/>
          <w:szCs w:val="24"/>
        </w:rPr>
        <w:t xml:space="preserve"> conducted </w:t>
      </w:r>
      <w:r>
        <w:rPr>
          <w:rFonts w:ascii="Times New Roman" w:eastAsia="Calibri" w:hAnsi="Times New Roman" w:cs="Times New Roman"/>
          <w:sz w:val="24"/>
          <w:szCs w:val="24"/>
        </w:rPr>
        <w:t>targeting a</w:t>
      </w:r>
      <w:r w:rsidRPr="004326E0">
        <w:rPr>
          <w:rFonts w:ascii="Times New Roman" w:eastAsia="Calibri" w:hAnsi="Times New Roman" w:cs="Times New Roman"/>
          <w:sz w:val="24"/>
          <w:szCs w:val="24"/>
        </w:rPr>
        <w:t xml:space="preserve">ll patients with chronic coccygodynia </w:t>
      </w:r>
      <w:r>
        <w:rPr>
          <w:rFonts w:ascii="Times New Roman" w:eastAsia="Calibri" w:hAnsi="Times New Roman" w:cs="Times New Roman"/>
          <w:sz w:val="24"/>
          <w:szCs w:val="24"/>
        </w:rPr>
        <w:t xml:space="preserve">who </w:t>
      </w:r>
      <w:r w:rsidRPr="004326E0">
        <w:rPr>
          <w:rFonts w:ascii="Times New Roman" w:eastAsia="Calibri" w:hAnsi="Times New Roman" w:cs="Times New Roman"/>
          <w:sz w:val="24"/>
          <w:szCs w:val="24"/>
        </w:rPr>
        <w:t xml:space="preserve">underwent ganglion impar block at Prince Sultan Military Medical </w:t>
      </w:r>
      <w:r>
        <w:rPr>
          <w:rFonts w:ascii="Times New Roman" w:eastAsia="Calibri" w:hAnsi="Times New Roman" w:cs="Times New Roman"/>
          <w:sz w:val="24"/>
          <w:szCs w:val="24"/>
        </w:rPr>
        <w:t>City</w:t>
      </w:r>
      <w:r w:rsidRPr="004326E0">
        <w:rPr>
          <w:rFonts w:ascii="Times New Roman" w:eastAsia="Calibri" w:hAnsi="Times New Roman" w:cs="Times New Roman"/>
          <w:sz w:val="24"/>
          <w:szCs w:val="24"/>
        </w:rPr>
        <w:t xml:space="preserve"> Riyadh, Saudi Arabia during the period from 2019-2023.</w:t>
      </w:r>
      <w:r>
        <w:rPr>
          <w:rFonts w:ascii="Times New Roman" w:eastAsia="Calibri" w:hAnsi="Times New Roman" w:cs="Times New Roman"/>
          <w:sz w:val="24"/>
          <w:szCs w:val="24"/>
        </w:rPr>
        <w:t xml:space="preserve"> The study was</w:t>
      </w:r>
      <w:r w:rsidRPr="004326E0">
        <w:rPr>
          <w:rFonts w:ascii="Times New Roman" w:eastAsia="Calibri" w:hAnsi="Times New Roman" w:cs="Times New Roman"/>
          <w:sz w:val="24"/>
          <w:szCs w:val="24"/>
        </w:rPr>
        <w:t xml:space="preserve"> conducted by reviewing all records of all </w:t>
      </w:r>
      <w:r>
        <w:rPr>
          <w:rFonts w:ascii="Times New Roman" w:eastAsia="Calibri" w:hAnsi="Times New Roman" w:cs="Times New Roman"/>
          <w:sz w:val="24"/>
          <w:szCs w:val="24"/>
        </w:rPr>
        <w:t>patients</w:t>
      </w:r>
      <w:r w:rsidRPr="004326E0">
        <w:rPr>
          <w:rFonts w:ascii="Times New Roman" w:eastAsia="Calibri" w:hAnsi="Times New Roman" w:cs="Times New Roman"/>
          <w:sz w:val="24"/>
          <w:szCs w:val="24"/>
        </w:rPr>
        <w:t xml:space="preserve"> with chronic coccygodynia </w:t>
      </w:r>
      <w:r>
        <w:rPr>
          <w:rFonts w:ascii="Times New Roman" w:eastAsia="Calibri" w:hAnsi="Times New Roman" w:cs="Times New Roman"/>
          <w:sz w:val="24"/>
          <w:szCs w:val="24"/>
        </w:rPr>
        <w:t xml:space="preserve">who </w:t>
      </w:r>
      <w:r w:rsidRPr="004326E0">
        <w:rPr>
          <w:rFonts w:ascii="Times New Roman" w:eastAsia="Calibri" w:hAnsi="Times New Roman" w:cs="Times New Roman"/>
          <w:sz w:val="24"/>
          <w:szCs w:val="24"/>
        </w:rPr>
        <w:t>underwent ganglion impar block</w:t>
      </w:r>
      <w:r>
        <w:rPr>
          <w:rFonts w:ascii="Times New Roman" w:eastAsia="Calibri" w:hAnsi="Times New Roman" w:cs="Times New Roman"/>
          <w:sz w:val="24"/>
          <w:szCs w:val="24"/>
        </w:rPr>
        <w:t xml:space="preserve">. </w:t>
      </w:r>
      <w:r w:rsidRPr="004326E0">
        <w:rPr>
          <w:rFonts w:ascii="Times New Roman" w:eastAsia="Calibri" w:hAnsi="Times New Roman" w:cs="Times New Roman"/>
          <w:sz w:val="24"/>
          <w:szCs w:val="24"/>
        </w:rPr>
        <w:t xml:space="preserve">Patients </w:t>
      </w:r>
      <w:r>
        <w:rPr>
          <w:rFonts w:ascii="Times New Roman" w:eastAsia="Calibri" w:hAnsi="Times New Roman" w:cs="Times New Roman"/>
          <w:sz w:val="24"/>
          <w:szCs w:val="24"/>
        </w:rPr>
        <w:t xml:space="preserve">aged 18 to 80 years, </w:t>
      </w:r>
      <w:r w:rsidRPr="004326E0">
        <w:rPr>
          <w:rFonts w:ascii="Times New Roman" w:eastAsia="Calibri" w:hAnsi="Times New Roman" w:cs="Times New Roman"/>
          <w:sz w:val="24"/>
          <w:szCs w:val="24"/>
        </w:rPr>
        <w:t>with chronic coccygodynia underwent ganglion impar block</w:t>
      </w:r>
      <w:r>
        <w:rPr>
          <w:rFonts w:ascii="Times New Roman" w:eastAsia="Calibri" w:hAnsi="Times New Roman" w:cs="Times New Roman"/>
          <w:sz w:val="24"/>
          <w:szCs w:val="24"/>
        </w:rPr>
        <w:t>, and those with c</w:t>
      </w:r>
      <w:r w:rsidRPr="004326E0">
        <w:rPr>
          <w:rFonts w:ascii="Times New Roman" w:eastAsia="Calibri" w:hAnsi="Times New Roman" w:cs="Times New Roman"/>
          <w:sz w:val="24"/>
          <w:szCs w:val="24"/>
        </w:rPr>
        <w:t>omplete records</w:t>
      </w:r>
      <w:r>
        <w:rPr>
          <w:rFonts w:ascii="Times New Roman" w:eastAsia="Calibri" w:hAnsi="Times New Roman" w:cs="Times New Roman"/>
          <w:sz w:val="24"/>
          <w:szCs w:val="24"/>
        </w:rPr>
        <w:t xml:space="preserve"> were included</w:t>
      </w:r>
      <w:r w:rsidRPr="004326E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Patients with </w:t>
      </w:r>
      <w:r w:rsidR="0040689A">
        <w:rPr>
          <w:rFonts w:ascii="Times New Roman" w:eastAsia="Calibri" w:hAnsi="Times New Roman" w:cs="Times New Roman"/>
          <w:sz w:val="24"/>
          <w:szCs w:val="24"/>
        </w:rPr>
        <w:t xml:space="preserve">an </w:t>
      </w:r>
      <w:r>
        <w:rPr>
          <w:rFonts w:ascii="Times New Roman" w:eastAsia="Calibri" w:hAnsi="Times New Roman" w:cs="Times New Roman"/>
          <w:sz w:val="24"/>
          <w:szCs w:val="24"/>
        </w:rPr>
        <w:t>i</w:t>
      </w:r>
      <w:r w:rsidRPr="004326E0">
        <w:rPr>
          <w:rFonts w:ascii="Times New Roman" w:eastAsia="Calibri" w:hAnsi="Times New Roman" w:cs="Times New Roman"/>
          <w:sz w:val="24"/>
          <w:szCs w:val="24"/>
        </w:rPr>
        <w:t xml:space="preserve">ncomplete </w:t>
      </w:r>
      <w:r w:rsidRPr="004326E0">
        <w:rPr>
          <w:rFonts w:ascii="Times New Roman" w:eastAsia="Calibri" w:hAnsi="Times New Roman" w:cs="Times New Roman"/>
          <w:sz w:val="24"/>
          <w:szCs w:val="24"/>
        </w:rPr>
        <w:lastRenderedPageBreak/>
        <w:t xml:space="preserve">medical record, </w:t>
      </w:r>
      <w:r>
        <w:rPr>
          <w:rFonts w:ascii="Times New Roman" w:eastAsia="Calibri" w:hAnsi="Times New Roman" w:cs="Times New Roman"/>
          <w:sz w:val="24"/>
          <w:szCs w:val="24"/>
        </w:rPr>
        <w:t>l</w:t>
      </w:r>
      <w:r w:rsidRPr="004326E0">
        <w:rPr>
          <w:rFonts w:ascii="Times New Roman" w:eastAsia="Calibri" w:hAnsi="Times New Roman" w:cs="Times New Roman"/>
          <w:sz w:val="24"/>
          <w:szCs w:val="24"/>
        </w:rPr>
        <w:t>oss to follow-up</w:t>
      </w:r>
      <w:r>
        <w:rPr>
          <w:rFonts w:ascii="Times New Roman" w:eastAsia="Calibri" w:hAnsi="Times New Roman" w:cs="Times New Roman"/>
          <w:sz w:val="24"/>
          <w:szCs w:val="24"/>
        </w:rPr>
        <w:t>, and t</w:t>
      </w:r>
      <w:r w:rsidRPr="004326E0">
        <w:rPr>
          <w:rFonts w:ascii="Times New Roman" w:eastAsia="Calibri" w:hAnsi="Times New Roman" w:cs="Times New Roman"/>
          <w:sz w:val="24"/>
          <w:szCs w:val="24"/>
        </w:rPr>
        <w:t xml:space="preserve">echnical failure of </w:t>
      </w:r>
      <w:r w:rsidR="0040689A">
        <w:rPr>
          <w:rFonts w:ascii="Times New Roman" w:eastAsia="Calibri" w:hAnsi="Times New Roman" w:cs="Times New Roman"/>
          <w:sz w:val="24"/>
          <w:szCs w:val="24"/>
        </w:rPr>
        <w:t xml:space="preserve">the </w:t>
      </w:r>
      <w:r w:rsidRPr="004326E0">
        <w:rPr>
          <w:rFonts w:ascii="Times New Roman" w:eastAsia="Calibri" w:hAnsi="Times New Roman" w:cs="Times New Roman"/>
          <w:sz w:val="24"/>
          <w:szCs w:val="24"/>
        </w:rPr>
        <w:t>block</w:t>
      </w:r>
      <w:r>
        <w:rPr>
          <w:rFonts w:ascii="Times New Roman" w:eastAsia="Calibri" w:hAnsi="Times New Roman" w:cs="Times New Roman"/>
          <w:sz w:val="24"/>
          <w:szCs w:val="24"/>
        </w:rPr>
        <w:t xml:space="preserve"> were excluded. </w:t>
      </w:r>
      <w:r w:rsidRPr="004326E0">
        <w:rPr>
          <w:rFonts w:ascii="Times New Roman" w:eastAsia="Calibri" w:hAnsi="Times New Roman" w:cs="Times New Roman"/>
          <w:sz w:val="24"/>
          <w:szCs w:val="24"/>
        </w:rPr>
        <w:t xml:space="preserve">Patients were considered successful responders if they reported a decrease of more than 50% or 4 points on the 11-point (0 = no pain and 10 = worst possible pain) numerical rating scale after the procedure, while others were considered non-responders. </w:t>
      </w:r>
    </w:p>
    <w:p w:rsidR="004326E0" w:rsidRPr="004326E0" w:rsidRDefault="004326E0" w:rsidP="004326E0">
      <w:pPr>
        <w:bidi w:val="0"/>
        <w:spacing w:line="480" w:lineRule="auto"/>
        <w:jc w:val="both"/>
        <w:rPr>
          <w:rFonts w:ascii="Times New Roman" w:eastAsia="Calibri" w:hAnsi="Times New Roman" w:cs="Times New Roman"/>
          <w:b/>
          <w:bCs/>
          <w:sz w:val="24"/>
          <w:szCs w:val="24"/>
        </w:rPr>
      </w:pPr>
      <w:r w:rsidRPr="004326E0">
        <w:rPr>
          <w:rFonts w:ascii="Times New Roman" w:eastAsia="Calibri" w:hAnsi="Times New Roman" w:cs="Times New Roman"/>
          <w:b/>
          <w:bCs/>
          <w:sz w:val="24"/>
          <w:szCs w:val="24"/>
        </w:rPr>
        <w:t>Sample size and sampling technique</w:t>
      </w:r>
    </w:p>
    <w:p w:rsidR="004326E0" w:rsidRDefault="004326E0" w:rsidP="004326E0">
      <w:pPr>
        <w:bidi w:val="0"/>
        <w:spacing w:line="480" w:lineRule="auto"/>
        <w:jc w:val="both"/>
        <w:rPr>
          <w:rFonts w:ascii="Times New Roman" w:eastAsia="Calibri" w:hAnsi="Times New Roman" w:cs="Times New Roman"/>
          <w:sz w:val="24"/>
          <w:szCs w:val="24"/>
        </w:rPr>
      </w:pPr>
      <w:r w:rsidRPr="004326E0">
        <w:rPr>
          <w:rFonts w:ascii="Times New Roman" w:eastAsia="Calibri" w:hAnsi="Times New Roman" w:cs="Times New Roman"/>
          <w:sz w:val="24"/>
          <w:szCs w:val="24"/>
        </w:rPr>
        <w:t xml:space="preserve">All accessible completed records during the study period </w:t>
      </w:r>
      <w:r w:rsidR="007D36FE">
        <w:rPr>
          <w:rFonts w:ascii="Times New Roman" w:eastAsia="Calibri" w:hAnsi="Times New Roman" w:cs="Times New Roman"/>
          <w:sz w:val="24"/>
          <w:szCs w:val="24"/>
        </w:rPr>
        <w:t>were</w:t>
      </w:r>
      <w:r w:rsidRPr="004326E0">
        <w:rPr>
          <w:rFonts w:ascii="Times New Roman" w:eastAsia="Calibri" w:hAnsi="Times New Roman" w:cs="Times New Roman"/>
          <w:sz w:val="24"/>
          <w:szCs w:val="24"/>
        </w:rPr>
        <w:t xml:space="preserve"> included. The records </w:t>
      </w:r>
      <w:proofErr w:type="gramStart"/>
      <w:r w:rsidR="007D36FE">
        <w:rPr>
          <w:rFonts w:ascii="Times New Roman" w:eastAsia="Calibri" w:hAnsi="Times New Roman" w:cs="Times New Roman"/>
          <w:sz w:val="24"/>
          <w:szCs w:val="24"/>
        </w:rPr>
        <w:t>were</w:t>
      </w:r>
      <w:proofErr w:type="gramEnd"/>
      <w:r w:rsidRPr="004326E0">
        <w:rPr>
          <w:rFonts w:ascii="Times New Roman" w:eastAsia="Calibri" w:hAnsi="Times New Roman" w:cs="Times New Roman"/>
          <w:sz w:val="24"/>
          <w:szCs w:val="24"/>
        </w:rPr>
        <w:t xml:space="preserve"> be consecutively included till </w:t>
      </w:r>
      <w:r>
        <w:rPr>
          <w:rFonts w:ascii="Times New Roman" w:eastAsia="Calibri" w:hAnsi="Times New Roman" w:cs="Times New Roman"/>
          <w:sz w:val="24"/>
          <w:szCs w:val="24"/>
        </w:rPr>
        <w:t xml:space="preserve">the </w:t>
      </w:r>
      <w:r w:rsidRPr="004326E0">
        <w:rPr>
          <w:rFonts w:ascii="Times New Roman" w:eastAsia="Calibri" w:hAnsi="Times New Roman" w:cs="Times New Roman"/>
          <w:sz w:val="24"/>
          <w:szCs w:val="24"/>
        </w:rPr>
        <w:t xml:space="preserve">end date of the study. </w:t>
      </w:r>
    </w:p>
    <w:p w:rsidR="00377206" w:rsidRDefault="00377206" w:rsidP="004326E0">
      <w:pPr>
        <w:bidi w:val="0"/>
        <w:spacing w:line="48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Data analysis</w:t>
      </w:r>
    </w:p>
    <w:p w:rsidR="00377206" w:rsidRDefault="00377206" w:rsidP="00377206">
      <w:pPr>
        <w:bidi w:val="0"/>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data were collected, reviewed, and then fed to Statistical Package for Social Sciences version 21 (SPSS: An IBM Company). All statistical methods used were two-tailed with an alpha level of 0.05 considering significance if </w:t>
      </w:r>
      <w:r w:rsidR="00447953">
        <w:rPr>
          <w:rFonts w:ascii="Times New Roman" w:eastAsia="Calibri" w:hAnsi="Times New Roman" w:cs="Times New Roman"/>
          <w:sz w:val="24"/>
          <w:szCs w:val="24"/>
        </w:rPr>
        <w:t xml:space="preserve">the </w:t>
      </w:r>
      <w:r>
        <w:rPr>
          <w:rFonts w:ascii="Times New Roman" w:eastAsia="Calibri" w:hAnsi="Times New Roman" w:cs="Times New Roman"/>
          <w:sz w:val="24"/>
          <w:szCs w:val="24"/>
        </w:rPr>
        <w:t xml:space="preserve">P value less than or equal to 0.05. Descriptive analysis was done by prescribing frequency distribution and percentage for study variables including </w:t>
      </w:r>
      <w:r w:rsidR="00447953">
        <w:rPr>
          <w:rFonts w:ascii="Times New Roman" w:eastAsia="Calibri" w:hAnsi="Times New Roman" w:cs="Times New Roman"/>
          <w:sz w:val="24"/>
          <w:szCs w:val="24"/>
        </w:rPr>
        <w:t>participants'</w:t>
      </w:r>
      <w:r>
        <w:rPr>
          <w:rFonts w:ascii="Times New Roman" w:eastAsia="Calibri" w:hAnsi="Times New Roman" w:cs="Times New Roman"/>
          <w:sz w:val="24"/>
          <w:szCs w:val="24"/>
        </w:rPr>
        <w:t xml:space="preserve"> personal data, </w:t>
      </w:r>
      <w:r w:rsidR="00447953">
        <w:rPr>
          <w:rFonts w:ascii="Times New Roman" w:eastAsia="Calibri" w:hAnsi="Times New Roman" w:cs="Times New Roman"/>
          <w:sz w:val="24"/>
          <w:szCs w:val="24"/>
        </w:rPr>
        <w:t>c</w:t>
      </w:r>
      <w:r w:rsidR="00447953" w:rsidRPr="00447953">
        <w:rPr>
          <w:rFonts w:ascii="Times New Roman" w:eastAsia="Calibri" w:hAnsi="Times New Roman" w:cs="Times New Roman"/>
          <w:sz w:val="24"/>
          <w:szCs w:val="24"/>
        </w:rPr>
        <w:t xml:space="preserve">hronic coccygodynia features, and </w:t>
      </w:r>
      <w:r w:rsidR="00447953">
        <w:rPr>
          <w:rFonts w:ascii="Times New Roman" w:eastAsia="Calibri" w:hAnsi="Times New Roman" w:cs="Times New Roman"/>
          <w:sz w:val="24"/>
          <w:szCs w:val="24"/>
        </w:rPr>
        <w:t>m</w:t>
      </w:r>
      <w:r w:rsidR="00447953" w:rsidRPr="00447953">
        <w:rPr>
          <w:rFonts w:ascii="Times New Roman" w:eastAsia="Calibri" w:hAnsi="Times New Roman" w:cs="Times New Roman"/>
          <w:sz w:val="24"/>
          <w:szCs w:val="24"/>
        </w:rPr>
        <w:t>ethod of injection and pain improvement</w:t>
      </w:r>
      <w:r>
        <w:rPr>
          <w:rFonts w:ascii="Times New Roman" w:eastAsia="Calibri" w:hAnsi="Times New Roman" w:cs="Times New Roman"/>
          <w:sz w:val="24"/>
          <w:szCs w:val="24"/>
        </w:rPr>
        <w:t xml:space="preserve">. Also, </w:t>
      </w:r>
      <w:r w:rsidR="00447953">
        <w:rPr>
          <w:rFonts w:ascii="Times New Roman" w:eastAsia="Calibri" w:hAnsi="Times New Roman" w:cs="Times New Roman"/>
          <w:sz w:val="24"/>
          <w:szCs w:val="24"/>
        </w:rPr>
        <w:t>Participants'</w:t>
      </w:r>
      <w:r>
        <w:rPr>
          <w:rFonts w:ascii="Times New Roman" w:eastAsia="Calibri" w:hAnsi="Times New Roman" w:cs="Times New Roman"/>
          <w:sz w:val="24"/>
          <w:szCs w:val="24"/>
        </w:rPr>
        <w:t xml:space="preserve"> </w:t>
      </w:r>
      <w:r w:rsidR="00447953">
        <w:rPr>
          <w:rFonts w:ascii="Times New Roman" w:eastAsia="Calibri" w:hAnsi="Times New Roman" w:cs="Times New Roman"/>
          <w:sz w:val="24"/>
          <w:szCs w:val="24"/>
        </w:rPr>
        <w:t>medical data</w:t>
      </w:r>
      <w:r>
        <w:rPr>
          <w:rFonts w:ascii="Times New Roman" w:eastAsia="Calibri" w:hAnsi="Times New Roman" w:cs="Times New Roman"/>
          <w:sz w:val="24"/>
          <w:szCs w:val="24"/>
        </w:rPr>
        <w:t xml:space="preserve"> was graphed. </w:t>
      </w:r>
      <w:r w:rsidR="00447953">
        <w:rPr>
          <w:rFonts w:ascii="Times New Roman" w:eastAsia="Calibri" w:hAnsi="Times New Roman" w:cs="Times New Roman"/>
          <w:sz w:val="24"/>
          <w:szCs w:val="24"/>
        </w:rPr>
        <w:t>Quantitative variables (improvement score and duration) were presented as mean with standard deviation or median</w:t>
      </w:r>
      <w:r w:rsidR="00190056">
        <w:rPr>
          <w:rFonts w:ascii="Times New Roman" w:eastAsia="Calibri" w:hAnsi="Times New Roman" w:cs="Times New Roman"/>
          <w:sz w:val="24"/>
          <w:szCs w:val="24"/>
        </w:rPr>
        <w:t xml:space="preserve"> with range</w:t>
      </w:r>
      <w:r w:rsidR="0044795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Cross tabulation for showing </w:t>
      </w:r>
      <w:r w:rsidR="00447953" w:rsidRPr="00447953">
        <w:rPr>
          <w:rFonts w:ascii="Times New Roman" w:eastAsia="Calibri" w:hAnsi="Times New Roman" w:cs="Times New Roman"/>
          <w:sz w:val="24"/>
          <w:szCs w:val="24"/>
        </w:rPr>
        <w:t>factors associated with successful responses after ganglion impar block</w:t>
      </w:r>
      <w:r>
        <w:rPr>
          <w:rFonts w:ascii="Times New Roman" w:eastAsia="Calibri" w:hAnsi="Times New Roman" w:cs="Times New Roman"/>
          <w:sz w:val="24"/>
          <w:szCs w:val="24"/>
        </w:rPr>
        <w:t xml:space="preserve"> using Pearson chi-square test for significance and exact probability test if there were small frequency distributions. </w:t>
      </w:r>
    </w:p>
    <w:p w:rsidR="00850291" w:rsidRPr="00BF6C65" w:rsidRDefault="00377206" w:rsidP="00377206">
      <w:pPr>
        <w:bidi w:val="0"/>
        <w:spacing w:line="480" w:lineRule="auto"/>
        <w:jc w:val="both"/>
        <w:rPr>
          <w:rFonts w:asciiTheme="majorBidi" w:hAnsiTheme="majorBidi" w:cstheme="majorBidi"/>
          <w:b/>
          <w:bCs/>
          <w:sz w:val="24"/>
          <w:szCs w:val="24"/>
        </w:rPr>
      </w:pPr>
      <w:r w:rsidRPr="00BF6C65">
        <w:rPr>
          <w:rFonts w:asciiTheme="majorBidi" w:hAnsiTheme="majorBidi" w:cstheme="majorBidi"/>
          <w:b/>
          <w:bCs/>
          <w:sz w:val="24"/>
          <w:szCs w:val="24"/>
        </w:rPr>
        <w:t xml:space="preserve"> </w:t>
      </w:r>
      <w:r w:rsidR="00E00766" w:rsidRPr="00BF6C65">
        <w:rPr>
          <w:rFonts w:asciiTheme="majorBidi" w:hAnsiTheme="majorBidi" w:cstheme="majorBidi"/>
          <w:b/>
          <w:bCs/>
          <w:sz w:val="24"/>
          <w:szCs w:val="24"/>
        </w:rPr>
        <w:t>Results</w:t>
      </w:r>
    </w:p>
    <w:p w:rsidR="00E00766" w:rsidRDefault="00E00766" w:rsidP="00BF6C65">
      <w:pPr>
        <w:bidi w:val="0"/>
        <w:spacing w:line="480" w:lineRule="auto"/>
        <w:jc w:val="both"/>
        <w:rPr>
          <w:rFonts w:asciiTheme="majorBidi" w:hAnsiTheme="majorBidi" w:cstheme="majorBidi"/>
          <w:sz w:val="24"/>
          <w:szCs w:val="24"/>
        </w:rPr>
      </w:pPr>
      <w:r w:rsidRPr="00BF6C65">
        <w:rPr>
          <w:rFonts w:asciiTheme="majorBidi" w:hAnsiTheme="majorBidi" w:cstheme="majorBidi"/>
          <w:sz w:val="24"/>
          <w:szCs w:val="24"/>
        </w:rPr>
        <w:t xml:space="preserve">A total of 28 patients fulfilling the inclusion criteria were included. </w:t>
      </w:r>
      <w:r w:rsidR="00BF6C65">
        <w:rPr>
          <w:rFonts w:asciiTheme="majorBidi" w:hAnsiTheme="majorBidi" w:cstheme="majorBidi"/>
          <w:sz w:val="24"/>
          <w:szCs w:val="24"/>
        </w:rPr>
        <w:t>Patients'</w:t>
      </w:r>
      <w:r w:rsidRPr="00BF6C65">
        <w:rPr>
          <w:rFonts w:asciiTheme="majorBidi" w:hAnsiTheme="majorBidi" w:cstheme="majorBidi"/>
          <w:sz w:val="24"/>
          <w:szCs w:val="24"/>
        </w:rPr>
        <w:t xml:space="preserve"> ages ranged from 21 to 61 years with a mean age of 43.7 ± 11.3 years old. A total of 19 (67.9%) patients </w:t>
      </w:r>
      <w:r w:rsidRPr="00BF6C65">
        <w:rPr>
          <w:rFonts w:asciiTheme="majorBidi" w:hAnsiTheme="majorBidi" w:cstheme="majorBidi"/>
          <w:sz w:val="24"/>
          <w:szCs w:val="24"/>
        </w:rPr>
        <w:lastRenderedPageBreak/>
        <w:t xml:space="preserve">were females. As for </w:t>
      </w:r>
      <w:r w:rsidR="00BF6C65" w:rsidRPr="00BF6C65">
        <w:rPr>
          <w:rFonts w:asciiTheme="majorBidi" w:hAnsiTheme="majorBidi" w:cstheme="majorBidi"/>
          <w:sz w:val="24"/>
          <w:szCs w:val="24"/>
        </w:rPr>
        <w:t>patients'</w:t>
      </w:r>
      <w:r w:rsidRPr="00BF6C65">
        <w:rPr>
          <w:rFonts w:asciiTheme="majorBidi" w:hAnsiTheme="majorBidi" w:cstheme="majorBidi"/>
          <w:sz w:val="24"/>
          <w:szCs w:val="24"/>
        </w:rPr>
        <w:t xml:space="preserve"> body mass index, 16 (57.1%) were obese, 10 (35.7%) </w:t>
      </w:r>
      <w:r w:rsidR="00B70D9F">
        <w:rPr>
          <w:rFonts w:asciiTheme="majorBidi" w:hAnsiTheme="majorBidi" w:cstheme="majorBidi"/>
          <w:sz w:val="24"/>
          <w:szCs w:val="24"/>
        </w:rPr>
        <w:t>were</w:t>
      </w:r>
      <w:r w:rsidRPr="00BF6C65">
        <w:rPr>
          <w:rFonts w:asciiTheme="majorBidi" w:hAnsiTheme="majorBidi" w:cstheme="majorBidi"/>
          <w:sz w:val="24"/>
          <w:szCs w:val="24"/>
        </w:rPr>
        <w:t xml:space="preserve"> overweight</w:t>
      </w:r>
      <w:r w:rsidR="00BF6C65">
        <w:rPr>
          <w:rFonts w:asciiTheme="majorBidi" w:hAnsiTheme="majorBidi" w:cstheme="majorBidi"/>
          <w:sz w:val="24"/>
          <w:szCs w:val="24"/>
        </w:rPr>
        <w:t>,</w:t>
      </w:r>
      <w:r w:rsidRPr="00BF6C65">
        <w:rPr>
          <w:rFonts w:asciiTheme="majorBidi" w:hAnsiTheme="majorBidi" w:cstheme="majorBidi"/>
          <w:sz w:val="24"/>
          <w:szCs w:val="24"/>
        </w:rPr>
        <w:t xml:space="preserve"> and only 2 (7.1%) had </w:t>
      </w:r>
      <w:r w:rsidR="00BF6C65">
        <w:rPr>
          <w:rFonts w:asciiTheme="majorBidi" w:hAnsiTheme="majorBidi" w:cstheme="majorBidi"/>
          <w:sz w:val="24"/>
          <w:szCs w:val="24"/>
        </w:rPr>
        <w:t>normal</w:t>
      </w:r>
      <w:r w:rsidRPr="00BF6C65">
        <w:rPr>
          <w:rFonts w:asciiTheme="majorBidi" w:hAnsiTheme="majorBidi" w:cstheme="majorBidi"/>
          <w:sz w:val="24"/>
          <w:szCs w:val="24"/>
        </w:rPr>
        <w:t xml:space="preserve"> weight (Table 1)</w:t>
      </w:r>
    </w:p>
    <w:p w:rsidR="0034199D" w:rsidRDefault="0034199D" w:rsidP="0034199D">
      <w:pPr>
        <w:bidi w:val="0"/>
        <w:spacing w:line="480" w:lineRule="auto"/>
        <w:jc w:val="both"/>
        <w:rPr>
          <w:rFonts w:asciiTheme="majorBidi" w:hAnsiTheme="majorBidi" w:cstheme="majorBidi"/>
          <w:sz w:val="24"/>
          <w:szCs w:val="24"/>
        </w:rPr>
      </w:pPr>
      <w:r w:rsidRPr="0034199D">
        <w:rPr>
          <w:rFonts w:asciiTheme="majorBidi" w:hAnsiTheme="majorBidi" w:cstheme="majorBidi"/>
          <w:sz w:val="24"/>
          <w:szCs w:val="24"/>
        </w:rPr>
        <w:t>Figure 1. Medical and surgical history of study patients with chronic coccygodynia underwent ganglion impar block</w:t>
      </w:r>
      <w:r>
        <w:rPr>
          <w:rFonts w:asciiTheme="majorBidi" w:hAnsiTheme="majorBidi" w:cstheme="majorBidi"/>
          <w:sz w:val="24"/>
          <w:szCs w:val="24"/>
        </w:rPr>
        <w:t xml:space="preserve">. As for medical history, 32.1% of the included </w:t>
      </w:r>
      <w:r w:rsidR="002079FA">
        <w:rPr>
          <w:rFonts w:asciiTheme="majorBidi" w:hAnsiTheme="majorBidi" w:cstheme="majorBidi"/>
          <w:sz w:val="24"/>
          <w:szCs w:val="24"/>
        </w:rPr>
        <w:t>patients</w:t>
      </w:r>
      <w:r>
        <w:rPr>
          <w:rFonts w:asciiTheme="majorBidi" w:hAnsiTheme="majorBidi" w:cstheme="majorBidi"/>
          <w:sz w:val="24"/>
          <w:szCs w:val="24"/>
        </w:rPr>
        <w:t xml:space="preserve"> with </w:t>
      </w:r>
      <w:r w:rsidRPr="0034199D">
        <w:rPr>
          <w:rFonts w:asciiTheme="majorBidi" w:hAnsiTheme="majorBidi" w:cstheme="majorBidi"/>
          <w:sz w:val="24"/>
          <w:szCs w:val="24"/>
        </w:rPr>
        <w:t>chronic coccygodynia</w:t>
      </w:r>
      <w:r>
        <w:rPr>
          <w:rFonts w:asciiTheme="majorBidi" w:hAnsiTheme="majorBidi" w:cstheme="majorBidi"/>
          <w:sz w:val="24"/>
          <w:szCs w:val="24"/>
        </w:rPr>
        <w:t xml:space="preserve"> were diabetic, 25% complained of dyslipidemia, 21.4% were </w:t>
      </w:r>
      <w:r w:rsidR="002079FA">
        <w:rPr>
          <w:rFonts w:asciiTheme="majorBidi" w:hAnsiTheme="majorBidi" w:cstheme="majorBidi"/>
          <w:sz w:val="24"/>
          <w:szCs w:val="24"/>
        </w:rPr>
        <w:t>hypertensive</w:t>
      </w:r>
      <w:r>
        <w:rPr>
          <w:rFonts w:asciiTheme="majorBidi" w:hAnsiTheme="majorBidi" w:cstheme="majorBidi"/>
          <w:sz w:val="24"/>
          <w:szCs w:val="24"/>
        </w:rPr>
        <w:t xml:space="preserve">, 14.3% had hypothyroidism and 10.7% complained of sleep apnea while 7.1% experienced </w:t>
      </w:r>
      <w:r w:rsidR="002079FA">
        <w:rPr>
          <w:rFonts w:asciiTheme="majorBidi" w:hAnsiTheme="majorBidi" w:cstheme="majorBidi"/>
          <w:sz w:val="24"/>
          <w:szCs w:val="24"/>
        </w:rPr>
        <w:t>depression</w:t>
      </w:r>
      <w:r>
        <w:rPr>
          <w:rFonts w:asciiTheme="majorBidi" w:hAnsiTheme="majorBidi" w:cstheme="majorBidi"/>
          <w:sz w:val="24"/>
          <w:szCs w:val="24"/>
        </w:rPr>
        <w:t xml:space="preserve">. Trauma was reported among 17.9% and 25% </w:t>
      </w:r>
      <w:r w:rsidR="002079FA">
        <w:rPr>
          <w:rFonts w:asciiTheme="majorBidi" w:hAnsiTheme="majorBidi" w:cstheme="majorBidi"/>
          <w:sz w:val="24"/>
          <w:szCs w:val="24"/>
        </w:rPr>
        <w:t xml:space="preserve">had </w:t>
      </w:r>
      <w:r>
        <w:rPr>
          <w:rFonts w:asciiTheme="majorBidi" w:hAnsiTheme="majorBidi" w:cstheme="majorBidi"/>
          <w:sz w:val="24"/>
          <w:szCs w:val="24"/>
        </w:rPr>
        <w:t>undergone previous surgery</w:t>
      </w:r>
      <w:r w:rsidR="00052622">
        <w:rPr>
          <w:rFonts w:asciiTheme="majorBidi" w:hAnsiTheme="majorBidi" w:cstheme="majorBidi"/>
          <w:sz w:val="24"/>
          <w:szCs w:val="24"/>
        </w:rPr>
        <w:t xml:space="preserve"> (mainly </w:t>
      </w:r>
      <w:r w:rsidR="006F1997">
        <w:rPr>
          <w:rFonts w:asciiTheme="majorBidi" w:hAnsiTheme="majorBidi" w:cstheme="majorBidi"/>
          <w:sz w:val="24"/>
          <w:szCs w:val="24"/>
        </w:rPr>
        <w:t>bariatric</w:t>
      </w:r>
      <w:r w:rsidR="00052622">
        <w:rPr>
          <w:rFonts w:asciiTheme="majorBidi" w:hAnsiTheme="majorBidi" w:cstheme="majorBidi"/>
          <w:sz w:val="24"/>
          <w:szCs w:val="24"/>
        </w:rPr>
        <w:t xml:space="preserve"> surgery and two of them </w:t>
      </w:r>
      <w:r w:rsidR="006F1997">
        <w:rPr>
          <w:rFonts w:asciiTheme="majorBidi" w:hAnsiTheme="majorBidi" w:cstheme="majorBidi"/>
          <w:sz w:val="24"/>
          <w:szCs w:val="24"/>
        </w:rPr>
        <w:t xml:space="preserve">had </w:t>
      </w:r>
      <w:r w:rsidR="00052622">
        <w:rPr>
          <w:rFonts w:asciiTheme="majorBidi" w:hAnsiTheme="majorBidi" w:cstheme="majorBidi"/>
          <w:sz w:val="24"/>
          <w:szCs w:val="24"/>
        </w:rPr>
        <w:t>undergone spinal surgery).</w:t>
      </w:r>
    </w:p>
    <w:p w:rsidR="00806A88" w:rsidRDefault="00806A88" w:rsidP="00806A88">
      <w:pPr>
        <w:bidi w:val="0"/>
        <w:spacing w:line="480" w:lineRule="auto"/>
        <w:jc w:val="both"/>
        <w:rPr>
          <w:rFonts w:asciiTheme="majorBidi" w:hAnsiTheme="majorBidi" w:cstheme="majorBidi"/>
          <w:sz w:val="24"/>
          <w:szCs w:val="24"/>
        </w:rPr>
      </w:pPr>
      <w:r w:rsidRPr="00806A88">
        <w:rPr>
          <w:rFonts w:asciiTheme="majorBidi" w:hAnsiTheme="majorBidi" w:cstheme="majorBidi"/>
          <w:sz w:val="24"/>
          <w:szCs w:val="24"/>
        </w:rPr>
        <w:t>Table 2. Chronic coccygodynia features, site</w:t>
      </w:r>
      <w:r>
        <w:rPr>
          <w:rFonts w:asciiTheme="majorBidi" w:hAnsiTheme="majorBidi" w:cstheme="majorBidi"/>
          <w:sz w:val="24"/>
          <w:szCs w:val="24"/>
        </w:rPr>
        <w:t>,</w:t>
      </w:r>
      <w:r w:rsidRPr="00806A88">
        <w:rPr>
          <w:rFonts w:asciiTheme="majorBidi" w:hAnsiTheme="majorBidi" w:cstheme="majorBidi"/>
          <w:sz w:val="24"/>
          <w:szCs w:val="24"/>
        </w:rPr>
        <w:t xml:space="preserve"> and aggravating factors among study patients</w:t>
      </w:r>
      <w:r>
        <w:rPr>
          <w:rFonts w:asciiTheme="majorBidi" w:hAnsiTheme="majorBidi" w:cstheme="majorBidi"/>
          <w:sz w:val="24"/>
          <w:szCs w:val="24"/>
        </w:rPr>
        <w:t xml:space="preserve">. A total of 11 (39.3%) of the patients had type 4 </w:t>
      </w:r>
      <w:r w:rsidRPr="003E6871">
        <w:rPr>
          <w:rFonts w:asciiTheme="majorBidi" w:hAnsiTheme="majorBidi" w:cstheme="majorBidi"/>
          <w:sz w:val="24"/>
          <w:szCs w:val="24"/>
        </w:rPr>
        <w:t>coccyx</w:t>
      </w:r>
      <w:r w:rsidRPr="00806A88">
        <w:rPr>
          <w:rFonts w:asciiTheme="majorBidi" w:hAnsiTheme="majorBidi" w:cstheme="majorBidi"/>
          <w:sz w:val="24"/>
          <w:szCs w:val="24"/>
        </w:rPr>
        <w:t xml:space="preserve">, 6 (21.4%) had type 3, and 5 (17.9%) had type 2 </w:t>
      </w:r>
      <w:r w:rsidRPr="003E6871">
        <w:rPr>
          <w:rFonts w:asciiTheme="majorBidi" w:hAnsiTheme="majorBidi" w:cstheme="majorBidi"/>
          <w:sz w:val="24"/>
          <w:szCs w:val="24"/>
        </w:rPr>
        <w:t>coccyx</w:t>
      </w:r>
      <w:r w:rsidRPr="00806A88">
        <w:rPr>
          <w:rFonts w:asciiTheme="majorBidi" w:hAnsiTheme="majorBidi" w:cstheme="majorBidi"/>
          <w:sz w:val="24"/>
          <w:szCs w:val="24"/>
        </w:rPr>
        <w:t xml:space="preserve">. </w:t>
      </w:r>
      <w:r w:rsidR="00FF1857">
        <w:rPr>
          <w:rFonts w:asciiTheme="majorBidi" w:hAnsiTheme="majorBidi" w:cstheme="majorBidi"/>
          <w:sz w:val="24"/>
          <w:szCs w:val="24"/>
        </w:rPr>
        <w:t xml:space="preserve">Most of the cases (85.7%; 24) complained of </w:t>
      </w:r>
      <w:r w:rsidR="00FF1857" w:rsidRPr="003E6871">
        <w:rPr>
          <w:rFonts w:asciiTheme="majorBidi" w:hAnsiTheme="majorBidi" w:cstheme="majorBidi"/>
          <w:sz w:val="24"/>
          <w:szCs w:val="24"/>
        </w:rPr>
        <w:t>Coccyx</w:t>
      </w:r>
      <w:r w:rsidR="00FF1857" w:rsidRPr="00F50A0F">
        <w:rPr>
          <w:rFonts w:asciiTheme="majorBidi" w:hAnsiTheme="majorBidi" w:cstheme="majorBidi"/>
          <w:sz w:val="24"/>
          <w:szCs w:val="24"/>
        </w:rPr>
        <w:t xml:space="preserve"> and only 4 (14.3%) complained of peri-anal pain. </w:t>
      </w:r>
      <w:r w:rsidR="00801CA8">
        <w:rPr>
          <w:rFonts w:asciiTheme="majorBidi" w:hAnsiTheme="majorBidi" w:cstheme="majorBidi"/>
          <w:sz w:val="24"/>
          <w:szCs w:val="24"/>
        </w:rPr>
        <w:t>The pain</w:t>
      </w:r>
      <w:r w:rsidR="00F50A0F" w:rsidRPr="00F50A0F">
        <w:rPr>
          <w:rFonts w:asciiTheme="majorBidi" w:hAnsiTheme="majorBidi" w:cstheme="majorBidi"/>
          <w:sz w:val="24"/>
          <w:szCs w:val="24"/>
        </w:rPr>
        <w:t xml:space="preserve"> was </w:t>
      </w:r>
      <w:r w:rsidR="00F50A0F">
        <w:rPr>
          <w:rFonts w:asciiTheme="majorBidi" w:hAnsiTheme="majorBidi" w:cstheme="majorBidi"/>
          <w:sz w:val="24"/>
          <w:szCs w:val="24"/>
        </w:rPr>
        <w:t>aggravated</w:t>
      </w:r>
      <w:r w:rsidR="00F50A0F" w:rsidRPr="00F50A0F">
        <w:rPr>
          <w:rFonts w:asciiTheme="majorBidi" w:hAnsiTheme="majorBidi" w:cstheme="majorBidi"/>
          <w:sz w:val="24"/>
          <w:szCs w:val="24"/>
        </w:rPr>
        <w:t xml:space="preserve"> by long </w:t>
      </w:r>
      <w:r w:rsidR="00801CA8">
        <w:rPr>
          <w:rFonts w:asciiTheme="majorBidi" w:hAnsiTheme="majorBidi" w:cstheme="majorBidi"/>
          <w:sz w:val="24"/>
          <w:szCs w:val="24"/>
        </w:rPr>
        <w:t>settings</w:t>
      </w:r>
      <w:r w:rsidR="00F50A0F" w:rsidRPr="00F50A0F">
        <w:rPr>
          <w:rFonts w:asciiTheme="majorBidi" w:hAnsiTheme="majorBidi" w:cstheme="majorBidi"/>
          <w:sz w:val="24"/>
          <w:szCs w:val="24"/>
        </w:rPr>
        <w:t xml:space="preserve"> among all cases and </w:t>
      </w:r>
      <w:r w:rsidR="00801CA8">
        <w:rPr>
          <w:rFonts w:asciiTheme="majorBidi" w:hAnsiTheme="majorBidi" w:cstheme="majorBidi"/>
          <w:sz w:val="24"/>
          <w:szCs w:val="24"/>
        </w:rPr>
        <w:t xml:space="preserve">the </w:t>
      </w:r>
      <w:r w:rsidR="00F50A0F" w:rsidRPr="00F50A0F">
        <w:rPr>
          <w:rFonts w:asciiTheme="majorBidi" w:hAnsiTheme="majorBidi" w:cstheme="majorBidi"/>
          <w:sz w:val="24"/>
          <w:szCs w:val="24"/>
        </w:rPr>
        <w:t xml:space="preserve">vast majority of them (89.3%; 25) showed </w:t>
      </w:r>
      <w:r w:rsidR="00801CA8">
        <w:rPr>
          <w:rFonts w:asciiTheme="majorBidi" w:hAnsiTheme="majorBidi" w:cstheme="majorBidi"/>
          <w:sz w:val="24"/>
          <w:szCs w:val="24"/>
        </w:rPr>
        <w:t>relief</w:t>
      </w:r>
      <w:r w:rsidR="00F50A0F" w:rsidRPr="00F50A0F">
        <w:rPr>
          <w:rFonts w:asciiTheme="majorBidi" w:hAnsiTheme="majorBidi" w:cstheme="majorBidi"/>
          <w:sz w:val="24"/>
          <w:szCs w:val="24"/>
        </w:rPr>
        <w:t xml:space="preserve"> with </w:t>
      </w:r>
      <w:r w:rsidR="00F50A0F" w:rsidRPr="003E6871">
        <w:rPr>
          <w:rFonts w:asciiTheme="majorBidi" w:hAnsiTheme="majorBidi" w:cstheme="majorBidi"/>
          <w:sz w:val="24"/>
          <w:szCs w:val="24"/>
        </w:rPr>
        <w:t xml:space="preserve">Simple </w:t>
      </w:r>
      <w:r w:rsidR="00F50A0F" w:rsidRPr="00F50A0F">
        <w:rPr>
          <w:rFonts w:asciiTheme="majorBidi" w:hAnsiTheme="majorBidi" w:cstheme="majorBidi"/>
          <w:sz w:val="24"/>
          <w:szCs w:val="24"/>
        </w:rPr>
        <w:t>non-opioid</w:t>
      </w:r>
      <w:r w:rsidR="00F50A0F" w:rsidRPr="003E6871">
        <w:rPr>
          <w:rFonts w:asciiTheme="majorBidi" w:hAnsiTheme="majorBidi" w:cstheme="majorBidi"/>
          <w:sz w:val="24"/>
          <w:szCs w:val="24"/>
        </w:rPr>
        <w:t xml:space="preserve"> analgesic</w:t>
      </w:r>
      <w:r w:rsidR="00F50A0F" w:rsidRPr="00F50A0F">
        <w:rPr>
          <w:rFonts w:asciiTheme="majorBidi" w:hAnsiTheme="majorBidi" w:cstheme="majorBidi"/>
          <w:sz w:val="24"/>
          <w:szCs w:val="24"/>
        </w:rPr>
        <w:t xml:space="preserve"> while </w:t>
      </w:r>
      <w:r w:rsidR="003F78EB">
        <w:rPr>
          <w:rFonts w:asciiTheme="majorBidi" w:hAnsiTheme="majorBidi" w:cstheme="majorBidi"/>
          <w:sz w:val="24"/>
          <w:szCs w:val="24"/>
        </w:rPr>
        <w:t xml:space="preserve">the </w:t>
      </w:r>
      <w:r w:rsidR="00F50A0F" w:rsidRPr="00F50A0F">
        <w:rPr>
          <w:rFonts w:asciiTheme="majorBidi" w:hAnsiTheme="majorBidi" w:cstheme="majorBidi"/>
          <w:sz w:val="24"/>
          <w:szCs w:val="24"/>
        </w:rPr>
        <w:t xml:space="preserve">other 3 cases needed </w:t>
      </w:r>
      <w:r w:rsidR="00F50A0F" w:rsidRPr="003E6871">
        <w:rPr>
          <w:rFonts w:asciiTheme="majorBidi" w:hAnsiTheme="majorBidi" w:cstheme="majorBidi"/>
          <w:sz w:val="24"/>
          <w:szCs w:val="24"/>
        </w:rPr>
        <w:t>Pregabline</w:t>
      </w:r>
      <w:r w:rsidR="00F50A0F" w:rsidRPr="00F50A0F">
        <w:rPr>
          <w:rFonts w:asciiTheme="majorBidi" w:hAnsiTheme="majorBidi" w:cstheme="majorBidi"/>
          <w:sz w:val="24"/>
          <w:szCs w:val="24"/>
        </w:rPr>
        <w:t xml:space="preserve"> and or </w:t>
      </w:r>
      <w:r w:rsidR="00F50A0F" w:rsidRPr="003E6871">
        <w:rPr>
          <w:rFonts w:asciiTheme="majorBidi" w:hAnsiTheme="majorBidi" w:cstheme="majorBidi"/>
          <w:sz w:val="24"/>
          <w:szCs w:val="24"/>
        </w:rPr>
        <w:t>Amiytrptline</w:t>
      </w:r>
      <w:r w:rsidR="00F50A0F" w:rsidRPr="00F50A0F">
        <w:rPr>
          <w:rFonts w:asciiTheme="majorBidi" w:hAnsiTheme="majorBidi" w:cstheme="majorBidi"/>
          <w:sz w:val="24"/>
          <w:szCs w:val="24"/>
        </w:rPr>
        <w:t xml:space="preserve">. </w:t>
      </w:r>
      <w:r w:rsidR="00F50A0F">
        <w:rPr>
          <w:rFonts w:asciiTheme="majorBidi" w:hAnsiTheme="majorBidi" w:cstheme="majorBidi"/>
          <w:sz w:val="24"/>
          <w:szCs w:val="24"/>
        </w:rPr>
        <w:t>The most reported radiological findings (</w:t>
      </w:r>
      <w:r w:rsidR="00C47F0C">
        <w:rPr>
          <w:rFonts w:asciiTheme="majorBidi" w:hAnsiTheme="majorBidi" w:cstheme="majorBidi"/>
          <w:sz w:val="24"/>
          <w:szCs w:val="24"/>
        </w:rPr>
        <w:t>X-ray</w:t>
      </w:r>
      <w:r w:rsidR="00F50A0F">
        <w:rPr>
          <w:rFonts w:asciiTheme="majorBidi" w:hAnsiTheme="majorBidi" w:cstheme="majorBidi"/>
          <w:sz w:val="24"/>
          <w:szCs w:val="24"/>
        </w:rPr>
        <w:t xml:space="preserve"> or MRI) included </w:t>
      </w:r>
      <w:r w:rsidR="00E5780B">
        <w:rPr>
          <w:rFonts w:asciiTheme="majorBidi" w:hAnsiTheme="majorBidi" w:cstheme="majorBidi"/>
          <w:sz w:val="24"/>
          <w:szCs w:val="24"/>
        </w:rPr>
        <w:t xml:space="preserve">mild </w:t>
      </w:r>
      <w:r w:rsidR="001304F6" w:rsidRPr="001304F6">
        <w:rPr>
          <w:rFonts w:asciiTheme="majorBidi" w:hAnsiTheme="majorBidi" w:cstheme="majorBidi"/>
          <w:sz w:val="24"/>
          <w:szCs w:val="24"/>
        </w:rPr>
        <w:t>d</w:t>
      </w:r>
      <w:r w:rsidR="00F50A0F" w:rsidRPr="001304F6">
        <w:rPr>
          <w:rFonts w:asciiTheme="majorBidi" w:hAnsiTheme="majorBidi" w:cstheme="majorBidi"/>
          <w:sz w:val="24"/>
          <w:szCs w:val="24"/>
        </w:rPr>
        <w:t>egenerative</w:t>
      </w:r>
      <w:r w:rsidR="00F50A0F" w:rsidRPr="003E6871">
        <w:rPr>
          <w:rFonts w:asciiTheme="majorBidi" w:hAnsiTheme="majorBidi" w:cstheme="majorBidi"/>
          <w:sz w:val="24"/>
          <w:szCs w:val="24"/>
        </w:rPr>
        <w:t xml:space="preserve"> changes</w:t>
      </w:r>
      <w:r w:rsidR="00F50A0F" w:rsidRPr="001304F6">
        <w:rPr>
          <w:rFonts w:asciiTheme="majorBidi" w:hAnsiTheme="majorBidi" w:cstheme="majorBidi"/>
          <w:sz w:val="24"/>
          <w:szCs w:val="24"/>
        </w:rPr>
        <w:t xml:space="preserve"> alone (64.3%), </w:t>
      </w:r>
      <w:r w:rsidR="00E5780B">
        <w:rPr>
          <w:rFonts w:asciiTheme="majorBidi" w:hAnsiTheme="majorBidi" w:cstheme="majorBidi"/>
          <w:sz w:val="24"/>
          <w:szCs w:val="24"/>
        </w:rPr>
        <w:t xml:space="preserve">Moderate </w:t>
      </w:r>
      <w:r w:rsidR="001304F6" w:rsidRPr="001304F6">
        <w:rPr>
          <w:rFonts w:asciiTheme="majorBidi" w:hAnsiTheme="majorBidi" w:cstheme="majorBidi"/>
          <w:sz w:val="24"/>
          <w:szCs w:val="24"/>
        </w:rPr>
        <w:t>d</w:t>
      </w:r>
      <w:r w:rsidR="00F50A0F" w:rsidRPr="001304F6">
        <w:rPr>
          <w:rFonts w:asciiTheme="majorBidi" w:hAnsiTheme="majorBidi" w:cstheme="majorBidi"/>
          <w:sz w:val="24"/>
          <w:szCs w:val="24"/>
        </w:rPr>
        <w:t>egenerative</w:t>
      </w:r>
      <w:r w:rsidR="00F50A0F" w:rsidRPr="003E6871">
        <w:rPr>
          <w:rFonts w:asciiTheme="majorBidi" w:hAnsiTheme="majorBidi" w:cstheme="majorBidi"/>
          <w:sz w:val="24"/>
          <w:szCs w:val="24"/>
        </w:rPr>
        <w:t xml:space="preserve"> changes+ </w:t>
      </w:r>
      <w:r w:rsidR="001304F6" w:rsidRPr="001304F6">
        <w:rPr>
          <w:rFonts w:asciiTheme="majorBidi" w:hAnsiTheme="majorBidi" w:cstheme="majorBidi"/>
          <w:sz w:val="24"/>
          <w:szCs w:val="24"/>
        </w:rPr>
        <w:t>s</w:t>
      </w:r>
      <w:r w:rsidR="00F50A0F" w:rsidRPr="001304F6">
        <w:rPr>
          <w:rFonts w:asciiTheme="majorBidi" w:hAnsiTheme="majorBidi" w:cstheme="majorBidi"/>
          <w:sz w:val="24"/>
          <w:szCs w:val="24"/>
        </w:rPr>
        <w:t xml:space="preserve">ubluxation (17.9%), </w:t>
      </w:r>
      <w:r w:rsidR="00E5780B">
        <w:rPr>
          <w:rFonts w:asciiTheme="majorBidi" w:hAnsiTheme="majorBidi" w:cstheme="majorBidi"/>
          <w:sz w:val="24"/>
          <w:szCs w:val="24"/>
        </w:rPr>
        <w:t xml:space="preserve">severe </w:t>
      </w:r>
      <w:r w:rsidR="001304F6" w:rsidRPr="001304F6">
        <w:rPr>
          <w:rFonts w:asciiTheme="majorBidi" w:hAnsiTheme="majorBidi" w:cstheme="majorBidi"/>
          <w:sz w:val="24"/>
          <w:szCs w:val="24"/>
        </w:rPr>
        <w:t>d</w:t>
      </w:r>
      <w:r w:rsidR="00F50A0F" w:rsidRPr="003E6871">
        <w:rPr>
          <w:rFonts w:asciiTheme="majorBidi" w:hAnsiTheme="majorBidi" w:cstheme="majorBidi"/>
          <w:sz w:val="24"/>
          <w:szCs w:val="24"/>
        </w:rPr>
        <w:t>isc</w:t>
      </w:r>
      <w:r w:rsidR="00E5780B">
        <w:rPr>
          <w:rFonts w:asciiTheme="majorBidi" w:hAnsiTheme="majorBidi" w:cstheme="majorBidi"/>
          <w:sz w:val="24"/>
          <w:szCs w:val="24"/>
        </w:rPr>
        <w:t xml:space="preserve"> degenerative disease</w:t>
      </w:r>
      <w:r w:rsidR="00F50A0F" w:rsidRPr="001304F6">
        <w:rPr>
          <w:rFonts w:asciiTheme="majorBidi" w:hAnsiTheme="majorBidi" w:cstheme="majorBidi"/>
          <w:sz w:val="24"/>
          <w:szCs w:val="24"/>
        </w:rPr>
        <w:t xml:space="preserve"> (7.1%)</w:t>
      </w:r>
      <w:r w:rsidR="003F78EB">
        <w:rPr>
          <w:rFonts w:asciiTheme="majorBidi" w:hAnsiTheme="majorBidi" w:cstheme="majorBidi"/>
          <w:sz w:val="24"/>
          <w:szCs w:val="24"/>
        </w:rPr>
        <w:t>,</w:t>
      </w:r>
      <w:r w:rsidR="00F50A0F" w:rsidRPr="001304F6">
        <w:rPr>
          <w:rFonts w:asciiTheme="majorBidi" w:hAnsiTheme="majorBidi" w:cstheme="majorBidi"/>
          <w:sz w:val="24"/>
          <w:szCs w:val="24"/>
        </w:rPr>
        <w:t xml:space="preserve"> and</w:t>
      </w:r>
      <w:r w:rsidR="001304F6">
        <w:rPr>
          <w:rFonts w:asciiTheme="majorBidi" w:hAnsiTheme="majorBidi" w:cstheme="majorBidi"/>
          <w:sz w:val="24"/>
          <w:szCs w:val="24"/>
        </w:rPr>
        <w:t xml:space="preserve"> </w:t>
      </w:r>
      <w:r w:rsidR="003F78EB">
        <w:rPr>
          <w:rFonts w:asciiTheme="majorBidi" w:hAnsiTheme="majorBidi" w:cstheme="majorBidi"/>
          <w:sz w:val="24"/>
          <w:szCs w:val="24"/>
        </w:rPr>
        <w:t xml:space="preserve">one </w:t>
      </w:r>
      <w:r w:rsidR="00F50A0F" w:rsidRPr="001304F6">
        <w:rPr>
          <w:rFonts w:asciiTheme="majorBidi" w:hAnsiTheme="majorBidi" w:cstheme="majorBidi"/>
          <w:sz w:val="24"/>
          <w:szCs w:val="24"/>
        </w:rPr>
        <w:t xml:space="preserve">case showed </w:t>
      </w:r>
      <w:r w:rsidR="001304F6" w:rsidRPr="001304F6">
        <w:rPr>
          <w:rFonts w:asciiTheme="majorBidi" w:hAnsiTheme="majorBidi" w:cstheme="majorBidi"/>
          <w:sz w:val="24"/>
          <w:szCs w:val="24"/>
        </w:rPr>
        <w:t>o</w:t>
      </w:r>
      <w:r w:rsidR="00F50A0F" w:rsidRPr="003E6871">
        <w:rPr>
          <w:rFonts w:asciiTheme="majorBidi" w:hAnsiTheme="majorBidi" w:cstheme="majorBidi"/>
          <w:sz w:val="24"/>
          <w:szCs w:val="24"/>
        </w:rPr>
        <w:t>steonecrosis</w:t>
      </w:r>
      <w:r w:rsidR="00F50A0F" w:rsidRPr="001304F6">
        <w:rPr>
          <w:rFonts w:asciiTheme="majorBidi" w:hAnsiTheme="majorBidi" w:cstheme="majorBidi"/>
          <w:sz w:val="24"/>
          <w:szCs w:val="24"/>
        </w:rPr>
        <w:t xml:space="preserve"> and 1 </w:t>
      </w:r>
      <w:r w:rsidR="001304F6">
        <w:rPr>
          <w:rFonts w:asciiTheme="majorBidi" w:hAnsiTheme="majorBidi" w:cstheme="majorBidi"/>
          <w:sz w:val="24"/>
          <w:szCs w:val="24"/>
        </w:rPr>
        <w:t>case</w:t>
      </w:r>
      <w:r w:rsidR="00F50A0F" w:rsidRPr="001304F6">
        <w:rPr>
          <w:rFonts w:asciiTheme="majorBidi" w:hAnsiTheme="majorBidi" w:cstheme="majorBidi"/>
          <w:sz w:val="24"/>
          <w:szCs w:val="24"/>
        </w:rPr>
        <w:t xml:space="preserve"> had </w:t>
      </w:r>
      <w:r w:rsidR="003F78EB">
        <w:rPr>
          <w:rFonts w:asciiTheme="majorBidi" w:hAnsiTheme="majorBidi" w:cstheme="majorBidi"/>
          <w:sz w:val="24"/>
          <w:szCs w:val="24"/>
        </w:rPr>
        <w:t xml:space="preserve">an </w:t>
      </w:r>
      <w:r w:rsidR="001304F6" w:rsidRPr="001304F6">
        <w:rPr>
          <w:rFonts w:asciiTheme="majorBidi" w:hAnsiTheme="majorBidi" w:cstheme="majorBidi"/>
          <w:sz w:val="24"/>
          <w:szCs w:val="24"/>
        </w:rPr>
        <w:t>a</w:t>
      </w:r>
      <w:r w:rsidR="00F50A0F" w:rsidRPr="003E6871">
        <w:rPr>
          <w:rFonts w:asciiTheme="majorBidi" w:hAnsiTheme="majorBidi" w:cstheme="majorBidi"/>
          <w:sz w:val="24"/>
          <w:szCs w:val="24"/>
        </w:rPr>
        <w:t>cute fracture</w:t>
      </w:r>
      <w:r w:rsidR="00F50A0F" w:rsidRPr="001304F6">
        <w:rPr>
          <w:rFonts w:asciiTheme="majorBidi" w:hAnsiTheme="majorBidi" w:cstheme="majorBidi"/>
          <w:sz w:val="24"/>
          <w:szCs w:val="24"/>
        </w:rPr>
        <w:t xml:space="preserve">. </w:t>
      </w:r>
    </w:p>
    <w:p w:rsidR="008F1DAE" w:rsidRDefault="008F1DAE" w:rsidP="008F1DAE">
      <w:pPr>
        <w:bidi w:val="0"/>
        <w:spacing w:line="480" w:lineRule="auto"/>
        <w:jc w:val="both"/>
        <w:rPr>
          <w:rFonts w:asciiTheme="majorBidi" w:hAnsiTheme="majorBidi" w:cstheme="majorBidi"/>
          <w:sz w:val="24"/>
          <w:szCs w:val="24"/>
        </w:rPr>
      </w:pPr>
      <w:r w:rsidRPr="008F1DAE">
        <w:rPr>
          <w:rFonts w:asciiTheme="majorBidi" w:hAnsiTheme="majorBidi" w:cstheme="majorBidi"/>
          <w:sz w:val="24"/>
          <w:szCs w:val="24"/>
        </w:rPr>
        <w:t>Table 3. Method of injection and pain improvement among patients with chronic coccygodynia underwent ganglion impar block</w:t>
      </w:r>
      <w:r>
        <w:rPr>
          <w:rFonts w:asciiTheme="majorBidi" w:hAnsiTheme="majorBidi" w:cstheme="majorBidi"/>
          <w:sz w:val="24"/>
          <w:szCs w:val="24"/>
        </w:rPr>
        <w:t xml:space="preserve">. </w:t>
      </w:r>
      <w:r w:rsidR="0004727F">
        <w:rPr>
          <w:rFonts w:asciiTheme="majorBidi" w:hAnsiTheme="majorBidi" w:cstheme="majorBidi"/>
          <w:sz w:val="24"/>
          <w:szCs w:val="24"/>
        </w:rPr>
        <w:t>Most of the cases needed GIB for the first injection (89.3; 25) and 3 (10.7%) needed PRP. After the first injection, 20 (71.4%) showed a satisfactory reduction in pain (</w:t>
      </w:r>
      <w:r w:rsidR="0004727F" w:rsidRPr="0027415D">
        <w:rPr>
          <w:rFonts w:asciiTheme="majorBidi" w:hAnsiTheme="majorBidi" w:cstheme="majorBidi"/>
          <w:sz w:val="24"/>
          <w:szCs w:val="24"/>
        </w:rPr>
        <w:t>Successful responder</w:t>
      </w:r>
      <w:r w:rsidR="0004727F" w:rsidRPr="0004727F">
        <w:rPr>
          <w:rFonts w:asciiTheme="majorBidi" w:hAnsiTheme="majorBidi" w:cstheme="majorBidi"/>
          <w:sz w:val="24"/>
          <w:szCs w:val="24"/>
        </w:rPr>
        <w:t xml:space="preserve">; a score of &gt; 4 out of 11) with an average score of 5.9 ± 3.4 </w:t>
      </w:r>
      <w:r w:rsidR="00C72CA3">
        <w:rPr>
          <w:rFonts w:asciiTheme="majorBidi" w:hAnsiTheme="majorBidi" w:cstheme="majorBidi"/>
          <w:sz w:val="24"/>
          <w:szCs w:val="24"/>
        </w:rPr>
        <w:t>median</w:t>
      </w:r>
      <w:r w:rsidR="0004727F" w:rsidRPr="0004727F">
        <w:rPr>
          <w:rFonts w:asciiTheme="majorBidi" w:hAnsiTheme="majorBidi" w:cstheme="majorBidi"/>
          <w:sz w:val="24"/>
          <w:szCs w:val="24"/>
        </w:rPr>
        <w:t xml:space="preserve"> duration of pain improvement for </w:t>
      </w:r>
      <w:r w:rsidR="00C72CA3" w:rsidRPr="00CD5D13">
        <w:rPr>
          <w:rFonts w:asciiTheme="majorBidi" w:hAnsiTheme="majorBidi" w:cstheme="majorBidi"/>
          <w:sz w:val="24"/>
          <w:szCs w:val="24"/>
        </w:rPr>
        <w:t xml:space="preserve">6 (1-36) </w:t>
      </w:r>
      <w:r w:rsidR="0004727F" w:rsidRPr="0004727F">
        <w:rPr>
          <w:rFonts w:asciiTheme="majorBidi" w:hAnsiTheme="majorBidi" w:cstheme="majorBidi"/>
          <w:sz w:val="24"/>
          <w:szCs w:val="24"/>
        </w:rPr>
        <w:t>months</w:t>
      </w:r>
      <w:r w:rsidR="0004727F">
        <w:rPr>
          <w:rFonts w:asciiTheme="majorBidi" w:hAnsiTheme="majorBidi" w:cstheme="majorBidi"/>
          <w:sz w:val="24"/>
          <w:szCs w:val="24"/>
        </w:rPr>
        <w:t xml:space="preserve">. Only 10 patients (35.7%) needed repeated </w:t>
      </w:r>
      <w:r w:rsidR="00301B98">
        <w:rPr>
          <w:rFonts w:asciiTheme="majorBidi" w:hAnsiTheme="majorBidi" w:cstheme="majorBidi"/>
          <w:sz w:val="24"/>
          <w:szCs w:val="24"/>
        </w:rPr>
        <w:t>injections</w:t>
      </w:r>
      <w:r w:rsidR="0004727F">
        <w:rPr>
          <w:rFonts w:asciiTheme="majorBidi" w:hAnsiTheme="majorBidi" w:cstheme="majorBidi"/>
          <w:sz w:val="24"/>
          <w:szCs w:val="24"/>
        </w:rPr>
        <w:t xml:space="preserve"> (7 RPR and 3 GIB), </w:t>
      </w:r>
      <w:r w:rsidR="00301B98">
        <w:rPr>
          <w:rFonts w:asciiTheme="majorBidi" w:hAnsiTheme="majorBidi" w:cstheme="majorBidi"/>
          <w:sz w:val="24"/>
          <w:szCs w:val="24"/>
        </w:rPr>
        <w:t xml:space="preserve">and </w:t>
      </w:r>
      <w:r w:rsidR="0004727F">
        <w:rPr>
          <w:rFonts w:asciiTheme="majorBidi" w:hAnsiTheme="majorBidi" w:cstheme="majorBidi"/>
          <w:sz w:val="24"/>
          <w:szCs w:val="24"/>
        </w:rPr>
        <w:t xml:space="preserve">most of them (90%) </w:t>
      </w:r>
      <w:r w:rsidR="0004727F">
        <w:rPr>
          <w:rFonts w:asciiTheme="majorBidi" w:hAnsiTheme="majorBidi" w:cstheme="majorBidi"/>
          <w:sz w:val="24"/>
          <w:szCs w:val="24"/>
        </w:rPr>
        <w:lastRenderedPageBreak/>
        <w:t xml:space="preserve">were </w:t>
      </w:r>
      <w:r w:rsidR="0004727F" w:rsidRPr="0027415D">
        <w:rPr>
          <w:rFonts w:asciiTheme="majorBidi" w:hAnsiTheme="majorBidi" w:cstheme="majorBidi"/>
          <w:sz w:val="24"/>
          <w:szCs w:val="24"/>
        </w:rPr>
        <w:t xml:space="preserve">Successful </w:t>
      </w:r>
      <w:r w:rsidR="00301B98">
        <w:rPr>
          <w:rFonts w:asciiTheme="majorBidi" w:hAnsiTheme="majorBidi" w:cstheme="majorBidi"/>
          <w:sz w:val="24"/>
          <w:szCs w:val="24"/>
        </w:rPr>
        <w:t>responders</w:t>
      </w:r>
      <w:r w:rsidR="00247402" w:rsidRPr="00247402">
        <w:rPr>
          <w:rFonts w:asciiTheme="majorBidi" w:hAnsiTheme="majorBidi" w:cstheme="majorBidi"/>
          <w:sz w:val="24"/>
          <w:szCs w:val="24"/>
        </w:rPr>
        <w:t xml:space="preserve"> (mean score 7.3 ± 2.9)</w:t>
      </w:r>
      <w:r w:rsidR="0004727F" w:rsidRPr="00247402">
        <w:rPr>
          <w:rFonts w:asciiTheme="majorBidi" w:hAnsiTheme="majorBidi" w:cstheme="majorBidi"/>
          <w:sz w:val="24"/>
          <w:szCs w:val="24"/>
        </w:rPr>
        <w:t xml:space="preserve"> with </w:t>
      </w:r>
      <w:r w:rsidR="00C72CA3">
        <w:rPr>
          <w:rFonts w:asciiTheme="majorBidi" w:hAnsiTheme="majorBidi" w:cstheme="majorBidi"/>
          <w:sz w:val="24"/>
          <w:szCs w:val="24"/>
        </w:rPr>
        <w:t>a median</w:t>
      </w:r>
      <w:r w:rsidR="0004727F" w:rsidRPr="00247402">
        <w:rPr>
          <w:rFonts w:asciiTheme="majorBidi" w:hAnsiTheme="majorBidi" w:cstheme="majorBidi"/>
          <w:sz w:val="24"/>
          <w:szCs w:val="24"/>
        </w:rPr>
        <w:t xml:space="preserve"> duration </w:t>
      </w:r>
      <w:r w:rsidR="00317DB0">
        <w:rPr>
          <w:rFonts w:asciiTheme="majorBidi" w:hAnsiTheme="majorBidi" w:cstheme="majorBidi"/>
          <w:sz w:val="24"/>
          <w:szCs w:val="24"/>
        </w:rPr>
        <w:t>for</w:t>
      </w:r>
      <w:r w:rsidR="0004727F" w:rsidRPr="00247402">
        <w:rPr>
          <w:rFonts w:asciiTheme="majorBidi" w:hAnsiTheme="majorBidi" w:cstheme="majorBidi"/>
          <w:sz w:val="24"/>
          <w:szCs w:val="24"/>
        </w:rPr>
        <w:t xml:space="preserve"> pain improvement </w:t>
      </w:r>
      <w:r w:rsidR="00301B98">
        <w:rPr>
          <w:rFonts w:asciiTheme="majorBidi" w:hAnsiTheme="majorBidi" w:cstheme="majorBidi"/>
          <w:sz w:val="24"/>
          <w:szCs w:val="24"/>
        </w:rPr>
        <w:t xml:space="preserve">of </w:t>
      </w:r>
      <w:r w:rsidR="00C72CA3" w:rsidRPr="00CD5D13">
        <w:rPr>
          <w:rFonts w:asciiTheme="majorBidi" w:hAnsiTheme="majorBidi" w:cstheme="majorBidi"/>
          <w:sz w:val="24"/>
          <w:szCs w:val="24"/>
        </w:rPr>
        <w:t xml:space="preserve">5 (1-12) </w:t>
      </w:r>
      <w:r w:rsidR="00247402" w:rsidRPr="00247402">
        <w:rPr>
          <w:rFonts w:asciiTheme="majorBidi" w:hAnsiTheme="majorBidi" w:cstheme="majorBidi"/>
          <w:sz w:val="24"/>
          <w:szCs w:val="24"/>
        </w:rPr>
        <w:t>months</w:t>
      </w:r>
      <w:r w:rsidR="00247402">
        <w:rPr>
          <w:rFonts w:asciiTheme="majorBidi" w:hAnsiTheme="majorBidi" w:cstheme="majorBidi"/>
          <w:sz w:val="24"/>
          <w:szCs w:val="24"/>
        </w:rPr>
        <w:t xml:space="preserve">. </w:t>
      </w:r>
    </w:p>
    <w:p w:rsidR="00CD5D13" w:rsidRDefault="00CD5D13" w:rsidP="00CD5D13">
      <w:pPr>
        <w:bidi w:val="0"/>
        <w:spacing w:line="480" w:lineRule="auto"/>
        <w:jc w:val="both"/>
        <w:rPr>
          <w:rFonts w:asciiTheme="majorBidi" w:hAnsiTheme="majorBidi" w:cstheme="majorBidi"/>
          <w:sz w:val="24"/>
          <w:szCs w:val="24"/>
        </w:rPr>
      </w:pPr>
      <w:r w:rsidRPr="00CD5D13">
        <w:rPr>
          <w:rFonts w:asciiTheme="majorBidi" w:hAnsiTheme="majorBidi" w:cstheme="majorBidi"/>
          <w:sz w:val="24"/>
          <w:szCs w:val="24"/>
        </w:rPr>
        <w:t>Table 4. Response to GIB with PRP for patients with chronic coccygodynia</w:t>
      </w:r>
      <w:r>
        <w:rPr>
          <w:rFonts w:asciiTheme="majorBidi" w:hAnsiTheme="majorBidi" w:cstheme="majorBidi"/>
          <w:sz w:val="24"/>
          <w:szCs w:val="24"/>
        </w:rPr>
        <w:t xml:space="preserve">. Almost 71.4% of the patients who were injected by GIB </w:t>
      </w:r>
      <w:r w:rsidR="00FD205F">
        <w:rPr>
          <w:rFonts w:asciiTheme="majorBidi" w:hAnsiTheme="majorBidi" w:cstheme="majorBidi"/>
          <w:sz w:val="24"/>
          <w:szCs w:val="24"/>
        </w:rPr>
        <w:t xml:space="preserve">and </w:t>
      </w:r>
      <w:r>
        <w:rPr>
          <w:rFonts w:asciiTheme="majorBidi" w:hAnsiTheme="majorBidi" w:cstheme="majorBidi"/>
          <w:sz w:val="24"/>
          <w:szCs w:val="24"/>
        </w:rPr>
        <w:t xml:space="preserve">then by PRP showed successful </w:t>
      </w:r>
      <w:r w:rsidR="00FD205F">
        <w:rPr>
          <w:rFonts w:asciiTheme="majorBidi" w:hAnsiTheme="majorBidi" w:cstheme="majorBidi"/>
          <w:sz w:val="24"/>
          <w:szCs w:val="24"/>
        </w:rPr>
        <w:t>responses</w:t>
      </w:r>
      <w:r>
        <w:rPr>
          <w:rFonts w:asciiTheme="majorBidi" w:hAnsiTheme="majorBidi" w:cstheme="majorBidi"/>
          <w:sz w:val="24"/>
          <w:szCs w:val="24"/>
        </w:rPr>
        <w:t xml:space="preserve"> while 14.3% were either </w:t>
      </w:r>
      <w:r w:rsidR="00FD205F">
        <w:rPr>
          <w:rFonts w:asciiTheme="majorBidi" w:hAnsiTheme="majorBidi" w:cstheme="majorBidi"/>
          <w:sz w:val="24"/>
          <w:szCs w:val="24"/>
        </w:rPr>
        <w:t>non-responders</w:t>
      </w:r>
      <w:r>
        <w:rPr>
          <w:rFonts w:asciiTheme="majorBidi" w:hAnsiTheme="majorBidi" w:cstheme="majorBidi"/>
          <w:sz w:val="24"/>
          <w:szCs w:val="24"/>
        </w:rPr>
        <w:t xml:space="preserve"> from first injection or became </w:t>
      </w:r>
      <w:r w:rsidR="00FD205F">
        <w:rPr>
          <w:rFonts w:asciiTheme="majorBidi" w:hAnsiTheme="majorBidi" w:cstheme="majorBidi"/>
          <w:sz w:val="24"/>
          <w:szCs w:val="24"/>
        </w:rPr>
        <w:t>responders</w:t>
      </w:r>
      <w:r>
        <w:rPr>
          <w:rFonts w:asciiTheme="majorBidi" w:hAnsiTheme="majorBidi" w:cstheme="majorBidi"/>
          <w:sz w:val="24"/>
          <w:szCs w:val="24"/>
        </w:rPr>
        <w:t xml:space="preserve"> </w:t>
      </w:r>
      <w:r w:rsidR="00FD205F">
        <w:rPr>
          <w:rFonts w:asciiTheme="majorBidi" w:hAnsiTheme="majorBidi" w:cstheme="majorBidi"/>
          <w:sz w:val="24"/>
          <w:szCs w:val="24"/>
        </w:rPr>
        <w:t>after</w:t>
      </w:r>
      <w:r>
        <w:rPr>
          <w:rFonts w:asciiTheme="majorBidi" w:hAnsiTheme="majorBidi" w:cstheme="majorBidi"/>
          <w:sz w:val="24"/>
          <w:szCs w:val="24"/>
        </w:rPr>
        <w:t xml:space="preserve"> repeated injection.  </w:t>
      </w:r>
    </w:p>
    <w:p w:rsidR="00392F96" w:rsidRDefault="00392F96" w:rsidP="00392F96">
      <w:pPr>
        <w:bidi w:val="0"/>
        <w:spacing w:line="480" w:lineRule="auto"/>
        <w:jc w:val="both"/>
        <w:rPr>
          <w:rFonts w:asciiTheme="majorBidi" w:hAnsiTheme="majorBidi" w:cstheme="majorBidi"/>
          <w:sz w:val="24"/>
          <w:szCs w:val="24"/>
        </w:rPr>
      </w:pPr>
      <w:r w:rsidRPr="00392F96">
        <w:rPr>
          <w:rFonts w:asciiTheme="majorBidi" w:hAnsiTheme="majorBidi" w:cstheme="majorBidi"/>
          <w:sz w:val="24"/>
          <w:szCs w:val="24"/>
        </w:rPr>
        <w:t>Table 5. factors associated with successful responses after ganglion impar block among patients with chronic coccygodynia</w:t>
      </w:r>
      <w:r>
        <w:rPr>
          <w:rFonts w:asciiTheme="majorBidi" w:hAnsiTheme="majorBidi" w:cstheme="majorBidi"/>
          <w:sz w:val="24"/>
          <w:szCs w:val="24"/>
        </w:rPr>
        <w:t xml:space="preserve">. The exact of 90% of overweight patients and 68.8% of obese patients with </w:t>
      </w:r>
      <w:r w:rsidRPr="00392F96">
        <w:rPr>
          <w:rFonts w:asciiTheme="majorBidi" w:hAnsiTheme="majorBidi" w:cstheme="majorBidi"/>
          <w:sz w:val="24"/>
          <w:szCs w:val="24"/>
        </w:rPr>
        <w:t>chronic coccygodynia</w:t>
      </w:r>
      <w:r>
        <w:rPr>
          <w:rFonts w:asciiTheme="majorBidi" w:hAnsiTheme="majorBidi" w:cstheme="majorBidi"/>
          <w:sz w:val="24"/>
          <w:szCs w:val="24"/>
        </w:rPr>
        <w:t xml:space="preserve"> and who had GIB injections were </w:t>
      </w:r>
      <w:r w:rsidRPr="00673BEE">
        <w:rPr>
          <w:rFonts w:asciiTheme="majorBidi" w:hAnsiTheme="majorBidi" w:cstheme="majorBidi"/>
          <w:sz w:val="24"/>
          <w:szCs w:val="24"/>
        </w:rPr>
        <w:t>Successful responders versus none of those with normal weight with recorded statistical significance (P=.034).</w:t>
      </w:r>
      <w:r w:rsidR="0012203D" w:rsidRPr="00673BEE">
        <w:rPr>
          <w:rFonts w:asciiTheme="majorBidi" w:hAnsiTheme="majorBidi" w:cstheme="majorBidi"/>
          <w:sz w:val="24"/>
          <w:szCs w:val="24"/>
        </w:rPr>
        <w:t xml:space="preserve"> Also, </w:t>
      </w:r>
      <w:r w:rsidR="00BA2947">
        <w:rPr>
          <w:rFonts w:asciiTheme="majorBidi" w:hAnsiTheme="majorBidi" w:cstheme="majorBidi"/>
          <w:sz w:val="24"/>
          <w:szCs w:val="24"/>
        </w:rPr>
        <w:t xml:space="preserve">78.9% of non-diabetics were </w:t>
      </w:r>
      <w:r w:rsidR="00BA2947" w:rsidRPr="00BA2947">
        <w:rPr>
          <w:rFonts w:asciiTheme="majorBidi" w:hAnsiTheme="majorBidi" w:cstheme="majorBidi"/>
          <w:sz w:val="24"/>
          <w:szCs w:val="24"/>
        </w:rPr>
        <w:t>Successful responder</w:t>
      </w:r>
      <w:r w:rsidR="00BA2947">
        <w:rPr>
          <w:rFonts w:asciiTheme="majorBidi" w:hAnsiTheme="majorBidi" w:cstheme="majorBidi"/>
          <w:sz w:val="24"/>
          <w:szCs w:val="24"/>
        </w:rPr>
        <w:t xml:space="preserve"> to GIB injection</w:t>
      </w:r>
      <w:r w:rsidR="00BA2947" w:rsidRPr="00673BEE">
        <w:rPr>
          <w:rFonts w:asciiTheme="majorBidi" w:hAnsiTheme="majorBidi" w:cstheme="majorBidi"/>
          <w:sz w:val="24"/>
          <w:szCs w:val="24"/>
        </w:rPr>
        <w:t xml:space="preserve"> </w:t>
      </w:r>
      <w:r w:rsidR="00BA2947">
        <w:rPr>
          <w:rFonts w:asciiTheme="majorBidi" w:hAnsiTheme="majorBidi" w:cstheme="majorBidi"/>
          <w:sz w:val="24"/>
          <w:szCs w:val="24"/>
        </w:rPr>
        <w:t xml:space="preserve">in comparison to 55.6% of diabetics (P=.049). Likewise, </w:t>
      </w:r>
      <w:r w:rsidR="0012203D" w:rsidRPr="00673BEE">
        <w:rPr>
          <w:rFonts w:asciiTheme="majorBidi" w:hAnsiTheme="majorBidi" w:cstheme="majorBidi"/>
          <w:sz w:val="24"/>
          <w:szCs w:val="24"/>
        </w:rPr>
        <w:t xml:space="preserve">79.2% of </w:t>
      </w:r>
      <w:r w:rsidR="00673BEE" w:rsidRPr="00673BEE">
        <w:rPr>
          <w:rFonts w:asciiTheme="majorBidi" w:hAnsiTheme="majorBidi" w:cstheme="majorBidi"/>
          <w:sz w:val="24"/>
          <w:szCs w:val="24"/>
        </w:rPr>
        <w:t>patients</w:t>
      </w:r>
      <w:r w:rsidR="0012203D" w:rsidRPr="00673BEE">
        <w:rPr>
          <w:rFonts w:asciiTheme="majorBidi" w:hAnsiTheme="majorBidi" w:cstheme="majorBidi"/>
          <w:sz w:val="24"/>
          <w:szCs w:val="24"/>
        </w:rPr>
        <w:t xml:space="preserve"> with Coccyx pain were Successful </w:t>
      </w:r>
      <w:r w:rsidR="00673BEE">
        <w:rPr>
          <w:rFonts w:asciiTheme="majorBidi" w:hAnsiTheme="majorBidi" w:cstheme="majorBidi"/>
          <w:sz w:val="24"/>
          <w:szCs w:val="24"/>
        </w:rPr>
        <w:t>responders</w:t>
      </w:r>
      <w:r w:rsidR="0012203D" w:rsidRPr="00673BEE">
        <w:rPr>
          <w:rFonts w:asciiTheme="majorBidi" w:hAnsiTheme="majorBidi" w:cstheme="majorBidi"/>
          <w:sz w:val="24"/>
          <w:szCs w:val="24"/>
        </w:rPr>
        <w:t xml:space="preserve"> to GIB compared to 25% of others with peri-anal pain (P=.026). </w:t>
      </w:r>
    </w:p>
    <w:p w:rsidR="002D7B27" w:rsidRDefault="002D7B27" w:rsidP="002D7B27">
      <w:pPr>
        <w:bidi w:val="0"/>
        <w:spacing w:line="480" w:lineRule="auto"/>
        <w:jc w:val="both"/>
        <w:rPr>
          <w:rFonts w:asciiTheme="majorBidi" w:hAnsiTheme="majorBidi" w:cstheme="majorBidi"/>
          <w:b/>
          <w:bCs/>
          <w:sz w:val="24"/>
          <w:szCs w:val="24"/>
          <w:rtl/>
        </w:rPr>
      </w:pPr>
      <w:r w:rsidRPr="002D7B27">
        <w:rPr>
          <w:rFonts w:asciiTheme="majorBidi" w:hAnsiTheme="majorBidi" w:cstheme="majorBidi"/>
          <w:b/>
          <w:bCs/>
          <w:sz w:val="24"/>
          <w:szCs w:val="24"/>
        </w:rPr>
        <w:t>Discussion</w:t>
      </w:r>
    </w:p>
    <w:p w:rsidR="002D7B27" w:rsidRDefault="009C435C" w:rsidP="00D0483A">
      <w:pPr>
        <w:bidi w:val="0"/>
        <w:spacing w:line="480" w:lineRule="auto"/>
        <w:jc w:val="both"/>
        <w:rPr>
          <w:rFonts w:asciiTheme="majorBidi" w:hAnsiTheme="majorBidi" w:cstheme="majorBidi"/>
          <w:sz w:val="24"/>
          <w:szCs w:val="24"/>
        </w:rPr>
      </w:pPr>
      <w:r w:rsidRPr="009C435C">
        <w:rPr>
          <w:rFonts w:asciiTheme="majorBidi" w:hAnsiTheme="majorBidi" w:cstheme="majorBidi"/>
          <w:sz w:val="24"/>
          <w:szCs w:val="24"/>
        </w:rPr>
        <w:t xml:space="preserve">The exact underlying mechanisms responsible for pelvic and perineal pain are not yet fully understood. </w:t>
      </w:r>
      <w:r w:rsidR="00171EE0">
        <w:rPr>
          <w:rFonts w:asciiTheme="majorBidi" w:hAnsiTheme="majorBidi" w:cstheme="majorBidi"/>
          <w:sz w:val="24"/>
          <w:szCs w:val="24"/>
        </w:rPr>
        <w:t xml:space="preserve">(17) </w:t>
      </w:r>
      <w:r w:rsidRPr="009C435C">
        <w:rPr>
          <w:rFonts w:asciiTheme="majorBidi" w:hAnsiTheme="majorBidi" w:cstheme="majorBidi"/>
          <w:sz w:val="24"/>
          <w:szCs w:val="24"/>
        </w:rPr>
        <w:t>Often, instances of pelvic and perineal pain cannot be solely attributed to organ abnormalities. In such cases, the organ may be the physical location of the pain, but it is not necessarily the root cause of the pain.</w:t>
      </w:r>
      <w:r w:rsidR="00171EE0">
        <w:rPr>
          <w:rFonts w:asciiTheme="majorBidi" w:hAnsiTheme="majorBidi" w:cstheme="majorBidi"/>
          <w:sz w:val="24"/>
          <w:szCs w:val="24"/>
        </w:rPr>
        <w:t xml:space="preserve"> (18, 19)</w:t>
      </w:r>
      <w:r w:rsidR="00DD7E3F">
        <w:rPr>
          <w:rFonts w:asciiTheme="majorBidi" w:hAnsiTheme="majorBidi" w:cstheme="majorBidi"/>
          <w:sz w:val="24"/>
          <w:szCs w:val="24"/>
        </w:rPr>
        <w:t xml:space="preserve"> </w:t>
      </w:r>
      <w:r w:rsidR="00D0483A" w:rsidRPr="00D0483A">
        <w:rPr>
          <w:rFonts w:asciiTheme="majorBidi" w:hAnsiTheme="majorBidi" w:cstheme="majorBidi"/>
          <w:sz w:val="24"/>
          <w:szCs w:val="24"/>
        </w:rPr>
        <w:t>The ganglion impar, also known as the coccygeal or Walther's ganglion, is the first pelvic ganglion of the efferent sympathetic trunk, located at the convergence of the two sympathetic trunks.</w:t>
      </w:r>
      <w:r w:rsidR="00D0483A">
        <w:rPr>
          <w:rFonts w:asciiTheme="majorBidi" w:hAnsiTheme="majorBidi" w:cstheme="majorBidi"/>
          <w:sz w:val="24"/>
          <w:szCs w:val="24"/>
        </w:rPr>
        <w:t xml:space="preserve"> (20)</w:t>
      </w:r>
    </w:p>
    <w:p w:rsidR="00C5009E" w:rsidRDefault="00C5009E" w:rsidP="00C5009E">
      <w:pPr>
        <w:bidi w:val="0"/>
        <w:spacing w:line="48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The current study aimed to assess </w:t>
      </w:r>
      <w:r w:rsidRPr="00C5009E">
        <w:rPr>
          <w:rFonts w:asciiTheme="majorBidi" w:hAnsiTheme="majorBidi" w:cstheme="majorBidi"/>
          <w:sz w:val="24"/>
          <w:szCs w:val="24"/>
        </w:rPr>
        <w:t>s</w:t>
      </w:r>
      <w:r w:rsidRPr="00C5009E">
        <w:rPr>
          <w:rFonts w:asciiTheme="majorBidi" w:hAnsiTheme="majorBidi" w:cstheme="majorBidi"/>
          <w:sz w:val="24"/>
          <w:szCs w:val="24"/>
        </w:rPr>
        <w:t xml:space="preserve">uccessful </w:t>
      </w:r>
      <w:r w:rsidR="00546B5F">
        <w:rPr>
          <w:rFonts w:asciiTheme="majorBidi" w:hAnsiTheme="majorBidi" w:cstheme="majorBidi"/>
          <w:sz w:val="24"/>
          <w:szCs w:val="24"/>
        </w:rPr>
        <w:t>r</w:t>
      </w:r>
      <w:r w:rsidRPr="00C5009E">
        <w:rPr>
          <w:rFonts w:asciiTheme="majorBidi" w:hAnsiTheme="majorBidi" w:cstheme="majorBidi"/>
          <w:sz w:val="24"/>
          <w:szCs w:val="24"/>
        </w:rPr>
        <w:t xml:space="preserve">esponses to </w:t>
      </w:r>
      <w:r w:rsidR="00546B5F">
        <w:rPr>
          <w:rFonts w:asciiTheme="majorBidi" w:hAnsiTheme="majorBidi" w:cstheme="majorBidi"/>
          <w:sz w:val="24"/>
          <w:szCs w:val="24"/>
        </w:rPr>
        <w:t>g</w:t>
      </w:r>
      <w:r w:rsidRPr="00C5009E">
        <w:rPr>
          <w:rFonts w:asciiTheme="majorBidi" w:hAnsiTheme="majorBidi" w:cstheme="majorBidi"/>
          <w:sz w:val="24"/>
          <w:szCs w:val="24"/>
        </w:rPr>
        <w:t xml:space="preserve">anglion </w:t>
      </w:r>
      <w:r w:rsidR="00546B5F">
        <w:rPr>
          <w:rFonts w:asciiTheme="majorBidi" w:hAnsiTheme="majorBidi" w:cstheme="majorBidi"/>
          <w:sz w:val="24"/>
          <w:szCs w:val="24"/>
        </w:rPr>
        <w:t>i</w:t>
      </w:r>
      <w:r w:rsidRPr="00C5009E">
        <w:rPr>
          <w:rFonts w:asciiTheme="majorBidi" w:hAnsiTheme="majorBidi" w:cstheme="majorBidi"/>
          <w:sz w:val="24"/>
          <w:szCs w:val="24"/>
        </w:rPr>
        <w:t xml:space="preserve">mpar </w:t>
      </w:r>
      <w:r w:rsidR="00546B5F">
        <w:rPr>
          <w:rFonts w:asciiTheme="majorBidi" w:hAnsiTheme="majorBidi" w:cstheme="majorBidi"/>
          <w:sz w:val="24"/>
          <w:szCs w:val="24"/>
        </w:rPr>
        <w:t>b</w:t>
      </w:r>
      <w:r w:rsidRPr="00C5009E">
        <w:rPr>
          <w:rFonts w:asciiTheme="majorBidi" w:hAnsiTheme="majorBidi" w:cstheme="majorBidi"/>
          <w:sz w:val="24"/>
          <w:szCs w:val="24"/>
        </w:rPr>
        <w:t>lock</w:t>
      </w:r>
      <w:r>
        <w:rPr>
          <w:rFonts w:asciiTheme="majorBidi" w:hAnsiTheme="majorBidi" w:cstheme="majorBidi"/>
          <w:sz w:val="24"/>
          <w:szCs w:val="24"/>
        </w:rPr>
        <w:t xml:space="preserve"> and its associated factors. </w:t>
      </w:r>
      <w:r w:rsidR="00BD49DB">
        <w:rPr>
          <w:rFonts w:asciiTheme="majorBidi" w:hAnsiTheme="majorBidi" w:cstheme="majorBidi"/>
          <w:sz w:val="24"/>
          <w:szCs w:val="24"/>
        </w:rPr>
        <w:t xml:space="preserve">The study revealed that most of </w:t>
      </w:r>
      <w:r w:rsidR="00546B5F">
        <w:rPr>
          <w:rFonts w:asciiTheme="majorBidi" w:hAnsiTheme="majorBidi" w:cstheme="majorBidi"/>
          <w:sz w:val="24"/>
          <w:szCs w:val="24"/>
        </w:rPr>
        <w:t xml:space="preserve">the </w:t>
      </w:r>
      <w:r w:rsidR="00BD49DB">
        <w:rPr>
          <w:rFonts w:asciiTheme="majorBidi" w:hAnsiTheme="majorBidi" w:cstheme="majorBidi"/>
          <w:sz w:val="24"/>
          <w:szCs w:val="24"/>
        </w:rPr>
        <w:t xml:space="preserve">study patients experienced pain in </w:t>
      </w:r>
      <w:r w:rsidR="00BD49DB" w:rsidRPr="00D22DE8">
        <w:rPr>
          <w:rFonts w:asciiTheme="majorBidi" w:hAnsiTheme="majorBidi" w:cstheme="majorBidi"/>
          <w:sz w:val="24"/>
          <w:szCs w:val="24"/>
        </w:rPr>
        <w:t>Coccyx</w:t>
      </w:r>
      <w:r w:rsidR="00BD49DB" w:rsidRPr="00D22DE8">
        <w:rPr>
          <w:rFonts w:asciiTheme="majorBidi" w:hAnsiTheme="majorBidi" w:cstheme="majorBidi"/>
          <w:sz w:val="24"/>
          <w:szCs w:val="24"/>
        </w:rPr>
        <w:t xml:space="preserve"> which was mainly of type 4 among more than one-third of the cases and of type 3 among about one-fifth of them followed by type 2 and type 1. </w:t>
      </w:r>
      <w:r w:rsidR="00CC7A91">
        <w:rPr>
          <w:rFonts w:asciiTheme="majorBidi" w:hAnsiTheme="majorBidi" w:cstheme="majorBidi"/>
          <w:sz w:val="24"/>
          <w:szCs w:val="24"/>
        </w:rPr>
        <w:t xml:space="preserve">About two-thirds of the study patients with </w:t>
      </w:r>
      <w:r w:rsidR="00546B5F">
        <w:rPr>
          <w:rFonts w:asciiTheme="majorBidi" w:hAnsiTheme="majorBidi" w:cstheme="majorBidi"/>
          <w:sz w:val="24"/>
          <w:szCs w:val="24"/>
        </w:rPr>
        <w:t>coccydynia showed mild</w:t>
      </w:r>
      <w:r w:rsidR="00546B5F" w:rsidRPr="002B2199">
        <w:rPr>
          <w:rFonts w:asciiTheme="majorBidi" w:hAnsiTheme="majorBidi" w:cstheme="majorBidi"/>
          <w:sz w:val="24"/>
          <w:szCs w:val="24"/>
        </w:rPr>
        <w:t xml:space="preserve"> degenerative changes</w:t>
      </w:r>
      <w:r w:rsidR="00546B5F" w:rsidRPr="002B2199">
        <w:rPr>
          <w:rFonts w:asciiTheme="majorBidi" w:hAnsiTheme="majorBidi" w:cstheme="majorBidi"/>
          <w:sz w:val="24"/>
          <w:szCs w:val="24"/>
        </w:rPr>
        <w:t xml:space="preserve"> in radiological assessment and </w:t>
      </w:r>
      <w:r w:rsidR="002B2199" w:rsidRPr="002B2199">
        <w:rPr>
          <w:rFonts w:asciiTheme="majorBidi" w:hAnsiTheme="majorBidi" w:cstheme="majorBidi"/>
          <w:sz w:val="24"/>
          <w:szCs w:val="24"/>
        </w:rPr>
        <w:t>vast</w:t>
      </w:r>
      <w:r w:rsidR="00546B5F" w:rsidRPr="002B2199">
        <w:rPr>
          <w:rFonts w:asciiTheme="majorBidi" w:hAnsiTheme="majorBidi" w:cstheme="majorBidi"/>
          <w:sz w:val="24"/>
          <w:szCs w:val="24"/>
        </w:rPr>
        <w:t xml:space="preserve"> majority of them needed simple </w:t>
      </w:r>
      <w:r w:rsidR="00546B5F" w:rsidRPr="002B2199">
        <w:rPr>
          <w:rFonts w:asciiTheme="majorBidi" w:hAnsiTheme="majorBidi" w:cstheme="majorBidi"/>
          <w:sz w:val="24"/>
          <w:szCs w:val="24"/>
        </w:rPr>
        <w:t>non-opioid analgesic</w:t>
      </w:r>
      <w:r w:rsidR="00546B5F" w:rsidRPr="002B2199">
        <w:rPr>
          <w:rFonts w:asciiTheme="majorBidi" w:hAnsiTheme="majorBidi" w:cstheme="majorBidi"/>
          <w:sz w:val="24"/>
          <w:szCs w:val="24"/>
        </w:rPr>
        <w:t xml:space="preserve">. Setting for long time was the only reported </w:t>
      </w:r>
      <w:r w:rsidR="002B2199" w:rsidRPr="002B2199">
        <w:rPr>
          <w:rFonts w:asciiTheme="majorBidi" w:hAnsiTheme="majorBidi" w:cstheme="majorBidi"/>
          <w:sz w:val="24"/>
          <w:szCs w:val="24"/>
        </w:rPr>
        <w:t>aggravating</w:t>
      </w:r>
      <w:r w:rsidR="00546B5F" w:rsidRPr="002B2199">
        <w:rPr>
          <w:rFonts w:asciiTheme="majorBidi" w:hAnsiTheme="majorBidi" w:cstheme="majorBidi"/>
          <w:sz w:val="24"/>
          <w:szCs w:val="24"/>
        </w:rPr>
        <w:t xml:space="preserve"> factor of pain. </w:t>
      </w:r>
      <w:r w:rsidR="003E099E">
        <w:rPr>
          <w:rFonts w:asciiTheme="majorBidi" w:hAnsiTheme="majorBidi" w:cstheme="majorBidi"/>
          <w:sz w:val="24"/>
          <w:szCs w:val="24"/>
        </w:rPr>
        <w:t xml:space="preserve">The study also revealed that most cases were females aging more than 40 years with high body mass index. Literature showed that </w:t>
      </w:r>
      <w:r w:rsidR="003E099E" w:rsidRPr="003E099E">
        <w:rPr>
          <w:rFonts w:asciiTheme="majorBidi" w:hAnsiTheme="majorBidi" w:cstheme="majorBidi"/>
          <w:sz w:val="24"/>
          <w:szCs w:val="24"/>
        </w:rPr>
        <w:t xml:space="preserve">coccygodynia </w:t>
      </w:r>
      <w:r w:rsidR="003E099E">
        <w:rPr>
          <w:rFonts w:asciiTheme="majorBidi" w:hAnsiTheme="majorBidi" w:cstheme="majorBidi"/>
          <w:sz w:val="24"/>
          <w:szCs w:val="24"/>
        </w:rPr>
        <w:t>constitutes less tha</w:t>
      </w:r>
      <w:r w:rsidR="003E099E" w:rsidRPr="003E099E">
        <w:rPr>
          <w:rFonts w:asciiTheme="majorBidi" w:hAnsiTheme="majorBidi" w:cstheme="majorBidi"/>
          <w:sz w:val="24"/>
          <w:szCs w:val="24"/>
        </w:rPr>
        <w:t xml:space="preserve">n 1% of all back-pain conditions. It is five times more prevalent in women than in men, </w:t>
      </w:r>
      <w:r w:rsidR="00740790" w:rsidRPr="003E099E">
        <w:rPr>
          <w:rFonts w:asciiTheme="majorBidi" w:hAnsiTheme="majorBidi" w:cstheme="majorBidi"/>
          <w:sz w:val="24"/>
          <w:szCs w:val="24"/>
        </w:rPr>
        <w:t>apparently</w:t>
      </w:r>
      <w:r w:rsidR="003E099E" w:rsidRPr="003E099E">
        <w:rPr>
          <w:rFonts w:asciiTheme="majorBidi" w:hAnsiTheme="majorBidi" w:cstheme="majorBidi"/>
          <w:sz w:val="24"/>
          <w:szCs w:val="24"/>
        </w:rPr>
        <w:t xml:space="preserve"> because the bone is more prominent in women than in men. </w:t>
      </w:r>
      <w:r w:rsidR="00740790" w:rsidRPr="003E099E">
        <w:rPr>
          <w:rFonts w:asciiTheme="majorBidi" w:hAnsiTheme="majorBidi" w:cstheme="majorBidi"/>
          <w:sz w:val="24"/>
          <w:szCs w:val="24"/>
        </w:rPr>
        <w:t>Though</w:t>
      </w:r>
      <w:r w:rsidR="003E099E" w:rsidRPr="003E099E">
        <w:rPr>
          <w:rFonts w:asciiTheme="majorBidi" w:hAnsiTheme="majorBidi" w:cstheme="majorBidi"/>
          <w:sz w:val="24"/>
          <w:szCs w:val="24"/>
        </w:rPr>
        <w:t xml:space="preserve"> coccygodynia can occur over a wide age range, the mean age of onset is around 40 years</w:t>
      </w:r>
      <w:r w:rsidR="00740790">
        <w:rPr>
          <w:rFonts w:asciiTheme="majorBidi" w:hAnsiTheme="majorBidi" w:cstheme="majorBidi"/>
          <w:sz w:val="24"/>
          <w:szCs w:val="24"/>
        </w:rPr>
        <w:t xml:space="preserve"> which are consistent with the current study findings</w:t>
      </w:r>
      <w:r w:rsidR="003E099E" w:rsidRPr="003E099E">
        <w:rPr>
          <w:rFonts w:asciiTheme="majorBidi" w:hAnsiTheme="majorBidi" w:cstheme="majorBidi"/>
          <w:sz w:val="24"/>
          <w:szCs w:val="24"/>
        </w:rPr>
        <w:t>.</w:t>
      </w:r>
      <w:r w:rsidR="00E07E8C">
        <w:rPr>
          <w:rFonts w:asciiTheme="majorBidi" w:hAnsiTheme="majorBidi" w:cstheme="majorBidi"/>
          <w:sz w:val="24"/>
          <w:szCs w:val="24"/>
        </w:rPr>
        <w:t xml:space="preserve"> (21, 22)</w:t>
      </w:r>
      <w:r w:rsidR="00FF4FA6">
        <w:rPr>
          <w:rFonts w:asciiTheme="majorBidi" w:hAnsiTheme="majorBidi" w:cstheme="majorBidi"/>
          <w:sz w:val="24"/>
          <w:szCs w:val="24"/>
        </w:rPr>
        <w:t xml:space="preserve"> </w:t>
      </w:r>
      <w:r w:rsidR="005C1ED6">
        <w:rPr>
          <w:rFonts w:asciiTheme="majorBidi" w:hAnsiTheme="majorBidi" w:cstheme="majorBidi"/>
          <w:sz w:val="24"/>
          <w:szCs w:val="24"/>
        </w:rPr>
        <w:t xml:space="preserve">Also, </w:t>
      </w:r>
      <w:proofErr w:type="spellStart"/>
      <w:r w:rsidR="005C1ED6" w:rsidRPr="00FF4FA6">
        <w:rPr>
          <w:rFonts w:ascii="Times New Roman" w:eastAsia="Calibri" w:hAnsi="Times New Roman" w:cs="Times New Roman"/>
          <w:sz w:val="24"/>
          <w:szCs w:val="24"/>
        </w:rPr>
        <w:t>Maigne</w:t>
      </w:r>
      <w:proofErr w:type="spellEnd"/>
      <w:r w:rsidR="005C1ED6" w:rsidRPr="00FF4FA6">
        <w:rPr>
          <w:rFonts w:ascii="Times New Roman" w:eastAsia="Calibri" w:hAnsi="Times New Roman" w:cs="Times New Roman"/>
          <w:sz w:val="24"/>
          <w:szCs w:val="24"/>
        </w:rPr>
        <w:t xml:space="preserve"> </w:t>
      </w:r>
      <w:r w:rsidR="005C1ED6" w:rsidRPr="00FF4FA6">
        <w:rPr>
          <w:rFonts w:ascii="Times New Roman" w:eastAsia="Calibri" w:hAnsi="Times New Roman" w:cs="Times New Roman"/>
          <w:sz w:val="24"/>
          <w:szCs w:val="24"/>
        </w:rPr>
        <w:t>JY</w:t>
      </w:r>
      <w:r w:rsidR="005C1ED6" w:rsidRPr="00FF4FA6">
        <w:rPr>
          <w:rFonts w:asciiTheme="majorBidi" w:hAnsiTheme="majorBidi" w:cstheme="majorBidi"/>
          <w:sz w:val="24"/>
          <w:szCs w:val="24"/>
        </w:rPr>
        <w:t xml:space="preserve"> </w:t>
      </w:r>
      <w:r w:rsidR="005C1ED6">
        <w:rPr>
          <w:rFonts w:asciiTheme="majorBidi" w:hAnsiTheme="majorBidi" w:cstheme="majorBidi"/>
          <w:sz w:val="24"/>
          <w:szCs w:val="24"/>
        </w:rPr>
        <w:t>et al. (23) reported that t</w:t>
      </w:r>
      <w:r w:rsidR="00FF4FA6" w:rsidRPr="00FF4FA6">
        <w:rPr>
          <w:rFonts w:asciiTheme="majorBidi" w:hAnsiTheme="majorBidi" w:cstheme="majorBidi"/>
          <w:sz w:val="24"/>
          <w:szCs w:val="24"/>
        </w:rPr>
        <w:t xml:space="preserve">he most </w:t>
      </w:r>
      <w:r w:rsidR="005C1ED6">
        <w:rPr>
          <w:rFonts w:asciiTheme="majorBidi" w:hAnsiTheme="majorBidi" w:cstheme="majorBidi"/>
          <w:sz w:val="24"/>
          <w:szCs w:val="24"/>
        </w:rPr>
        <w:t>frequent</w:t>
      </w:r>
      <w:r w:rsidR="00FF4FA6" w:rsidRPr="00FF4FA6">
        <w:rPr>
          <w:rFonts w:asciiTheme="majorBidi" w:hAnsiTheme="majorBidi" w:cstheme="majorBidi"/>
          <w:sz w:val="24"/>
          <w:szCs w:val="24"/>
        </w:rPr>
        <w:t xml:space="preserve"> clinical finding in patients with coccygodynia </w:t>
      </w:r>
      <w:r w:rsidR="005C1ED6">
        <w:rPr>
          <w:rFonts w:asciiTheme="majorBidi" w:hAnsiTheme="majorBidi" w:cstheme="majorBidi"/>
          <w:sz w:val="24"/>
          <w:szCs w:val="24"/>
        </w:rPr>
        <w:t>was</w:t>
      </w:r>
      <w:r w:rsidR="00FF4FA6" w:rsidRPr="00FF4FA6">
        <w:rPr>
          <w:rFonts w:asciiTheme="majorBidi" w:hAnsiTheme="majorBidi" w:cstheme="majorBidi"/>
          <w:sz w:val="24"/>
          <w:szCs w:val="24"/>
        </w:rPr>
        <w:t xml:space="preserve"> pain while standing from sitting position. It </w:t>
      </w:r>
      <w:r w:rsidR="005C1ED6" w:rsidRPr="00FF4FA6">
        <w:rPr>
          <w:rFonts w:asciiTheme="majorBidi" w:hAnsiTheme="majorBidi" w:cstheme="majorBidi"/>
          <w:sz w:val="24"/>
          <w:szCs w:val="24"/>
        </w:rPr>
        <w:t>probably</w:t>
      </w:r>
      <w:r w:rsidR="00FF4FA6" w:rsidRPr="00FF4FA6">
        <w:rPr>
          <w:rFonts w:asciiTheme="majorBidi" w:hAnsiTheme="majorBidi" w:cstheme="majorBidi"/>
          <w:sz w:val="24"/>
          <w:szCs w:val="24"/>
        </w:rPr>
        <w:t xml:space="preserve"> corresponds with the movement of coccyx going back to its neutral position</w:t>
      </w:r>
      <w:r w:rsidR="00317ECA">
        <w:rPr>
          <w:rFonts w:asciiTheme="majorBidi" w:hAnsiTheme="majorBidi" w:cstheme="majorBidi"/>
          <w:sz w:val="24"/>
          <w:szCs w:val="24"/>
        </w:rPr>
        <w:t xml:space="preserve"> which was also shown in the current study. </w:t>
      </w:r>
      <w:r w:rsidR="006E71D2" w:rsidRPr="006E71D2">
        <w:rPr>
          <w:rFonts w:asciiTheme="majorBidi" w:hAnsiTheme="majorBidi" w:cstheme="majorBidi"/>
          <w:sz w:val="24"/>
          <w:szCs w:val="24"/>
        </w:rPr>
        <w:t>Garg B</w:t>
      </w:r>
      <w:r w:rsidR="006E71D2" w:rsidRPr="006E71D2">
        <w:rPr>
          <w:rFonts w:asciiTheme="majorBidi" w:hAnsiTheme="majorBidi" w:cstheme="majorBidi"/>
          <w:sz w:val="24"/>
          <w:szCs w:val="24"/>
        </w:rPr>
        <w:t xml:space="preserve"> et al. (24) in his study reported that s</w:t>
      </w:r>
      <w:r w:rsidR="006E71D2" w:rsidRPr="006E71D2">
        <w:rPr>
          <w:rFonts w:asciiTheme="majorBidi" w:hAnsiTheme="majorBidi" w:cstheme="majorBidi"/>
          <w:sz w:val="24"/>
          <w:szCs w:val="24"/>
        </w:rPr>
        <w:t>tatic imaging including radiographs, CT and MRI have been found to be inconclusive in a majority of patients with coccydynia. Nevertheless, lateral and AP radiographs constitute an important primary investigation to rule out infections, tumors or predisposed coccygeal morphology such as retroverted coccyx, a bony spicule, coccygeal scoliosis or subluxation</w:t>
      </w:r>
      <w:r w:rsidR="006E71D2">
        <w:rPr>
          <w:rFonts w:asciiTheme="majorBidi" w:hAnsiTheme="majorBidi" w:cstheme="majorBidi"/>
          <w:sz w:val="24"/>
          <w:szCs w:val="24"/>
        </w:rPr>
        <w:t>.</w:t>
      </w:r>
    </w:p>
    <w:p w:rsidR="006E71D2" w:rsidRDefault="006E71D2" w:rsidP="00E76ABB">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Considering GIB, it was applied as first or repeated injection for all </w:t>
      </w:r>
      <w:r w:rsidR="00AF4D68">
        <w:rPr>
          <w:rFonts w:asciiTheme="majorBidi" w:hAnsiTheme="majorBidi" w:cstheme="majorBidi"/>
          <w:sz w:val="24"/>
          <w:szCs w:val="24"/>
        </w:rPr>
        <w:t>patients</w:t>
      </w:r>
      <w:r>
        <w:rPr>
          <w:rFonts w:asciiTheme="majorBidi" w:hAnsiTheme="majorBidi" w:cstheme="majorBidi"/>
          <w:sz w:val="24"/>
          <w:szCs w:val="24"/>
        </w:rPr>
        <w:t xml:space="preserve"> sometimes as a </w:t>
      </w:r>
      <w:r w:rsidR="00AF4D68">
        <w:rPr>
          <w:rFonts w:asciiTheme="majorBidi" w:hAnsiTheme="majorBidi" w:cstheme="majorBidi"/>
          <w:sz w:val="24"/>
          <w:szCs w:val="24"/>
        </w:rPr>
        <w:t>single</w:t>
      </w:r>
      <w:r>
        <w:rPr>
          <w:rFonts w:asciiTheme="majorBidi" w:hAnsiTheme="majorBidi" w:cstheme="majorBidi"/>
          <w:sz w:val="24"/>
          <w:szCs w:val="24"/>
        </w:rPr>
        <w:t xml:space="preserve"> method or with </w:t>
      </w:r>
      <w:r w:rsidR="00DF46BB" w:rsidRPr="00AF4D68">
        <w:rPr>
          <w:rFonts w:asciiTheme="majorBidi" w:hAnsiTheme="majorBidi" w:cstheme="majorBidi"/>
          <w:sz w:val="24"/>
          <w:szCs w:val="24"/>
        </w:rPr>
        <w:t xml:space="preserve">Platelet-rich plasma for sacrococcygeal ligament </w:t>
      </w:r>
      <w:r w:rsidR="00DF46BB" w:rsidRPr="00AF4D68">
        <w:rPr>
          <w:rFonts w:asciiTheme="majorBidi" w:hAnsiTheme="majorBidi" w:cstheme="majorBidi"/>
          <w:sz w:val="24"/>
          <w:szCs w:val="24"/>
        </w:rPr>
        <w:t>(</w:t>
      </w:r>
      <w:r>
        <w:rPr>
          <w:rFonts w:asciiTheme="majorBidi" w:hAnsiTheme="majorBidi" w:cstheme="majorBidi"/>
          <w:sz w:val="24"/>
          <w:szCs w:val="24"/>
        </w:rPr>
        <w:t>PRP</w:t>
      </w:r>
      <w:r w:rsidR="00DF46BB">
        <w:rPr>
          <w:rFonts w:asciiTheme="majorBidi" w:hAnsiTheme="majorBidi" w:cstheme="majorBidi"/>
          <w:sz w:val="24"/>
          <w:szCs w:val="24"/>
        </w:rPr>
        <w:t>)</w:t>
      </w:r>
      <w:r w:rsidR="00AF4D68">
        <w:rPr>
          <w:rFonts w:asciiTheme="majorBidi" w:hAnsiTheme="majorBidi" w:cstheme="majorBidi"/>
          <w:sz w:val="24"/>
          <w:szCs w:val="24"/>
        </w:rPr>
        <w:t xml:space="preserve">. </w:t>
      </w:r>
      <w:r w:rsidR="004117B3">
        <w:rPr>
          <w:rFonts w:asciiTheme="majorBidi" w:hAnsiTheme="majorBidi" w:cstheme="majorBidi"/>
          <w:sz w:val="24"/>
          <w:szCs w:val="24"/>
        </w:rPr>
        <w:t xml:space="preserve">Most patients needed only one injection. </w:t>
      </w:r>
      <w:r w:rsidR="00B62B19">
        <w:rPr>
          <w:rFonts w:asciiTheme="majorBidi" w:hAnsiTheme="majorBidi" w:cstheme="majorBidi"/>
          <w:sz w:val="24"/>
          <w:szCs w:val="24"/>
        </w:rPr>
        <w:t xml:space="preserve">Less than three-fourths of the patients showed Suscceful </w:t>
      </w:r>
      <w:r w:rsidR="00B62B19">
        <w:rPr>
          <w:rFonts w:asciiTheme="majorBidi" w:hAnsiTheme="majorBidi" w:cstheme="majorBidi"/>
          <w:sz w:val="24"/>
          <w:szCs w:val="24"/>
        </w:rPr>
        <w:lastRenderedPageBreak/>
        <w:t xml:space="preserve">response (improvement) after first injection but most of them (nearly 90%) showed Suscceful response after repeated </w:t>
      </w:r>
      <w:r w:rsidR="00073666">
        <w:rPr>
          <w:rFonts w:asciiTheme="majorBidi" w:hAnsiTheme="majorBidi" w:cstheme="majorBidi"/>
          <w:sz w:val="24"/>
          <w:szCs w:val="24"/>
        </w:rPr>
        <w:t>injection. The</w:t>
      </w:r>
      <w:r w:rsidR="002236EF">
        <w:rPr>
          <w:rFonts w:asciiTheme="majorBidi" w:hAnsiTheme="majorBidi" w:cstheme="majorBidi"/>
          <w:sz w:val="24"/>
          <w:szCs w:val="24"/>
        </w:rPr>
        <w:t xml:space="preserve"> average duration of improvement varied among </w:t>
      </w:r>
      <w:r w:rsidR="00073666">
        <w:rPr>
          <w:rFonts w:asciiTheme="majorBidi" w:hAnsiTheme="majorBidi" w:cstheme="majorBidi"/>
          <w:sz w:val="24"/>
          <w:szCs w:val="24"/>
        </w:rPr>
        <w:t>patients</w:t>
      </w:r>
      <w:r w:rsidR="002236EF">
        <w:rPr>
          <w:rFonts w:asciiTheme="majorBidi" w:hAnsiTheme="majorBidi" w:cstheme="majorBidi"/>
          <w:sz w:val="24"/>
          <w:szCs w:val="24"/>
        </w:rPr>
        <w:t xml:space="preserve"> which reached 3 years among some cases with an average duration of 6 months</w:t>
      </w:r>
      <w:r w:rsidR="00073666">
        <w:rPr>
          <w:rFonts w:asciiTheme="majorBidi" w:hAnsiTheme="majorBidi" w:cstheme="majorBidi"/>
          <w:sz w:val="24"/>
          <w:szCs w:val="24"/>
        </w:rPr>
        <w:t xml:space="preserve"> after first injection to </w:t>
      </w:r>
      <w:r w:rsidR="00AA7596">
        <w:rPr>
          <w:rFonts w:asciiTheme="majorBidi" w:hAnsiTheme="majorBidi" w:cstheme="majorBidi"/>
          <w:sz w:val="24"/>
          <w:szCs w:val="24"/>
        </w:rPr>
        <w:t>and nearly</w:t>
      </w:r>
      <w:r w:rsidR="00073666">
        <w:rPr>
          <w:rFonts w:asciiTheme="majorBidi" w:hAnsiTheme="majorBidi" w:cstheme="majorBidi"/>
          <w:sz w:val="24"/>
          <w:szCs w:val="24"/>
        </w:rPr>
        <w:t xml:space="preserve"> </w:t>
      </w:r>
      <w:r w:rsidR="00AA7596">
        <w:rPr>
          <w:rFonts w:asciiTheme="majorBidi" w:hAnsiTheme="majorBidi" w:cstheme="majorBidi"/>
          <w:sz w:val="24"/>
          <w:szCs w:val="24"/>
        </w:rPr>
        <w:t>5</w:t>
      </w:r>
      <w:r w:rsidR="00073666">
        <w:rPr>
          <w:rFonts w:asciiTheme="majorBidi" w:hAnsiTheme="majorBidi" w:cstheme="majorBidi"/>
          <w:sz w:val="24"/>
          <w:szCs w:val="24"/>
        </w:rPr>
        <w:t xml:space="preserve"> months</w:t>
      </w:r>
      <w:r w:rsidR="00AA7596">
        <w:rPr>
          <w:rFonts w:asciiTheme="majorBidi" w:hAnsiTheme="majorBidi" w:cstheme="majorBidi"/>
          <w:sz w:val="24"/>
          <w:szCs w:val="24"/>
        </w:rPr>
        <w:t xml:space="preserve"> more</w:t>
      </w:r>
      <w:r w:rsidR="00073666">
        <w:rPr>
          <w:rFonts w:asciiTheme="majorBidi" w:hAnsiTheme="majorBidi" w:cstheme="majorBidi"/>
          <w:sz w:val="24"/>
          <w:szCs w:val="24"/>
        </w:rPr>
        <w:t xml:space="preserve"> after repeated injection. </w:t>
      </w:r>
      <w:r w:rsidR="002236EF">
        <w:rPr>
          <w:rFonts w:asciiTheme="majorBidi" w:hAnsiTheme="majorBidi" w:cstheme="majorBidi"/>
          <w:sz w:val="24"/>
          <w:szCs w:val="24"/>
        </w:rPr>
        <w:t xml:space="preserve"> </w:t>
      </w:r>
      <w:r w:rsidR="00B62B19">
        <w:rPr>
          <w:rFonts w:asciiTheme="majorBidi" w:hAnsiTheme="majorBidi" w:cstheme="majorBidi"/>
          <w:sz w:val="24"/>
          <w:szCs w:val="24"/>
        </w:rPr>
        <w:t xml:space="preserve"> </w:t>
      </w:r>
      <w:r w:rsidR="00B41E74">
        <w:rPr>
          <w:rFonts w:asciiTheme="majorBidi" w:hAnsiTheme="majorBidi" w:cstheme="majorBidi"/>
          <w:sz w:val="24"/>
          <w:szCs w:val="24"/>
        </w:rPr>
        <w:t xml:space="preserve">This reported improvement was also assessed by many other studies. </w:t>
      </w:r>
      <w:proofErr w:type="spellStart"/>
      <w:r w:rsidR="00B41E74" w:rsidRPr="00B41E74">
        <w:rPr>
          <w:rFonts w:asciiTheme="majorBidi" w:hAnsiTheme="majorBidi" w:cstheme="majorBidi"/>
          <w:sz w:val="24"/>
          <w:szCs w:val="24"/>
        </w:rPr>
        <w:t>Gunduz</w:t>
      </w:r>
      <w:proofErr w:type="spellEnd"/>
      <w:r w:rsidR="00B41E74" w:rsidRPr="00B41E74">
        <w:rPr>
          <w:rFonts w:asciiTheme="majorBidi" w:hAnsiTheme="majorBidi" w:cstheme="majorBidi"/>
          <w:sz w:val="24"/>
          <w:szCs w:val="24"/>
        </w:rPr>
        <w:t xml:space="preserve"> OH</w:t>
      </w:r>
      <w:r w:rsidR="00B41E74" w:rsidRPr="00B41E74">
        <w:rPr>
          <w:rFonts w:asciiTheme="majorBidi" w:hAnsiTheme="majorBidi" w:cstheme="majorBidi"/>
          <w:sz w:val="24"/>
          <w:szCs w:val="24"/>
        </w:rPr>
        <w:t xml:space="preserve"> et al. (16) found that for</w:t>
      </w:r>
      <w:r w:rsidR="00B41E74" w:rsidRPr="00B41E74">
        <w:rPr>
          <w:rFonts w:asciiTheme="majorBidi" w:hAnsiTheme="majorBidi" w:cstheme="majorBidi"/>
          <w:sz w:val="24"/>
          <w:szCs w:val="24"/>
        </w:rPr>
        <w:t xml:space="preserve"> </w:t>
      </w:r>
      <w:r w:rsidR="00B41E74" w:rsidRPr="00B41E74">
        <w:rPr>
          <w:rFonts w:asciiTheme="majorBidi" w:hAnsiTheme="majorBidi" w:cstheme="majorBidi"/>
          <w:sz w:val="24"/>
          <w:szCs w:val="24"/>
        </w:rPr>
        <w:t>reaching</w:t>
      </w:r>
      <w:r w:rsidR="00B41E74" w:rsidRPr="00B41E74">
        <w:rPr>
          <w:rFonts w:asciiTheme="majorBidi" w:hAnsiTheme="majorBidi" w:cstheme="majorBidi"/>
          <w:sz w:val="24"/>
          <w:szCs w:val="24"/>
        </w:rPr>
        <w:t xml:space="preserve"> </w:t>
      </w:r>
      <w:r w:rsidR="00B41E74" w:rsidRPr="00B41E74">
        <w:rPr>
          <w:rFonts w:asciiTheme="majorBidi" w:hAnsiTheme="majorBidi" w:cstheme="majorBidi"/>
          <w:sz w:val="24"/>
          <w:szCs w:val="24"/>
        </w:rPr>
        <w:t>as a minimum</w:t>
      </w:r>
      <w:r w:rsidR="00B41E74" w:rsidRPr="00B41E74">
        <w:rPr>
          <w:rFonts w:asciiTheme="majorBidi" w:hAnsiTheme="majorBidi" w:cstheme="majorBidi"/>
          <w:sz w:val="24"/>
          <w:szCs w:val="24"/>
        </w:rPr>
        <w:t xml:space="preserve"> 50% relief of pain, the success rate of a first injection was 82</w:t>
      </w:r>
      <w:r w:rsidR="00B41E74">
        <w:rPr>
          <w:rFonts w:asciiTheme="majorBidi" w:hAnsiTheme="majorBidi" w:cstheme="majorBidi"/>
          <w:sz w:val="24"/>
          <w:szCs w:val="24"/>
        </w:rPr>
        <w:t>%</w:t>
      </w:r>
      <w:r w:rsidR="00B41E74" w:rsidRPr="00B41E74">
        <w:rPr>
          <w:rFonts w:asciiTheme="majorBidi" w:hAnsiTheme="majorBidi" w:cstheme="majorBidi"/>
          <w:sz w:val="24"/>
          <w:szCs w:val="24"/>
        </w:rPr>
        <w:t xml:space="preserve">. In patients with a successful </w:t>
      </w:r>
      <w:r w:rsidR="00B41E74">
        <w:rPr>
          <w:rFonts w:asciiTheme="majorBidi" w:hAnsiTheme="majorBidi" w:cstheme="majorBidi"/>
          <w:sz w:val="24"/>
          <w:szCs w:val="24"/>
        </w:rPr>
        <w:t>response</w:t>
      </w:r>
      <w:r w:rsidR="00B41E74" w:rsidRPr="00B41E74">
        <w:rPr>
          <w:rFonts w:asciiTheme="majorBidi" w:hAnsiTheme="majorBidi" w:cstheme="majorBidi"/>
          <w:sz w:val="24"/>
          <w:szCs w:val="24"/>
        </w:rPr>
        <w:t xml:space="preserve">, relief </w:t>
      </w:r>
      <w:r w:rsidR="00B41E74">
        <w:rPr>
          <w:rFonts w:asciiTheme="majorBidi" w:hAnsiTheme="majorBidi" w:cstheme="majorBidi"/>
          <w:sz w:val="24"/>
          <w:szCs w:val="24"/>
        </w:rPr>
        <w:t>was for about</w:t>
      </w:r>
      <w:r w:rsidR="00B41E74" w:rsidRPr="00B41E74">
        <w:rPr>
          <w:rFonts w:asciiTheme="majorBidi" w:hAnsiTheme="majorBidi" w:cstheme="majorBidi"/>
          <w:sz w:val="24"/>
          <w:szCs w:val="24"/>
        </w:rPr>
        <w:t xml:space="preserve"> 6 months. Relief was </w:t>
      </w:r>
      <w:r w:rsidR="00B41E74" w:rsidRPr="00B41E74">
        <w:rPr>
          <w:rFonts w:asciiTheme="majorBidi" w:hAnsiTheme="majorBidi" w:cstheme="majorBidi"/>
          <w:sz w:val="24"/>
          <w:szCs w:val="24"/>
        </w:rPr>
        <w:t>restored</w:t>
      </w:r>
      <w:r w:rsidR="00B41E74" w:rsidRPr="00B41E74">
        <w:rPr>
          <w:rFonts w:asciiTheme="majorBidi" w:hAnsiTheme="majorBidi" w:cstheme="majorBidi"/>
          <w:sz w:val="24"/>
          <w:szCs w:val="24"/>
        </w:rPr>
        <w:t xml:space="preserve"> for a median period of 17 months by a second injection in nine patients who presented for repeat treatment. </w:t>
      </w:r>
      <w:r w:rsidR="00C4318D">
        <w:rPr>
          <w:rFonts w:asciiTheme="majorBidi" w:hAnsiTheme="majorBidi" w:cstheme="majorBidi"/>
          <w:sz w:val="24"/>
          <w:szCs w:val="24"/>
        </w:rPr>
        <w:t xml:space="preserve">Also, </w:t>
      </w:r>
      <w:r w:rsidR="000E5C29" w:rsidRPr="00E76ABB">
        <w:rPr>
          <w:rFonts w:asciiTheme="majorBidi" w:hAnsiTheme="majorBidi" w:cstheme="majorBidi"/>
          <w:sz w:val="24"/>
          <w:szCs w:val="24"/>
        </w:rPr>
        <w:t>Aydin S</w:t>
      </w:r>
      <w:r w:rsidR="000E5C29">
        <w:rPr>
          <w:rFonts w:asciiTheme="majorBidi" w:hAnsiTheme="majorBidi" w:cstheme="majorBidi"/>
          <w:sz w:val="24"/>
          <w:szCs w:val="24"/>
        </w:rPr>
        <w:t xml:space="preserve"> (25) </w:t>
      </w:r>
      <w:r w:rsidR="00C4318D">
        <w:rPr>
          <w:rFonts w:asciiTheme="majorBidi" w:hAnsiTheme="majorBidi" w:cstheme="majorBidi"/>
          <w:sz w:val="24"/>
          <w:szCs w:val="24"/>
        </w:rPr>
        <w:t xml:space="preserve">in India documented </w:t>
      </w:r>
      <w:r w:rsidR="000E5C29">
        <w:rPr>
          <w:rFonts w:asciiTheme="majorBidi" w:hAnsiTheme="majorBidi" w:cstheme="majorBidi"/>
          <w:sz w:val="24"/>
          <w:szCs w:val="24"/>
        </w:rPr>
        <w:t xml:space="preserve">for </w:t>
      </w:r>
      <w:r w:rsidR="00C4318D" w:rsidRPr="00C4318D">
        <w:rPr>
          <w:rFonts w:asciiTheme="majorBidi" w:hAnsiTheme="majorBidi" w:cstheme="majorBidi"/>
          <w:sz w:val="24"/>
          <w:szCs w:val="24"/>
        </w:rPr>
        <w:t>significant</w:t>
      </w:r>
      <w:r w:rsidR="000E5C29">
        <w:rPr>
          <w:rFonts w:asciiTheme="majorBidi" w:hAnsiTheme="majorBidi" w:cstheme="majorBidi"/>
          <w:sz w:val="24"/>
          <w:szCs w:val="24"/>
        </w:rPr>
        <w:t xml:space="preserve"> reduction</w:t>
      </w:r>
      <w:r w:rsidR="00C4318D" w:rsidRPr="00C4318D">
        <w:rPr>
          <w:rFonts w:asciiTheme="majorBidi" w:hAnsiTheme="majorBidi" w:cstheme="majorBidi"/>
          <w:sz w:val="24"/>
          <w:szCs w:val="24"/>
        </w:rPr>
        <w:t xml:space="preserve"> </w:t>
      </w:r>
      <w:r w:rsidR="00C4318D">
        <w:rPr>
          <w:rFonts w:asciiTheme="majorBidi" w:hAnsiTheme="majorBidi" w:cstheme="majorBidi"/>
          <w:sz w:val="24"/>
          <w:szCs w:val="24"/>
        </w:rPr>
        <w:t xml:space="preserve">in pain score after </w:t>
      </w:r>
      <w:r w:rsidR="00C4318D" w:rsidRPr="00C4318D">
        <w:rPr>
          <w:rFonts w:asciiTheme="majorBidi" w:hAnsiTheme="majorBidi" w:cstheme="majorBidi"/>
          <w:sz w:val="24"/>
          <w:szCs w:val="24"/>
        </w:rPr>
        <w:t>fluoroscopy</w:t>
      </w:r>
      <w:r w:rsidR="00C4318D" w:rsidRPr="00C4318D">
        <w:rPr>
          <w:rFonts w:asciiTheme="majorBidi" w:hAnsiTheme="majorBidi" w:cstheme="majorBidi"/>
          <w:sz w:val="24"/>
          <w:szCs w:val="24"/>
        </w:rPr>
        <w:t>-guided</w:t>
      </w:r>
      <w:r w:rsidR="00C4318D">
        <w:rPr>
          <w:rFonts w:asciiTheme="majorBidi" w:hAnsiTheme="majorBidi" w:cstheme="majorBidi"/>
          <w:sz w:val="24"/>
          <w:szCs w:val="24"/>
        </w:rPr>
        <w:t xml:space="preserve"> </w:t>
      </w:r>
      <w:r w:rsidR="00C4318D" w:rsidRPr="00C4318D">
        <w:rPr>
          <w:rFonts w:asciiTheme="majorBidi" w:hAnsiTheme="majorBidi" w:cstheme="majorBidi"/>
          <w:sz w:val="24"/>
          <w:szCs w:val="24"/>
        </w:rPr>
        <w:t>transsacro-coccygeal ganglion impar</w:t>
      </w:r>
      <w:r w:rsidR="00C4318D">
        <w:rPr>
          <w:rFonts w:asciiTheme="majorBidi" w:hAnsiTheme="majorBidi" w:cstheme="majorBidi"/>
          <w:sz w:val="24"/>
          <w:szCs w:val="24"/>
        </w:rPr>
        <w:t xml:space="preserve"> </w:t>
      </w:r>
      <w:r w:rsidR="00C4318D" w:rsidRPr="00C4318D">
        <w:rPr>
          <w:rFonts w:asciiTheme="majorBidi" w:hAnsiTheme="majorBidi" w:cstheme="majorBidi"/>
          <w:sz w:val="24"/>
          <w:szCs w:val="24"/>
        </w:rPr>
        <w:t>block. The mean preoperative VAS score was found</w:t>
      </w:r>
      <w:r w:rsidR="00C4318D">
        <w:rPr>
          <w:rFonts w:asciiTheme="majorBidi" w:hAnsiTheme="majorBidi" w:cstheme="majorBidi"/>
          <w:sz w:val="24"/>
          <w:szCs w:val="24"/>
        </w:rPr>
        <w:t xml:space="preserve"> </w:t>
      </w:r>
      <w:r w:rsidR="00C4318D" w:rsidRPr="00C4318D">
        <w:rPr>
          <w:rFonts w:asciiTheme="majorBidi" w:hAnsiTheme="majorBidi" w:cstheme="majorBidi"/>
          <w:sz w:val="24"/>
          <w:szCs w:val="24"/>
        </w:rPr>
        <w:t xml:space="preserve">to be 8 whereas the mean postoperative VAS score at </w:t>
      </w:r>
      <w:r w:rsidR="000E5C29">
        <w:rPr>
          <w:rFonts w:asciiTheme="majorBidi" w:hAnsiTheme="majorBidi" w:cstheme="majorBidi"/>
          <w:sz w:val="24"/>
          <w:szCs w:val="24"/>
        </w:rPr>
        <w:t>after 1 year</w:t>
      </w:r>
      <w:r w:rsidR="00C4318D" w:rsidRPr="00C4318D">
        <w:rPr>
          <w:rFonts w:asciiTheme="majorBidi" w:hAnsiTheme="majorBidi" w:cstheme="majorBidi"/>
          <w:sz w:val="24"/>
          <w:szCs w:val="24"/>
        </w:rPr>
        <w:t xml:space="preserve"> was 0.3</w:t>
      </w:r>
      <w:r w:rsidR="000E5C29">
        <w:rPr>
          <w:rFonts w:asciiTheme="majorBidi" w:hAnsiTheme="majorBidi" w:cstheme="majorBidi"/>
          <w:sz w:val="24"/>
          <w:szCs w:val="24"/>
        </w:rPr>
        <w:t xml:space="preserve">. </w:t>
      </w:r>
      <w:r w:rsidR="00E76ABB">
        <w:rPr>
          <w:rFonts w:asciiTheme="majorBidi" w:hAnsiTheme="majorBidi" w:cstheme="majorBidi"/>
          <w:sz w:val="24"/>
          <w:szCs w:val="24"/>
        </w:rPr>
        <w:t xml:space="preserve">Another study in </w:t>
      </w:r>
      <w:r w:rsidR="009A54BD">
        <w:rPr>
          <w:rFonts w:asciiTheme="majorBidi" w:hAnsiTheme="majorBidi" w:cstheme="majorBidi"/>
          <w:sz w:val="24"/>
          <w:szCs w:val="24"/>
        </w:rPr>
        <w:t>India</w:t>
      </w:r>
      <w:r w:rsidR="00E76ABB">
        <w:rPr>
          <w:rFonts w:asciiTheme="majorBidi" w:hAnsiTheme="majorBidi" w:cstheme="majorBidi"/>
          <w:sz w:val="24"/>
          <w:szCs w:val="24"/>
        </w:rPr>
        <w:t xml:space="preserve"> reported for a </w:t>
      </w:r>
      <w:r w:rsidR="00E03809">
        <w:rPr>
          <w:rFonts w:asciiTheme="majorBidi" w:hAnsiTheme="majorBidi" w:cstheme="majorBidi"/>
          <w:sz w:val="24"/>
          <w:szCs w:val="24"/>
        </w:rPr>
        <w:t>dramatic</w:t>
      </w:r>
      <w:r w:rsidR="00E76ABB">
        <w:rPr>
          <w:rFonts w:asciiTheme="majorBidi" w:hAnsiTheme="majorBidi" w:cstheme="majorBidi"/>
          <w:sz w:val="24"/>
          <w:szCs w:val="24"/>
        </w:rPr>
        <w:t xml:space="preserve"> significant reduction in </w:t>
      </w:r>
      <w:r w:rsidR="00E76ABB" w:rsidRPr="00E76ABB">
        <w:rPr>
          <w:rFonts w:asciiTheme="majorBidi" w:hAnsiTheme="majorBidi" w:cstheme="majorBidi"/>
          <w:sz w:val="24"/>
          <w:szCs w:val="24"/>
        </w:rPr>
        <w:t xml:space="preserve">pain score from </w:t>
      </w:r>
      <w:r w:rsidR="00E76ABB" w:rsidRPr="00E76ABB">
        <w:rPr>
          <w:rFonts w:asciiTheme="majorBidi" w:hAnsiTheme="majorBidi" w:cstheme="majorBidi"/>
          <w:sz w:val="24"/>
          <w:szCs w:val="24"/>
        </w:rPr>
        <w:t xml:space="preserve">7.90 ± 0.16 </w:t>
      </w:r>
      <w:r w:rsidR="00E76ABB" w:rsidRPr="00E76ABB">
        <w:rPr>
          <w:rFonts w:asciiTheme="majorBidi" w:hAnsiTheme="majorBidi" w:cstheme="majorBidi"/>
          <w:sz w:val="24"/>
          <w:szCs w:val="24"/>
        </w:rPr>
        <w:t>before GIB to</w:t>
      </w:r>
      <w:r w:rsidR="00E76ABB" w:rsidRPr="00E76ABB">
        <w:rPr>
          <w:rFonts w:asciiTheme="majorBidi" w:hAnsiTheme="majorBidi" w:cstheme="majorBidi"/>
          <w:sz w:val="24"/>
          <w:szCs w:val="24"/>
        </w:rPr>
        <w:t xml:space="preserve"> 48.97 ± 1.05</w:t>
      </w:r>
      <w:r w:rsidR="00E76ABB" w:rsidRPr="00E76ABB">
        <w:rPr>
          <w:rFonts w:asciiTheme="majorBidi" w:hAnsiTheme="majorBidi" w:cstheme="majorBidi"/>
          <w:sz w:val="24"/>
          <w:szCs w:val="24"/>
        </w:rPr>
        <w:t xml:space="preserve"> after GIB</w:t>
      </w:r>
      <w:r w:rsidR="00E76ABB" w:rsidRPr="00E76ABB">
        <w:rPr>
          <w:rFonts w:asciiTheme="majorBidi" w:hAnsiTheme="majorBidi" w:cstheme="majorBidi"/>
          <w:sz w:val="24"/>
          <w:szCs w:val="24"/>
        </w:rPr>
        <w:t xml:space="preserve">. </w:t>
      </w:r>
      <w:r w:rsidR="00F149C8">
        <w:rPr>
          <w:rFonts w:asciiTheme="majorBidi" w:hAnsiTheme="majorBidi" w:cstheme="majorBidi"/>
          <w:sz w:val="24"/>
          <w:szCs w:val="24"/>
        </w:rPr>
        <w:t>(26)</w:t>
      </w:r>
      <w:r w:rsidR="00200713">
        <w:rPr>
          <w:rFonts w:asciiTheme="majorBidi" w:hAnsiTheme="majorBidi" w:cstheme="majorBidi"/>
          <w:sz w:val="24"/>
          <w:szCs w:val="24"/>
        </w:rPr>
        <w:t xml:space="preserve"> These e findings regarding the efficacy if GIB in managing pain among patients with chronic coccydynia was approved by many other research studies. (27-30)</w:t>
      </w:r>
    </w:p>
    <w:p w:rsidR="001C4A0C" w:rsidRDefault="006A0CDB" w:rsidP="001B5B36">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Regarding </w:t>
      </w:r>
      <w:r w:rsidR="001C4A0C">
        <w:rPr>
          <w:rFonts w:asciiTheme="majorBidi" w:hAnsiTheme="majorBidi" w:cstheme="majorBidi"/>
          <w:sz w:val="24"/>
          <w:szCs w:val="24"/>
        </w:rPr>
        <w:t>f</w:t>
      </w:r>
      <w:r w:rsidR="001C4A0C" w:rsidRPr="001C4A0C">
        <w:rPr>
          <w:rFonts w:asciiTheme="majorBidi" w:hAnsiTheme="majorBidi" w:cstheme="majorBidi"/>
          <w:sz w:val="24"/>
          <w:szCs w:val="24"/>
        </w:rPr>
        <w:t>actors associated with Successful Responses to Ganglion Impar Block</w:t>
      </w:r>
      <w:r w:rsidR="001C4A0C">
        <w:rPr>
          <w:rFonts w:asciiTheme="majorBidi" w:hAnsiTheme="majorBidi" w:cstheme="majorBidi"/>
          <w:sz w:val="24"/>
          <w:szCs w:val="24"/>
        </w:rPr>
        <w:t xml:space="preserve">, the current study showed that obese patients, nondiabetic, those with pain on coccyx significantly showed the highest improvement rate. </w:t>
      </w:r>
      <w:r w:rsidR="001C4A0C" w:rsidRPr="001C4A0C">
        <w:rPr>
          <w:rFonts w:asciiTheme="majorBidi" w:hAnsiTheme="majorBidi" w:cstheme="majorBidi"/>
          <w:sz w:val="24"/>
          <w:szCs w:val="24"/>
        </w:rPr>
        <w:t>Kim CS</w:t>
      </w:r>
      <w:r w:rsidR="001C4A0C" w:rsidRPr="001C4A0C">
        <w:rPr>
          <w:rFonts w:asciiTheme="majorBidi" w:hAnsiTheme="majorBidi" w:cstheme="majorBidi"/>
          <w:sz w:val="24"/>
          <w:szCs w:val="24"/>
        </w:rPr>
        <w:t xml:space="preserve"> et al. (31) found that, </w:t>
      </w:r>
      <w:r w:rsidR="001C4A0C" w:rsidRPr="001C4A0C">
        <w:rPr>
          <w:rFonts w:asciiTheme="majorBidi" w:hAnsiTheme="majorBidi" w:cstheme="majorBidi"/>
          <w:sz w:val="24"/>
          <w:szCs w:val="24"/>
        </w:rPr>
        <w:t>cancer-related causes were significantly associated with successful responses at 1 month after ganglion impar block</w:t>
      </w:r>
      <w:r w:rsidR="001C4A0C">
        <w:rPr>
          <w:rFonts w:asciiTheme="majorBidi" w:hAnsiTheme="majorBidi" w:cstheme="majorBidi"/>
          <w:sz w:val="24"/>
          <w:szCs w:val="24"/>
        </w:rPr>
        <w:t xml:space="preserve"> but co-morbidities, BMI and other demographics showed insignificant relation with Suscceful response. </w:t>
      </w:r>
      <w:r w:rsidR="002E5346">
        <w:rPr>
          <w:rFonts w:asciiTheme="majorBidi" w:hAnsiTheme="majorBidi" w:cstheme="majorBidi"/>
          <w:sz w:val="24"/>
          <w:szCs w:val="24"/>
        </w:rPr>
        <w:t xml:space="preserve">Another significant </w:t>
      </w:r>
      <w:r w:rsidR="00E00B64">
        <w:rPr>
          <w:rFonts w:asciiTheme="majorBidi" w:hAnsiTheme="majorBidi" w:cstheme="majorBidi"/>
          <w:sz w:val="24"/>
          <w:szCs w:val="24"/>
        </w:rPr>
        <w:t>finding</w:t>
      </w:r>
      <w:r w:rsidR="002E5346">
        <w:rPr>
          <w:rFonts w:asciiTheme="majorBidi" w:hAnsiTheme="majorBidi" w:cstheme="majorBidi"/>
          <w:sz w:val="24"/>
          <w:szCs w:val="24"/>
        </w:rPr>
        <w:t xml:space="preserve"> in this study was that higher response for longer duration was noticed among patients undergone GIB followed by </w:t>
      </w:r>
      <w:r w:rsidR="002E5346" w:rsidRPr="00E00B64">
        <w:rPr>
          <w:rFonts w:asciiTheme="majorBidi" w:hAnsiTheme="majorBidi" w:cstheme="majorBidi"/>
          <w:sz w:val="24"/>
          <w:szCs w:val="24"/>
        </w:rPr>
        <w:t>platelet-rich plasma for sacrococcygeal ligament</w:t>
      </w:r>
      <w:r w:rsidR="002E5346" w:rsidRPr="00E00B64">
        <w:rPr>
          <w:rFonts w:asciiTheme="majorBidi" w:hAnsiTheme="majorBidi" w:cstheme="majorBidi"/>
          <w:sz w:val="24"/>
          <w:szCs w:val="24"/>
        </w:rPr>
        <w:t xml:space="preserve"> (PRP) where nearly three-</w:t>
      </w:r>
      <w:r w:rsidR="002E5346" w:rsidRPr="00E00B64">
        <w:rPr>
          <w:rFonts w:asciiTheme="majorBidi" w:hAnsiTheme="majorBidi" w:cstheme="majorBidi"/>
          <w:sz w:val="24"/>
          <w:szCs w:val="24"/>
        </w:rPr>
        <w:lastRenderedPageBreak/>
        <w:t xml:space="preserve">fourths showed extra improvement for longer months. </w:t>
      </w:r>
      <w:proofErr w:type="spellStart"/>
      <w:r w:rsidR="001B5B36" w:rsidRPr="001B5B36">
        <w:rPr>
          <w:rFonts w:ascii="Times New Roman" w:eastAsia="Calibri" w:hAnsi="Times New Roman" w:cs="Times New Roman"/>
          <w:sz w:val="24"/>
          <w:szCs w:val="24"/>
        </w:rPr>
        <w:t>Hazazi</w:t>
      </w:r>
      <w:proofErr w:type="spellEnd"/>
      <w:r w:rsidR="001B5B36" w:rsidRPr="001B5B36">
        <w:rPr>
          <w:rFonts w:ascii="Times New Roman" w:eastAsia="Calibri" w:hAnsi="Times New Roman" w:cs="Times New Roman"/>
          <w:sz w:val="24"/>
          <w:szCs w:val="24"/>
        </w:rPr>
        <w:t xml:space="preserve"> A</w:t>
      </w:r>
      <w:r w:rsidR="001B5B36">
        <w:rPr>
          <w:rFonts w:asciiTheme="majorBidi" w:hAnsiTheme="majorBidi" w:cstheme="majorBidi"/>
          <w:sz w:val="24"/>
          <w:szCs w:val="24"/>
        </w:rPr>
        <w:t xml:space="preserve"> (32) i</w:t>
      </w:r>
      <w:r w:rsidR="00987AB5">
        <w:rPr>
          <w:rFonts w:asciiTheme="majorBidi" w:hAnsiTheme="majorBidi" w:cstheme="majorBidi"/>
          <w:sz w:val="24"/>
          <w:szCs w:val="24"/>
        </w:rPr>
        <w:t xml:space="preserve">n his case reported revealed that </w:t>
      </w:r>
      <w:r w:rsidR="001B5B36">
        <w:rPr>
          <w:rFonts w:asciiTheme="majorBidi" w:hAnsiTheme="majorBidi" w:cstheme="majorBidi"/>
          <w:sz w:val="24"/>
          <w:szCs w:val="24"/>
        </w:rPr>
        <w:t xml:space="preserve">pain reduction by about </w:t>
      </w:r>
      <w:r w:rsidR="00987AB5" w:rsidRPr="00987AB5">
        <w:rPr>
          <w:rFonts w:asciiTheme="majorBidi" w:hAnsiTheme="majorBidi" w:cstheme="majorBidi"/>
          <w:sz w:val="24"/>
          <w:szCs w:val="24"/>
        </w:rPr>
        <w:t>30%, 70%, and 85% after the first, second, and third injection, respectively</w:t>
      </w:r>
      <w:r w:rsidR="001B5B36">
        <w:rPr>
          <w:rFonts w:asciiTheme="majorBidi" w:hAnsiTheme="majorBidi" w:cstheme="majorBidi"/>
          <w:sz w:val="24"/>
          <w:szCs w:val="24"/>
        </w:rPr>
        <w:t xml:space="preserve"> among patients with </w:t>
      </w:r>
      <w:r w:rsidR="001B5B36" w:rsidRPr="001B5B36">
        <w:rPr>
          <w:rFonts w:asciiTheme="majorBidi" w:hAnsiTheme="majorBidi" w:cstheme="majorBidi"/>
          <w:sz w:val="24"/>
          <w:szCs w:val="24"/>
        </w:rPr>
        <w:t>Refractory Coccydynia</w:t>
      </w:r>
      <w:r w:rsidR="00987AB5" w:rsidRPr="00987AB5">
        <w:rPr>
          <w:rFonts w:asciiTheme="majorBidi" w:hAnsiTheme="majorBidi" w:cstheme="majorBidi"/>
          <w:sz w:val="24"/>
          <w:szCs w:val="24"/>
        </w:rPr>
        <w:t>. At six months, the</w:t>
      </w:r>
      <w:r w:rsidR="001B5B36">
        <w:rPr>
          <w:rFonts w:asciiTheme="majorBidi" w:hAnsiTheme="majorBidi" w:cstheme="majorBidi"/>
          <w:sz w:val="24"/>
          <w:szCs w:val="24"/>
        </w:rPr>
        <w:t xml:space="preserve"> </w:t>
      </w:r>
      <w:r w:rsidR="00987AB5" w:rsidRPr="00987AB5">
        <w:rPr>
          <w:rFonts w:asciiTheme="majorBidi" w:hAnsiTheme="majorBidi" w:cstheme="majorBidi"/>
          <w:sz w:val="24"/>
          <w:szCs w:val="24"/>
        </w:rPr>
        <w:t>patient continued to experience the same level of reduced pain without the use of regular pain medications</w:t>
      </w:r>
      <w:r w:rsidR="001B5B36">
        <w:rPr>
          <w:rFonts w:asciiTheme="majorBidi" w:hAnsiTheme="majorBidi" w:cstheme="majorBidi"/>
          <w:sz w:val="24"/>
          <w:szCs w:val="24"/>
        </w:rPr>
        <w:t>.</w:t>
      </w:r>
    </w:p>
    <w:p w:rsidR="001B5B36" w:rsidRDefault="001B5B36" w:rsidP="001B5B36">
      <w:pPr>
        <w:bidi w:val="0"/>
        <w:spacing w:line="480" w:lineRule="auto"/>
        <w:jc w:val="both"/>
        <w:rPr>
          <w:rFonts w:asciiTheme="majorBidi" w:hAnsiTheme="majorBidi" w:cstheme="majorBidi"/>
          <w:b/>
          <w:bCs/>
          <w:sz w:val="24"/>
          <w:szCs w:val="24"/>
        </w:rPr>
      </w:pPr>
      <w:r w:rsidRPr="001B5B36">
        <w:rPr>
          <w:rFonts w:asciiTheme="majorBidi" w:hAnsiTheme="majorBidi" w:cstheme="majorBidi"/>
          <w:b/>
          <w:bCs/>
          <w:sz w:val="24"/>
          <w:szCs w:val="24"/>
        </w:rPr>
        <w:t>Conclusions and recommendations</w:t>
      </w:r>
    </w:p>
    <w:p w:rsidR="002E5346" w:rsidRPr="001C4A0C" w:rsidRDefault="001B5B36" w:rsidP="00565767">
      <w:pPr>
        <w:bidi w:val="0"/>
        <w:spacing w:line="480" w:lineRule="auto"/>
        <w:jc w:val="both"/>
        <w:rPr>
          <w:rFonts w:asciiTheme="majorBidi" w:hAnsiTheme="majorBidi" w:cstheme="majorBidi"/>
          <w:sz w:val="24"/>
          <w:szCs w:val="24"/>
        </w:rPr>
      </w:pPr>
      <w:r w:rsidRPr="00465715">
        <w:rPr>
          <w:rFonts w:asciiTheme="majorBidi" w:hAnsiTheme="majorBidi" w:cstheme="majorBidi"/>
          <w:sz w:val="24"/>
          <w:szCs w:val="24"/>
        </w:rPr>
        <w:t xml:space="preserve">In conclusion, the current study showed that chronic </w:t>
      </w:r>
      <w:r w:rsidRPr="001B5B36">
        <w:rPr>
          <w:rFonts w:asciiTheme="majorBidi" w:hAnsiTheme="majorBidi" w:cstheme="majorBidi"/>
          <w:sz w:val="24"/>
          <w:szCs w:val="24"/>
        </w:rPr>
        <w:t>Coccydynia</w:t>
      </w:r>
      <w:r>
        <w:rPr>
          <w:rFonts w:asciiTheme="majorBidi" w:hAnsiTheme="majorBidi" w:cstheme="majorBidi"/>
          <w:sz w:val="24"/>
          <w:szCs w:val="24"/>
        </w:rPr>
        <w:t xml:space="preserve"> was more reported among females round the age of 40s. Coccyx type 4 and 3 were the dominant among cases with setting for a along period as an aggravating factor. High reduction in pain (up to 90%) was reported among cases injected with GIB but extra improvement for longer duration was noticed for cases injected with GIB then with PRP.  </w:t>
      </w:r>
      <w:r w:rsidR="004C7DD7">
        <w:rPr>
          <w:rFonts w:asciiTheme="majorBidi" w:hAnsiTheme="majorBidi" w:cstheme="majorBidi"/>
          <w:sz w:val="24"/>
          <w:szCs w:val="24"/>
        </w:rPr>
        <w:t xml:space="preserve">Obesity, non-diabetics and pain </w:t>
      </w:r>
      <w:r w:rsidR="00565767">
        <w:rPr>
          <w:rFonts w:asciiTheme="majorBidi" w:hAnsiTheme="majorBidi" w:cstheme="majorBidi"/>
          <w:sz w:val="24"/>
          <w:szCs w:val="24"/>
        </w:rPr>
        <w:t>in</w:t>
      </w:r>
      <w:r w:rsidR="004C7DD7">
        <w:rPr>
          <w:rFonts w:asciiTheme="majorBidi" w:hAnsiTheme="majorBidi" w:cstheme="majorBidi"/>
          <w:sz w:val="24"/>
          <w:szCs w:val="24"/>
        </w:rPr>
        <w:t xml:space="preserve"> coccyx rather than peri-anal pain were significantly associated with high </w:t>
      </w:r>
      <w:r w:rsidR="00565767">
        <w:rPr>
          <w:rFonts w:asciiTheme="majorBidi" w:hAnsiTheme="majorBidi" w:cstheme="majorBidi"/>
          <w:sz w:val="24"/>
          <w:szCs w:val="24"/>
        </w:rPr>
        <w:t>Suscceful</w:t>
      </w:r>
      <w:r w:rsidR="004C7DD7">
        <w:rPr>
          <w:rFonts w:asciiTheme="majorBidi" w:hAnsiTheme="majorBidi" w:cstheme="majorBidi"/>
          <w:sz w:val="24"/>
          <w:szCs w:val="24"/>
        </w:rPr>
        <w:t xml:space="preserve"> response rate. </w:t>
      </w:r>
      <w:r w:rsidR="00565767">
        <w:rPr>
          <w:rFonts w:asciiTheme="majorBidi" w:hAnsiTheme="majorBidi" w:cstheme="majorBidi"/>
          <w:sz w:val="24"/>
          <w:szCs w:val="24"/>
        </w:rPr>
        <w:t>L</w:t>
      </w:r>
      <w:r w:rsidR="002E5346" w:rsidRPr="002E5346">
        <w:rPr>
          <w:rFonts w:asciiTheme="majorBidi" w:hAnsiTheme="majorBidi" w:cstheme="majorBidi"/>
          <w:sz w:val="24"/>
          <w:szCs w:val="24"/>
        </w:rPr>
        <w:t>ong-term</w:t>
      </w:r>
      <w:r w:rsidR="00565767">
        <w:rPr>
          <w:rFonts w:asciiTheme="majorBidi" w:hAnsiTheme="majorBidi" w:cstheme="majorBidi"/>
          <w:sz w:val="24"/>
          <w:szCs w:val="24"/>
        </w:rPr>
        <w:t xml:space="preserve"> </w:t>
      </w:r>
      <w:r w:rsidR="002E5346" w:rsidRPr="002E5346">
        <w:rPr>
          <w:rFonts w:asciiTheme="majorBidi" w:hAnsiTheme="majorBidi" w:cstheme="majorBidi"/>
          <w:sz w:val="24"/>
          <w:szCs w:val="24"/>
        </w:rPr>
        <w:t>effectiveness of this technique</w:t>
      </w:r>
      <w:r w:rsidR="00565767">
        <w:rPr>
          <w:rFonts w:asciiTheme="majorBidi" w:hAnsiTheme="majorBidi" w:cstheme="majorBidi"/>
          <w:sz w:val="24"/>
          <w:szCs w:val="24"/>
        </w:rPr>
        <w:t xml:space="preserve"> is still questionable</w:t>
      </w:r>
      <w:r w:rsidR="002E5346" w:rsidRPr="002E5346">
        <w:rPr>
          <w:rFonts w:asciiTheme="majorBidi" w:hAnsiTheme="majorBidi" w:cstheme="majorBidi"/>
          <w:sz w:val="24"/>
          <w:szCs w:val="24"/>
        </w:rPr>
        <w:t>. The objective of repeated blocks is to try to “desensitize” patients.</w:t>
      </w:r>
    </w:p>
    <w:p w:rsidR="006A0CDB" w:rsidRPr="00C5009E" w:rsidRDefault="006A0CDB" w:rsidP="006A0CDB">
      <w:pPr>
        <w:bidi w:val="0"/>
        <w:spacing w:line="480" w:lineRule="auto"/>
        <w:jc w:val="both"/>
        <w:rPr>
          <w:rFonts w:asciiTheme="majorBidi" w:hAnsiTheme="majorBidi" w:cstheme="majorBidi"/>
          <w:sz w:val="24"/>
          <w:szCs w:val="24"/>
        </w:rPr>
      </w:pPr>
    </w:p>
    <w:p w:rsidR="00C5009E" w:rsidRPr="00392F96" w:rsidRDefault="00C5009E" w:rsidP="00C5009E">
      <w:pPr>
        <w:bidi w:val="0"/>
        <w:spacing w:line="480" w:lineRule="auto"/>
        <w:jc w:val="both"/>
        <w:rPr>
          <w:rFonts w:asciiTheme="majorBidi" w:hAnsiTheme="majorBidi" w:cstheme="majorBidi"/>
          <w:sz w:val="24"/>
          <w:szCs w:val="24"/>
        </w:rPr>
      </w:pPr>
    </w:p>
    <w:p w:rsidR="00FD205F" w:rsidRPr="00CD5D13" w:rsidRDefault="00FD205F" w:rsidP="00FD205F">
      <w:pPr>
        <w:bidi w:val="0"/>
        <w:spacing w:line="480" w:lineRule="auto"/>
        <w:jc w:val="both"/>
        <w:rPr>
          <w:rFonts w:asciiTheme="majorBidi" w:hAnsiTheme="majorBidi" w:cstheme="majorBidi"/>
          <w:sz w:val="24"/>
          <w:szCs w:val="24"/>
        </w:rPr>
      </w:pPr>
    </w:p>
    <w:p w:rsidR="00C72CA3" w:rsidRDefault="00C72CA3" w:rsidP="00C72CA3">
      <w:pPr>
        <w:bidi w:val="0"/>
        <w:spacing w:line="480" w:lineRule="auto"/>
        <w:jc w:val="both"/>
        <w:rPr>
          <w:rFonts w:asciiTheme="majorBidi" w:hAnsiTheme="majorBidi" w:cstheme="majorBidi"/>
          <w:sz w:val="24"/>
          <w:szCs w:val="24"/>
        </w:rPr>
      </w:pPr>
    </w:p>
    <w:p w:rsidR="004E50EF" w:rsidRPr="008F1DAE" w:rsidRDefault="004E50EF" w:rsidP="004E50EF">
      <w:pPr>
        <w:bidi w:val="0"/>
        <w:spacing w:line="480" w:lineRule="auto"/>
        <w:jc w:val="both"/>
        <w:rPr>
          <w:rFonts w:asciiTheme="majorBidi" w:hAnsiTheme="majorBidi" w:cstheme="majorBidi"/>
          <w:sz w:val="24"/>
          <w:szCs w:val="24"/>
        </w:rPr>
      </w:pPr>
    </w:p>
    <w:p w:rsidR="00C47F0C" w:rsidRDefault="00C47F0C" w:rsidP="00C47F0C">
      <w:pPr>
        <w:bidi w:val="0"/>
        <w:spacing w:line="480" w:lineRule="auto"/>
        <w:jc w:val="both"/>
        <w:rPr>
          <w:rFonts w:asciiTheme="majorBidi" w:hAnsiTheme="majorBidi" w:cstheme="majorBidi"/>
          <w:sz w:val="24"/>
          <w:szCs w:val="24"/>
        </w:rPr>
      </w:pPr>
    </w:p>
    <w:p w:rsidR="003F78EB" w:rsidRDefault="003F78EB" w:rsidP="003F78EB">
      <w:pPr>
        <w:bidi w:val="0"/>
        <w:spacing w:line="480" w:lineRule="auto"/>
        <w:jc w:val="both"/>
        <w:rPr>
          <w:rFonts w:asciiTheme="majorBidi" w:hAnsiTheme="majorBidi" w:cstheme="majorBidi"/>
          <w:sz w:val="24"/>
          <w:szCs w:val="24"/>
        </w:rPr>
      </w:pPr>
    </w:p>
    <w:p w:rsidR="0040689A" w:rsidRDefault="0040689A" w:rsidP="0040689A">
      <w:pPr>
        <w:bidi w:val="0"/>
        <w:spacing w:line="480" w:lineRule="auto"/>
        <w:jc w:val="both"/>
        <w:rPr>
          <w:rFonts w:ascii="Times New Roman" w:eastAsia="Calibri" w:hAnsi="Times New Roman" w:cs="Times New Roman"/>
          <w:b/>
          <w:bCs/>
          <w:sz w:val="24"/>
          <w:szCs w:val="24"/>
        </w:rPr>
      </w:pPr>
      <w:r w:rsidRPr="00A458B9">
        <w:rPr>
          <w:rFonts w:ascii="Times New Roman" w:eastAsia="Calibri" w:hAnsi="Times New Roman" w:cs="Times New Roman"/>
          <w:b/>
          <w:bCs/>
          <w:sz w:val="24"/>
          <w:szCs w:val="24"/>
        </w:rPr>
        <w:lastRenderedPageBreak/>
        <w:t>References</w:t>
      </w:r>
    </w:p>
    <w:p w:rsidR="0040689A" w:rsidRPr="00860E7E" w:rsidRDefault="0040689A" w:rsidP="0040689A">
      <w:pPr>
        <w:pStyle w:val="ListParagraph"/>
        <w:numPr>
          <w:ilvl w:val="0"/>
          <w:numId w:val="4"/>
        </w:numPr>
        <w:spacing w:line="480" w:lineRule="auto"/>
        <w:jc w:val="both"/>
        <w:rPr>
          <w:rFonts w:ascii="Times New Roman" w:eastAsia="Calibri" w:hAnsi="Times New Roman" w:cs="Times New Roman"/>
          <w:sz w:val="24"/>
          <w:szCs w:val="24"/>
        </w:rPr>
      </w:pPr>
      <w:r w:rsidRPr="00860E7E">
        <w:rPr>
          <w:rFonts w:ascii="Times New Roman" w:eastAsia="Calibri" w:hAnsi="Times New Roman" w:cs="Times New Roman"/>
          <w:sz w:val="24"/>
          <w:szCs w:val="24"/>
        </w:rPr>
        <w:t xml:space="preserve">Simpson J. Clinical lectures on the diseases of women. Lecture XVII: coccydynia and diseases and deformities of the coccyx. Med Times Gaz. 1859; 40:1-7. </w:t>
      </w:r>
    </w:p>
    <w:p w:rsidR="0040689A" w:rsidRPr="00860E7E" w:rsidRDefault="0040689A" w:rsidP="0040689A">
      <w:pPr>
        <w:pStyle w:val="ListParagraph"/>
        <w:numPr>
          <w:ilvl w:val="0"/>
          <w:numId w:val="4"/>
        </w:numPr>
        <w:spacing w:line="480" w:lineRule="auto"/>
        <w:jc w:val="both"/>
        <w:rPr>
          <w:rFonts w:ascii="Times New Roman" w:eastAsia="Calibri" w:hAnsi="Times New Roman" w:cs="Times New Roman"/>
          <w:sz w:val="24"/>
          <w:szCs w:val="24"/>
        </w:rPr>
      </w:pPr>
      <w:r w:rsidRPr="00860E7E">
        <w:rPr>
          <w:rFonts w:ascii="Times New Roman" w:eastAsia="Calibri" w:hAnsi="Times New Roman" w:cs="Times New Roman"/>
          <w:sz w:val="24"/>
          <w:szCs w:val="24"/>
        </w:rPr>
        <w:t xml:space="preserve">Grosso NP, van Dam BE. Total coccygectomy for the relief of coccygodynia: a retrospective review. J Spinal </w:t>
      </w:r>
      <w:proofErr w:type="spellStart"/>
      <w:r w:rsidRPr="00860E7E">
        <w:rPr>
          <w:rFonts w:ascii="Times New Roman" w:eastAsia="Calibri" w:hAnsi="Times New Roman" w:cs="Times New Roman"/>
          <w:sz w:val="24"/>
          <w:szCs w:val="24"/>
        </w:rPr>
        <w:t>Disord</w:t>
      </w:r>
      <w:proofErr w:type="spellEnd"/>
      <w:r w:rsidRPr="00860E7E">
        <w:rPr>
          <w:rFonts w:ascii="Times New Roman" w:eastAsia="Calibri" w:hAnsi="Times New Roman" w:cs="Times New Roman"/>
          <w:sz w:val="24"/>
          <w:szCs w:val="24"/>
        </w:rPr>
        <w:t xml:space="preserve">. 1995 Aug;8(4):328-330. </w:t>
      </w:r>
    </w:p>
    <w:p w:rsidR="0040689A" w:rsidRPr="00860E7E" w:rsidRDefault="0040689A" w:rsidP="0040689A">
      <w:pPr>
        <w:pStyle w:val="ListParagraph"/>
        <w:numPr>
          <w:ilvl w:val="0"/>
          <w:numId w:val="4"/>
        </w:numPr>
        <w:spacing w:line="480" w:lineRule="auto"/>
        <w:jc w:val="both"/>
        <w:rPr>
          <w:rFonts w:ascii="Times New Roman" w:eastAsia="Calibri" w:hAnsi="Times New Roman" w:cs="Times New Roman"/>
          <w:sz w:val="24"/>
          <w:szCs w:val="24"/>
        </w:rPr>
      </w:pPr>
      <w:proofErr w:type="spellStart"/>
      <w:r w:rsidRPr="00860E7E">
        <w:rPr>
          <w:rFonts w:ascii="Times New Roman" w:eastAsia="Calibri" w:hAnsi="Times New Roman" w:cs="Times New Roman"/>
          <w:sz w:val="24"/>
          <w:szCs w:val="24"/>
        </w:rPr>
        <w:t>Howorth</w:t>
      </w:r>
      <w:proofErr w:type="spellEnd"/>
      <w:r w:rsidRPr="00860E7E">
        <w:rPr>
          <w:rFonts w:ascii="Times New Roman" w:eastAsia="Calibri" w:hAnsi="Times New Roman" w:cs="Times New Roman"/>
          <w:sz w:val="24"/>
          <w:szCs w:val="24"/>
        </w:rPr>
        <w:t xml:space="preserve"> B. The painful coccyx. Clin </w:t>
      </w:r>
      <w:proofErr w:type="spellStart"/>
      <w:r w:rsidRPr="00860E7E">
        <w:rPr>
          <w:rFonts w:ascii="Times New Roman" w:eastAsia="Calibri" w:hAnsi="Times New Roman" w:cs="Times New Roman"/>
          <w:sz w:val="24"/>
          <w:szCs w:val="24"/>
        </w:rPr>
        <w:t>Orthop</w:t>
      </w:r>
      <w:proofErr w:type="spellEnd"/>
      <w:r w:rsidRPr="00860E7E">
        <w:rPr>
          <w:rFonts w:ascii="Times New Roman" w:eastAsia="Calibri" w:hAnsi="Times New Roman" w:cs="Times New Roman"/>
          <w:sz w:val="24"/>
          <w:szCs w:val="24"/>
        </w:rPr>
        <w:t xml:space="preserve">. 1959; 14:145-160. </w:t>
      </w:r>
    </w:p>
    <w:p w:rsidR="0040689A" w:rsidRPr="00860E7E" w:rsidRDefault="0040689A" w:rsidP="0040689A">
      <w:pPr>
        <w:pStyle w:val="ListParagraph"/>
        <w:numPr>
          <w:ilvl w:val="0"/>
          <w:numId w:val="4"/>
        </w:numPr>
        <w:spacing w:line="480" w:lineRule="auto"/>
        <w:jc w:val="both"/>
        <w:rPr>
          <w:rFonts w:ascii="Times New Roman" w:eastAsia="Calibri" w:hAnsi="Times New Roman" w:cs="Times New Roman"/>
          <w:sz w:val="24"/>
          <w:szCs w:val="24"/>
        </w:rPr>
      </w:pPr>
      <w:r w:rsidRPr="00860E7E">
        <w:rPr>
          <w:rFonts w:ascii="Times New Roman" w:eastAsia="Calibri" w:hAnsi="Times New Roman" w:cs="Times New Roman"/>
          <w:sz w:val="24"/>
          <w:szCs w:val="24"/>
        </w:rPr>
        <w:t>Kim NH, Suk KS. Clinical and radiological differences between traumatic and idiopathic coccygodynia. Yonsei Med J. 1999 Jun;40(3):215-220.</w:t>
      </w:r>
    </w:p>
    <w:p w:rsidR="005C1ED6" w:rsidRPr="005C1ED6" w:rsidRDefault="005C1ED6" w:rsidP="005C1ED6">
      <w:pPr>
        <w:pStyle w:val="ListParagraph"/>
        <w:numPr>
          <w:ilvl w:val="0"/>
          <w:numId w:val="4"/>
        </w:numPr>
        <w:spacing w:line="480" w:lineRule="auto"/>
        <w:jc w:val="both"/>
        <w:rPr>
          <w:rFonts w:ascii="Times New Roman" w:eastAsia="Calibri" w:hAnsi="Times New Roman" w:cs="Times New Roman"/>
          <w:sz w:val="24"/>
          <w:szCs w:val="24"/>
        </w:rPr>
      </w:pPr>
      <w:proofErr w:type="spellStart"/>
      <w:r w:rsidRPr="005C1ED6">
        <w:rPr>
          <w:rFonts w:ascii="Times New Roman" w:eastAsia="Calibri" w:hAnsi="Times New Roman" w:cs="Times New Roman"/>
          <w:sz w:val="24"/>
          <w:szCs w:val="24"/>
        </w:rPr>
        <w:t>Lirette</w:t>
      </w:r>
      <w:proofErr w:type="spellEnd"/>
      <w:r w:rsidRPr="005C1ED6">
        <w:rPr>
          <w:rFonts w:ascii="Times New Roman" w:eastAsia="Calibri" w:hAnsi="Times New Roman" w:cs="Times New Roman"/>
          <w:sz w:val="24"/>
          <w:szCs w:val="24"/>
        </w:rPr>
        <w:t xml:space="preserve"> LS, </w:t>
      </w:r>
      <w:proofErr w:type="spellStart"/>
      <w:r w:rsidRPr="005C1ED6">
        <w:rPr>
          <w:rFonts w:ascii="Times New Roman" w:eastAsia="Calibri" w:hAnsi="Times New Roman" w:cs="Times New Roman"/>
          <w:sz w:val="24"/>
          <w:szCs w:val="24"/>
        </w:rPr>
        <w:t>Chaiban</w:t>
      </w:r>
      <w:proofErr w:type="spellEnd"/>
      <w:r w:rsidRPr="005C1ED6">
        <w:rPr>
          <w:rFonts w:ascii="Times New Roman" w:eastAsia="Calibri" w:hAnsi="Times New Roman" w:cs="Times New Roman"/>
          <w:sz w:val="24"/>
          <w:szCs w:val="24"/>
        </w:rPr>
        <w:t xml:space="preserve"> G, </w:t>
      </w:r>
      <w:proofErr w:type="spellStart"/>
      <w:r w:rsidRPr="005C1ED6">
        <w:rPr>
          <w:rFonts w:ascii="Times New Roman" w:eastAsia="Calibri" w:hAnsi="Times New Roman" w:cs="Times New Roman"/>
          <w:sz w:val="24"/>
          <w:szCs w:val="24"/>
        </w:rPr>
        <w:t>Tolba</w:t>
      </w:r>
      <w:proofErr w:type="spellEnd"/>
      <w:r w:rsidRPr="005C1ED6">
        <w:rPr>
          <w:rFonts w:ascii="Times New Roman" w:eastAsia="Calibri" w:hAnsi="Times New Roman" w:cs="Times New Roman"/>
          <w:sz w:val="24"/>
          <w:szCs w:val="24"/>
        </w:rPr>
        <w:t xml:space="preserve"> R, </w:t>
      </w:r>
      <w:proofErr w:type="spellStart"/>
      <w:r w:rsidRPr="005C1ED6">
        <w:rPr>
          <w:rFonts w:ascii="Times New Roman" w:eastAsia="Calibri" w:hAnsi="Times New Roman" w:cs="Times New Roman"/>
          <w:sz w:val="24"/>
          <w:szCs w:val="24"/>
        </w:rPr>
        <w:t>Eissa</w:t>
      </w:r>
      <w:proofErr w:type="spellEnd"/>
      <w:r w:rsidRPr="005C1ED6">
        <w:rPr>
          <w:rFonts w:ascii="Times New Roman" w:eastAsia="Calibri" w:hAnsi="Times New Roman" w:cs="Times New Roman"/>
          <w:sz w:val="24"/>
          <w:szCs w:val="24"/>
        </w:rPr>
        <w:t xml:space="preserve"> H. Coccydynia: an overview of the anatomy, etiology, and treatment of coccyx pain. Ochsner Journal. 2014 Mar 20;14(1):84-7.</w:t>
      </w:r>
    </w:p>
    <w:p w:rsidR="0040689A" w:rsidRDefault="0040689A" w:rsidP="0040689A">
      <w:pPr>
        <w:pStyle w:val="ListParagraph"/>
        <w:numPr>
          <w:ilvl w:val="0"/>
          <w:numId w:val="4"/>
        </w:numPr>
        <w:spacing w:line="480" w:lineRule="auto"/>
        <w:jc w:val="both"/>
        <w:rPr>
          <w:rFonts w:ascii="Times New Roman" w:eastAsia="Calibri" w:hAnsi="Times New Roman" w:cs="Times New Roman"/>
          <w:sz w:val="24"/>
          <w:szCs w:val="24"/>
        </w:rPr>
      </w:pPr>
      <w:proofErr w:type="spellStart"/>
      <w:r w:rsidRPr="00860E7E">
        <w:rPr>
          <w:rFonts w:ascii="Times New Roman" w:eastAsia="Calibri" w:hAnsi="Times New Roman" w:cs="Times New Roman"/>
          <w:sz w:val="24"/>
          <w:szCs w:val="24"/>
        </w:rPr>
        <w:t>Maigne</w:t>
      </w:r>
      <w:proofErr w:type="spellEnd"/>
      <w:r w:rsidRPr="00860E7E">
        <w:rPr>
          <w:rFonts w:ascii="Times New Roman" w:eastAsia="Calibri" w:hAnsi="Times New Roman" w:cs="Times New Roman"/>
          <w:sz w:val="24"/>
          <w:szCs w:val="24"/>
        </w:rPr>
        <w:t xml:space="preserve"> JY, </w:t>
      </w:r>
      <w:proofErr w:type="spellStart"/>
      <w:r w:rsidRPr="00860E7E">
        <w:rPr>
          <w:rFonts w:ascii="Times New Roman" w:eastAsia="Calibri" w:hAnsi="Times New Roman" w:cs="Times New Roman"/>
          <w:sz w:val="24"/>
          <w:szCs w:val="24"/>
        </w:rPr>
        <w:t>Pigeau</w:t>
      </w:r>
      <w:proofErr w:type="spellEnd"/>
      <w:r w:rsidRPr="00860E7E">
        <w:rPr>
          <w:rFonts w:ascii="Times New Roman" w:eastAsia="Calibri" w:hAnsi="Times New Roman" w:cs="Times New Roman"/>
          <w:sz w:val="24"/>
          <w:szCs w:val="24"/>
        </w:rPr>
        <w:t xml:space="preserve"> I, </w:t>
      </w:r>
      <w:proofErr w:type="spellStart"/>
      <w:r w:rsidRPr="00860E7E">
        <w:rPr>
          <w:rFonts w:ascii="Times New Roman" w:eastAsia="Calibri" w:hAnsi="Times New Roman" w:cs="Times New Roman"/>
          <w:sz w:val="24"/>
          <w:szCs w:val="24"/>
        </w:rPr>
        <w:t>Aguer</w:t>
      </w:r>
      <w:proofErr w:type="spellEnd"/>
      <w:r w:rsidRPr="00860E7E">
        <w:rPr>
          <w:rFonts w:ascii="Times New Roman" w:eastAsia="Calibri" w:hAnsi="Times New Roman" w:cs="Times New Roman"/>
          <w:sz w:val="24"/>
          <w:szCs w:val="24"/>
        </w:rPr>
        <w:t xml:space="preserve"> N, </w:t>
      </w:r>
      <w:proofErr w:type="spellStart"/>
      <w:r w:rsidRPr="00860E7E">
        <w:rPr>
          <w:rFonts w:ascii="Times New Roman" w:eastAsia="Calibri" w:hAnsi="Times New Roman" w:cs="Times New Roman"/>
          <w:sz w:val="24"/>
          <w:szCs w:val="24"/>
        </w:rPr>
        <w:t>Doursounian</w:t>
      </w:r>
      <w:proofErr w:type="spellEnd"/>
      <w:r w:rsidRPr="00860E7E">
        <w:rPr>
          <w:rFonts w:ascii="Times New Roman" w:eastAsia="Calibri" w:hAnsi="Times New Roman" w:cs="Times New Roman"/>
          <w:sz w:val="24"/>
          <w:szCs w:val="24"/>
        </w:rPr>
        <w:t xml:space="preserve"> L, </w:t>
      </w:r>
      <w:proofErr w:type="spellStart"/>
      <w:r w:rsidRPr="00860E7E">
        <w:rPr>
          <w:rFonts w:ascii="Times New Roman" w:eastAsia="Calibri" w:hAnsi="Times New Roman" w:cs="Times New Roman"/>
          <w:sz w:val="24"/>
          <w:szCs w:val="24"/>
        </w:rPr>
        <w:t>Chatellier</w:t>
      </w:r>
      <w:proofErr w:type="spellEnd"/>
      <w:r w:rsidRPr="00860E7E">
        <w:rPr>
          <w:rFonts w:ascii="Times New Roman" w:eastAsia="Calibri" w:hAnsi="Times New Roman" w:cs="Times New Roman"/>
          <w:sz w:val="24"/>
          <w:szCs w:val="24"/>
        </w:rPr>
        <w:t xml:space="preserve"> G. Chronic coccydynia in adolescents. A series of 53 patients. Eur J Phys </w:t>
      </w:r>
      <w:proofErr w:type="spellStart"/>
      <w:r w:rsidRPr="00860E7E">
        <w:rPr>
          <w:rFonts w:ascii="Times New Roman" w:eastAsia="Calibri" w:hAnsi="Times New Roman" w:cs="Times New Roman"/>
          <w:sz w:val="24"/>
          <w:szCs w:val="24"/>
        </w:rPr>
        <w:t>Rehabil</w:t>
      </w:r>
      <w:proofErr w:type="spellEnd"/>
      <w:r w:rsidRPr="00860E7E">
        <w:rPr>
          <w:rFonts w:ascii="Times New Roman" w:eastAsia="Calibri" w:hAnsi="Times New Roman" w:cs="Times New Roman"/>
          <w:sz w:val="24"/>
          <w:szCs w:val="24"/>
        </w:rPr>
        <w:t xml:space="preserve"> Med. 2011 Jun;47(2):245</w:t>
      </w:r>
      <w:r>
        <w:rPr>
          <w:rFonts w:ascii="Times New Roman" w:eastAsia="Calibri" w:hAnsi="Times New Roman" w:cs="Times New Roman"/>
          <w:sz w:val="24"/>
          <w:szCs w:val="24"/>
        </w:rPr>
        <w:t>-</w:t>
      </w:r>
      <w:r w:rsidRPr="00860E7E">
        <w:rPr>
          <w:rFonts w:ascii="Times New Roman" w:eastAsia="Calibri" w:hAnsi="Times New Roman" w:cs="Times New Roman"/>
          <w:sz w:val="24"/>
          <w:szCs w:val="24"/>
        </w:rPr>
        <w:t xml:space="preserve">251. </w:t>
      </w:r>
    </w:p>
    <w:p w:rsidR="0040689A" w:rsidRPr="00860E7E" w:rsidRDefault="0040689A" w:rsidP="0040689A">
      <w:pPr>
        <w:pStyle w:val="ListParagraph"/>
        <w:numPr>
          <w:ilvl w:val="0"/>
          <w:numId w:val="4"/>
        </w:numPr>
        <w:spacing w:line="480" w:lineRule="auto"/>
        <w:jc w:val="both"/>
        <w:rPr>
          <w:rFonts w:ascii="Times New Roman" w:eastAsia="Calibri" w:hAnsi="Times New Roman" w:cs="Times New Roman"/>
          <w:sz w:val="24"/>
          <w:szCs w:val="24"/>
        </w:rPr>
      </w:pPr>
      <w:r w:rsidRPr="00860E7E">
        <w:rPr>
          <w:rFonts w:ascii="Times New Roman" w:eastAsia="Calibri" w:hAnsi="Times New Roman" w:cs="Times New Roman"/>
          <w:sz w:val="24"/>
          <w:szCs w:val="24"/>
        </w:rPr>
        <w:t>Schapiro S. Low back and rectal pain from an orthopedic and proctologic viewpoint; with a review of 180 cases. Am J Surg. 1950 Jan;79(1):117</w:t>
      </w:r>
      <w:r>
        <w:rPr>
          <w:rFonts w:ascii="Times New Roman" w:eastAsia="Calibri" w:hAnsi="Times New Roman" w:cs="Times New Roman"/>
          <w:sz w:val="24"/>
          <w:szCs w:val="24"/>
        </w:rPr>
        <w:t>-</w:t>
      </w:r>
      <w:r w:rsidRPr="00860E7E">
        <w:rPr>
          <w:rFonts w:ascii="Times New Roman" w:eastAsia="Calibri" w:hAnsi="Times New Roman" w:cs="Times New Roman"/>
          <w:sz w:val="24"/>
          <w:szCs w:val="24"/>
        </w:rPr>
        <w:t>128.</w:t>
      </w:r>
    </w:p>
    <w:p w:rsidR="0040689A" w:rsidRDefault="0040689A" w:rsidP="0040689A">
      <w:pPr>
        <w:pStyle w:val="ListParagraph"/>
        <w:numPr>
          <w:ilvl w:val="0"/>
          <w:numId w:val="4"/>
        </w:numPr>
        <w:spacing w:line="480" w:lineRule="auto"/>
        <w:jc w:val="both"/>
        <w:rPr>
          <w:rFonts w:ascii="Times New Roman" w:eastAsia="Calibri" w:hAnsi="Times New Roman" w:cs="Times New Roman"/>
          <w:sz w:val="24"/>
          <w:szCs w:val="24"/>
        </w:rPr>
      </w:pPr>
      <w:proofErr w:type="spellStart"/>
      <w:r w:rsidRPr="00860E7E">
        <w:rPr>
          <w:rFonts w:ascii="Times New Roman" w:eastAsia="Calibri" w:hAnsi="Times New Roman" w:cs="Times New Roman"/>
          <w:sz w:val="24"/>
          <w:szCs w:val="24"/>
        </w:rPr>
        <w:t>Pennekamp</w:t>
      </w:r>
      <w:proofErr w:type="spellEnd"/>
      <w:r w:rsidRPr="00860E7E">
        <w:rPr>
          <w:rFonts w:ascii="Times New Roman" w:eastAsia="Calibri" w:hAnsi="Times New Roman" w:cs="Times New Roman"/>
          <w:sz w:val="24"/>
          <w:szCs w:val="24"/>
        </w:rPr>
        <w:t xml:space="preserve"> PH, Kraft CN, </w:t>
      </w:r>
      <w:proofErr w:type="spellStart"/>
      <w:r w:rsidRPr="00860E7E">
        <w:rPr>
          <w:rFonts w:ascii="Times New Roman" w:eastAsia="Calibri" w:hAnsi="Times New Roman" w:cs="Times New Roman"/>
          <w:sz w:val="24"/>
          <w:szCs w:val="24"/>
        </w:rPr>
        <w:t>Stütz</w:t>
      </w:r>
      <w:proofErr w:type="spellEnd"/>
      <w:r w:rsidRPr="00860E7E">
        <w:rPr>
          <w:rFonts w:ascii="Times New Roman" w:eastAsia="Calibri" w:hAnsi="Times New Roman" w:cs="Times New Roman"/>
          <w:sz w:val="24"/>
          <w:szCs w:val="24"/>
        </w:rPr>
        <w:t xml:space="preserve"> A, </w:t>
      </w:r>
      <w:proofErr w:type="spellStart"/>
      <w:r w:rsidRPr="00860E7E">
        <w:rPr>
          <w:rFonts w:ascii="Times New Roman" w:eastAsia="Calibri" w:hAnsi="Times New Roman" w:cs="Times New Roman"/>
          <w:sz w:val="24"/>
          <w:szCs w:val="24"/>
        </w:rPr>
        <w:t>Wallny</w:t>
      </w:r>
      <w:proofErr w:type="spellEnd"/>
      <w:r w:rsidRPr="00860E7E">
        <w:rPr>
          <w:rFonts w:ascii="Times New Roman" w:eastAsia="Calibri" w:hAnsi="Times New Roman" w:cs="Times New Roman"/>
          <w:sz w:val="24"/>
          <w:szCs w:val="24"/>
        </w:rPr>
        <w:t xml:space="preserve"> T, Schmitt O, Diedrich O. Coccygectomy for coccygodynia: does pathogenesis matter? </w:t>
      </w:r>
      <w:r w:rsidRPr="000E084F">
        <w:rPr>
          <w:rFonts w:ascii="Times New Roman" w:eastAsia="Calibri" w:hAnsi="Times New Roman" w:cs="Times New Roman"/>
          <w:sz w:val="24"/>
          <w:szCs w:val="24"/>
        </w:rPr>
        <w:t>J Trauma</w:t>
      </w:r>
      <w:r w:rsidRPr="00860E7E">
        <w:rPr>
          <w:rFonts w:ascii="Times New Roman" w:eastAsia="Calibri" w:hAnsi="Times New Roman" w:cs="Times New Roman"/>
          <w:sz w:val="24"/>
          <w:szCs w:val="24"/>
        </w:rPr>
        <w:t>. 2005 Dec;59(6):1414</w:t>
      </w:r>
      <w:r>
        <w:rPr>
          <w:rFonts w:ascii="Times New Roman" w:eastAsia="Calibri" w:hAnsi="Times New Roman" w:cs="Times New Roman"/>
          <w:sz w:val="24"/>
          <w:szCs w:val="24"/>
        </w:rPr>
        <w:t>-</w:t>
      </w:r>
      <w:r w:rsidRPr="00860E7E">
        <w:rPr>
          <w:rFonts w:ascii="Times New Roman" w:eastAsia="Calibri" w:hAnsi="Times New Roman" w:cs="Times New Roman"/>
          <w:sz w:val="24"/>
          <w:szCs w:val="24"/>
        </w:rPr>
        <w:t>1419.</w:t>
      </w:r>
    </w:p>
    <w:p w:rsidR="0040689A" w:rsidRPr="00C8755A" w:rsidRDefault="0040689A" w:rsidP="0040689A">
      <w:pPr>
        <w:pStyle w:val="ListParagraph"/>
        <w:numPr>
          <w:ilvl w:val="0"/>
          <w:numId w:val="4"/>
        </w:numPr>
        <w:spacing w:line="480" w:lineRule="auto"/>
        <w:jc w:val="both"/>
        <w:rPr>
          <w:rFonts w:ascii="Times New Roman" w:eastAsia="Calibri" w:hAnsi="Times New Roman" w:cs="Times New Roman"/>
          <w:sz w:val="24"/>
          <w:szCs w:val="24"/>
        </w:rPr>
      </w:pPr>
      <w:r w:rsidRPr="00C8755A">
        <w:rPr>
          <w:rFonts w:ascii="Times New Roman" w:eastAsia="Calibri" w:hAnsi="Times New Roman" w:cs="Times New Roman"/>
          <w:sz w:val="24"/>
          <w:szCs w:val="24"/>
        </w:rPr>
        <w:t xml:space="preserve">Drummond PD, Finch PM, </w:t>
      </w:r>
      <w:proofErr w:type="spellStart"/>
      <w:r w:rsidRPr="00C8755A">
        <w:rPr>
          <w:rFonts w:ascii="Times New Roman" w:eastAsia="Calibri" w:hAnsi="Times New Roman" w:cs="Times New Roman"/>
          <w:sz w:val="24"/>
          <w:szCs w:val="24"/>
        </w:rPr>
        <w:t>Skipworth</w:t>
      </w:r>
      <w:proofErr w:type="spellEnd"/>
      <w:r w:rsidRPr="00C8755A">
        <w:rPr>
          <w:rFonts w:ascii="Times New Roman" w:eastAsia="Calibri" w:hAnsi="Times New Roman" w:cs="Times New Roman"/>
          <w:sz w:val="24"/>
          <w:szCs w:val="24"/>
        </w:rPr>
        <w:t xml:space="preserve"> S, </w:t>
      </w:r>
      <w:proofErr w:type="spellStart"/>
      <w:r w:rsidRPr="00C8755A">
        <w:rPr>
          <w:rFonts w:ascii="Times New Roman" w:eastAsia="Calibri" w:hAnsi="Times New Roman" w:cs="Times New Roman"/>
          <w:sz w:val="24"/>
          <w:szCs w:val="24"/>
        </w:rPr>
        <w:t>Blockey</w:t>
      </w:r>
      <w:proofErr w:type="spellEnd"/>
      <w:r w:rsidRPr="00C8755A">
        <w:rPr>
          <w:rFonts w:ascii="Times New Roman" w:eastAsia="Calibri" w:hAnsi="Times New Roman" w:cs="Times New Roman"/>
          <w:sz w:val="24"/>
          <w:szCs w:val="24"/>
        </w:rPr>
        <w:t xml:space="preserve"> P. Pain increases during sympathetic arousal in patients with complex regional pain syndrome. Neurology. 2001 Oct 9;57(7):1296-303.</w:t>
      </w:r>
    </w:p>
    <w:p w:rsidR="0040689A" w:rsidRPr="00C8755A" w:rsidRDefault="0040689A" w:rsidP="0040689A">
      <w:pPr>
        <w:pStyle w:val="ListParagraph"/>
        <w:numPr>
          <w:ilvl w:val="0"/>
          <w:numId w:val="4"/>
        </w:numPr>
        <w:spacing w:line="480" w:lineRule="auto"/>
        <w:jc w:val="both"/>
        <w:rPr>
          <w:rFonts w:ascii="Times New Roman" w:eastAsia="Calibri" w:hAnsi="Times New Roman" w:cs="Times New Roman"/>
          <w:sz w:val="24"/>
          <w:szCs w:val="24"/>
        </w:rPr>
      </w:pPr>
      <w:proofErr w:type="spellStart"/>
      <w:r w:rsidRPr="00C8755A">
        <w:rPr>
          <w:rFonts w:ascii="Times New Roman" w:eastAsia="Calibri" w:hAnsi="Times New Roman" w:cs="Times New Roman"/>
          <w:sz w:val="24"/>
          <w:szCs w:val="24"/>
        </w:rPr>
        <w:lastRenderedPageBreak/>
        <w:t>Jänig</w:t>
      </w:r>
      <w:proofErr w:type="spellEnd"/>
      <w:r w:rsidRPr="00C8755A">
        <w:rPr>
          <w:rFonts w:ascii="Times New Roman" w:eastAsia="Calibri" w:hAnsi="Times New Roman" w:cs="Times New Roman"/>
          <w:sz w:val="24"/>
          <w:szCs w:val="24"/>
        </w:rPr>
        <w:t xml:space="preserve"> W, Baron R. Complex regional pain syndrome: mystery explained? The Lancet Neurology. 2003 Nov 1;2(11):687-97.</w:t>
      </w:r>
    </w:p>
    <w:p w:rsidR="0040689A" w:rsidRPr="000E084F" w:rsidRDefault="0040689A" w:rsidP="0040689A">
      <w:pPr>
        <w:pStyle w:val="ListParagraph"/>
        <w:numPr>
          <w:ilvl w:val="0"/>
          <w:numId w:val="4"/>
        </w:numPr>
        <w:spacing w:line="480" w:lineRule="auto"/>
        <w:jc w:val="both"/>
        <w:rPr>
          <w:rFonts w:ascii="Times New Roman" w:eastAsia="Calibri" w:hAnsi="Times New Roman" w:cs="Times New Roman"/>
          <w:sz w:val="24"/>
          <w:szCs w:val="24"/>
        </w:rPr>
      </w:pPr>
      <w:r w:rsidRPr="000E084F">
        <w:rPr>
          <w:rFonts w:ascii="Times New Roman" w:eastAsia="Calibri" w:hAnsi="Times New Roman" w:cs="Times New Roman"/>
          <w:sz w:val="24"/>
          <w:szCs w:val="24"/>
        </w:rPr>
        <w:t>Plancarte R. Presacral blockade of the ganglion of Walther (ganglion impar). Anesthesiology. 1990; 73:751.</w:t>
      </w:r>
    </w:p>
    <w:p w:rsidR="0040689A" w:rsidRPr="000E084F" w:rsidRDefault="0040689A" w:rsidP="0040689A">
      <w:pPr>
        <w:pStyle w:val="ListParagraph"/>
        <w:numPr>
          <w:ilvl w:val="0"/>
          <w:numId w:val="4"/>
        </w:numPr>
        <w:spacing w:line="480" w:lineRule="auto"/>
        <w:jc w:val="both"/>
        <w:rPr>
          <w:rFonts w:ascii="Times New Roman" w:eastAsia="Calibri" w:hAnsi="Times New Roman" w:cs="Times New Roman"/>
          <w:sz w:val="24"/>
          <w:szCs w:val="24"/>
        </w:rPr>
      </w:pPr>
      <w:proofErr w:type="spellStart"/>
      <w:r w:rsidRPr="000E084F">
        <w:rPr>
          <w:rFonts w:ascii="Times New Roman" w:eastAsia="Calibri" w:hAnsi="Times New Roman" w:cs="Times New Roman"/>
          <w:sz w:val="24"/>
          <w:szCs w:val="24"/>
        </w:rPr>
        <w:t>Sindt</w:t>
      </w:r>
      <w:proofErr w:type="spellEnd"/>
      <w:r w:rsidRPr="000E084F">
        <w:rPr>
          <w:rFonts w:ascii="Times New Roman" w:eastAsia="Calibri" w:hAnsi="Times New Roman" w:cs="Times New Roman"/>
          <w:sz w:val="24"/>
          <w:szCs w:val="24"/>
        </w:rPr>
        <w:t xml:space="preserve"> JE, Brogan SE. Interventional treatments of cancer pain. Anesthesiology clinics. 2016 Jun 1;34(2):317-39.</w:t>
      </w:r>
    </w:p>
    <w:p w:rsidR="0040689A" w:rsidRPr="000E084F" w:rsidRDefault="0040689A" w:rsidP="0040689A">
      <w:pPr>
        <w:pStyle w:val="ListParagraph"/>
        <w:numPr>
          <w:ilvl w:val="0"/>
          <w:numId w:val="4"/>
        </w:numPr>
        <w:spacing w:line="480" w:lineRule="auto"/>
        <w:jc w:val="both"/>
        <w:rPr>
          <w:rFonts w:ascii="Times New Roman" w:eastAsia="Calibri" w:hAnsi="Times New Roman" w:cs="Times New Roman"/>
          <w:sz w:val="24"/>
          <w:szCs w:val="24"/>
        </w:rPr>
      </w:pPr>
      <w:proofErr w:type="spellStart"/>
      <w:r w:rsidRPr="000E084F">
        <w:rPr>
          <w:rFonts w:ascii="Times New Roman" w:eastAsia="Calibri" w:hAnsi="Times New Roman" w:cs="Times New Roman"/>
          <w:sz w:val="24"/>
          <w:szCs w:val="24"/>
        </w:rPr>
        <w:t>Gunduz</w:t>
      </w:r>
      <w:proofErr w:type="spellEnd"/>
      <w:r w:rsidRPr="000E084F">
        <w:rPr>
          <w:rFonts w:ascii="Times New Roman" w:eastAsia="Calibri" w:hAnsi="Times New Roman" w:cs="Times New Roman"/>
          <w:sz w:val="24"/>
          <w:szCs w:val="24"/>
        </w:rPr>
        <w:t xml:space="preserve"> OH, </w:t>
      </w:r>
      <w:proofErr w:type="spellStart"/>
      <w:r w:rsidRPr="000E084F">
        <w:rPr>
          <w:rFonts w:ascii="Times New Roman" w:eastAsia="Calibri" w:hAnsi="Times New Roman" w:cs="Times New Roman"/>
          <w:sz w:val="24"/>
          <w:szCs w:val="24"/>
        </w:rPr>
        <w:t>Kenis</w:t>
      </w:r>
      <w:proofErr w:type="spellEnd"/>
      <w:r w:rsidRPr="000E084F">
        <w:rPr>
          <w:rFonts w:ascii="Times New Roman" w:eastAsia="Calibri" w:hAnsi="Times New Roman" w:cs="Times New Roman"/>
          <w:sz w:val="24"/>
          <w:szCs w:val="24"/>
        </w:rPr>
        <w:t>-Coskun O. Ganglion blocks as a treatment of pain: current perspectives. Journal of pain research. 2017 Dec 14:2815-26.</w:t>
      </w:r>
    </w:p>
    <w:p w:rsidR="0040689A" w:rsidRPr="00573C3F" w:rsidRDefault="0040689A" w:rsidP="0040689A">
      <w:pPr>
        <w:pStyle w:val="ListParagraph"/>
        <w:numPr>
          <w:ilvl w:val="0"/>
          <w:numId w:val="4"/>
        </w:numPr>
        <w:spacing w:line="480" w:lineRule="auto"/>
        <w:jc w:val="both"/>
        <w:rPr>
          <w:rFonts w:ascii="Times New Roman" w:eastAsia="Calibri" w:hAnsi="Times New Roman" w:cs="Times New Roman"/>
          <w:sz w:val="24"/>
          <w:szCs w:val="24"/>
        </w:rPr>
      </w:pPr>
      <w:r w:rsidRPr="00573C3F">
        <w:rPr>
          <w:rFonts w:ascii="Times New Roman" w:eastAsia="Calibri" w:hAnsi="Times New Roman" w:cs="Times New Roman"/>
          <w:sz w:val="24"/>
          <w:szCs w:val="24"/>
        </w:rPr>
        <w:t>Munir MA, Zhang J, Ahmad M. A modified needle-inside-needle technique for the ganglion impar block. Canadian Journal of Anesthesia. 2004 Nov 1;51(9):915.</w:t>
      </w:r>
    </w:p>
    <w:p w:rsidR="0040689A" w:rsidRPr="00573C3F" w:rsidRDefault="0040689A" w:rsidP="0040689A">
      <w:pPr>
        <w:pStyle w:val="ListParagraph"/>
        <w:numPr>
          <w:ilvl w:val="0"/>
          <w:numId w:val="4"/>
        </w:numPr>
        <w:spacing w:line="480" w:lineRule="auto"/>
        <w:jc w:val="both"/>
        <w:rPr>
          <w:rFonts w:ascii="Times New Roman" w:eastAsia="Calibri" w:hAnsi="Times New Roman" w:cs="Times New Roman"/>
          <w:sz w:val="24"/>
          <w:szCs w:val="24"/>
        </w:rPr>
      </w:pPr>
      <w:proofErr w:type="spellStart"/>
      <w:r w:rsidRPr="00573C3F">
        <w:rPr>
          <w:rFonts w:ascii="Times New Roman" w:eastAsia="Calibri" w:hAnsi="Times New Roman" w:cs="Times New Roman"/>
          <w:sz w:val="24"/>
          <w:szCs w:val="24"/>
        </w:rPr>
        <w:t>Gritsenko</w:t>
      </w:r>
      <w:proofErr w:type="spellEnd"/>
      <w:r w:rsidRPr="00573C3F">
        <w:rPr>
          <w:rFonts w:ascii="Times New Roman" w:eastAsia="Calibri" w:hAnsi="Times New Roman" w:cs="Times New Roman"/>
          <w:sz w:val="24"/>
          <w:szCs w:val="24"/>
        </w:rPr>
        <w:t xml:space="preserve"> K, </w:t>
      </w:r>
      <w:proofErr w:type="spellStart"/>
      <w:r w:rsidRPr="00573C3F">
        <w:rPr>
          <w:rFonts w:ascii="Times New Roman" w:eastAsia="Calibri" w:hAnsi="Times New Roman" w:cs="Times New Roman"/>
          <w:sz w:val="24"/>
          <w:szCs w:val="24"/>
        </w:rPr>
        <w:t>Lubrano</w:t>
      </w:r>
      <w:proofErr w:type="spellEnd"/>
      <w:r w:rsidRPr="00573C3F">
        <w:rPr>
          <w:rFonts w:ascii="Times New Roman" w:eastAsia="Calibri" w:hAnsi="Times New Roman" w:cs="Times New Roman"/>
          <w:sz w:val="24"/>
          <w:szCs w:val="24"/>
        </w:rPr>
        <w:t xml:space="preserve"> M, Patel VB. Ganglion impar blockade. Essentials of Interventional Techniques in Managing Chronic Pain. 2018:581-94.</w:t>
      </w:r>
    </w:p>
    <w:p w:rsidR="0040689A" w:rsidRPr="00C279B7" w:rsidRDefault="0040689A" w:rsidP="0040689A">
      <w:pPr>
        <w:pStyle w:val="ListParagraph"/>
        <w:numPr>
          <w:ilvl w:val="0"/>
          <w:numId w:val="4"/>
        </w:numPr>
        <w:spacing w:line="480" w:lineRule="auto"/>
        <w:jc w:val="both"/>
        <w:rPr>
          <w:rFonts w:ascii="Times New Roman" w:eastAsia="Calibri" w:hAnsi="Times New Roman" w:cs="Times New Roman"/>
          <w:sz w:val="24"/>
          <w:szCs w:val="24"/>
        </w:rPr>
      </w:pPr>
      <w:proofErr w:type="spellStart"/>
      <w:r w:rsidRPr="00C279B7">
        <w:rPr>
          <w:rFonts w:ascii="Times New Roman" w:eastAsia="Calibri" w:hAnsi="Times New Roman" w:cs="Times New Roman"/>
          <w:sz w:val="24"/>
          <w:szCs w:val="24"/>
        </w:rPr>
        <w:t>Gunduz</w:t>
      </w:r>
      <w:proofErr w:type="spellEnd"/>
      <w:r w:rsidRPr="00C279B7">
        <w:rPr>
          <w:rFonts w:ascii="Times New Roman" w:eastAsia="Calibri" w:hAnsi="Times New Roman" w:cs="Times New Roman"/>
          <w:sz w:val="24"/>
          <w:szCs w:val="24"/>
        </w:rPr>
        <w:t xml:space="preserve"> OH, </w:t>
      </w:r>
      <w:proofErr w:type="spellStart"/>
      <w:r w:rsidRPr="00C279B7">
        <w:rPr>
          <w:rFonts w:ascii="Times New Roman" w:eastAsia="Calibri" w:hAnsi="Times New Roman" w:cs="Times New Roman"/>
          <w:sz w:val="24"/>
          <w:szCs w:val="24"/>
        </w:rPr>
        <w:t>Sencan</w:t>
      </w:r>
      <w:proofErr w:type="spellEnd"/>
      <w:r w:rsidRPr="00C279B7">
        <w:rPr>
          <w:rFonts w:ascii="Times New Roman" w:eastAsia="Calibri" w:hAnsi="Times New Roman" w:cs="Times New Roman"/>
          <w:sz w:val="24"/>
          <w:szCs w:val="24"/>
        </w:rPr>
        <w:t xml:space="preserve"> S, </w:t>
      </w:r>
      <w:proofErr w:type="spellStart"/>
      <w:r w:rsidRPr="00C279B7">
        <w:rPr>
          <w:rFonts w:ascii="Times New Roman" w:eastAsia="Calibri" w:hAnsi="Times New Roman" w:cs="Times New Roman"/>
          <w:sz w:val="24"/>
          <w:szCs w:val="24"/>
        </w:rPr>
        <w:t>Kenis</w:t>
      </w:r>
      <w:proofErr w:type="spellEnd"/>
      <w:r w:rsidRPr="00C279B7">
        <w:rPr>
          <w:rFonts w:ascii="Times New Roman" w:eastAsia="Calibri" w:hAnsi="Times New Roman" w:cs="Times New Roman"/>
          <w:sz w:val="24"/>
          <w:szCs w:val="24"/>
        </w:rPr>
        <w:t xml:space="preserve">-Coskun O. Pain relief due to </w:t>
      </w:r>
      <w:proofErr w:type="spellStart"/>
      <w:r w:rsidRPr="00C279B7">
        <w:rPr>
          <w:rFonts w:ascii="Times New Roman" w:eastAsia="Calibri" w:hAnsi="Times New Roman" w:cs="Times New Roman"/>
          <w:sz w:val="24"/>
          <w:szCs w:val="24"/>
        </w:rPr>
        <w:t>transsacrococcygeal</w:t>
      </w:r>
      <w:proofErr w:type="spellEnd"/>
      <w:r w:rsidRPr="00C279B7">
        <w:rPr>
          <w:rFonts w:ascii="Times New Roman" w:eastAsia="Calibri" w:hAnsi="Times New Roman" w:cs="Times New Roman"/>
          <w:sz w:val="24"/>
          <w:szCs w:val="24"/>
        </w:rPr>
        <w:t xml:space="preserve"> ganglion impar block in chronic coccygodynia: a pilot study. Pain Medicine. 2015 Jul 1;16(7):1278-81.</w:t>
      </w:r>
    </w:p>
    <w:p w:rsidR="00CE3A31" w:rsidRPr="00CE3A31" w:rsidRDefault="00CE3A31" w:rsidP="00CE3A31">
      <w:pPr>
        <w:pStyle w:val="ListParagraph"/>
        <w:numPr>
          <w:ilvl w:val="0"/>
          <w:numId w:val="4"/>
        </w:numPr>
        <w:spacing w:line="480" w:lineRule="auto"/>
        <w:jc w:val="both"/>
        <w:rPr>
          <w:rFonts w:ascii="Times New Roman" w:eastAsia="Calibri" w:hAnsi="Times New Roman" w:cs="Times New Roman"/>
          <w:sz w:val="24"/>
          <w:szCs w:val="24"/>
        </w:rPr>
      </w:pPr>
      <w:proofErr w:type="spellStart"/>
      <w:r w:rsidRPr="00CE3A31">
        <w:rPr>
          <w:rFonts w:ascii="Times New Roman" w:eastAsia="Calibri" w:hAnsi="Times New Roman" w:cs="Times New Roman"/>
          <w:sz w:val="24"/>
          <w:szCs w:val="24"/>
        </w:rPr>
        <w:t>Origoni</w:t>
      </w:r>
      <w:proofErr w:type="spellEnd"/>
      <w:r w:rsidRPr="00CE3A31">
        <w:rPr>
          <w:rFonts w:ascii="Times New Roman" w:eastAsia="Calibri" w:hAnsi="Times New Roman" w:cs="Times New Roman"/>
          <w:sz w:val="24"/>
          <w:szCs w:val="24"/>
        </w:rPr>
        <w:t xml:space="preserve"> M, Leone Roberti Maggiore U, Salvatore S, </w:t>
      </w:r>
      <w:proofErr w:type="spellStart"/>
      <w:r w:rsidRPr="00CE3A31">
        <w:rPr>
          <w:rFonts w:ascii="Times New Roman" w:eastAsia="Calibri" w:hAnsi="Times New Roman" w:cs="Times New Roman"/>
          <w:sz w:val="24"/>
          <w:szCs w:val="24"/>
        </w:rPr>
        <w:t>Candiani</w:t>
      </w:r>
      <w:proofErr w:type="spellEnd"/>
      <w:r w:rsidRPr="00CE3A31">
        <w:rPr>
          <w:rFonts w:ascii="Times New Roman" w:eastAsia="Calibri" w:hAnsi="Times New Roman" w:cs="Times New Roman"/>
          <w:sz w:val="24"/>
          <w:szCs w:val="24"/>
        </w:rPr>
        <w:t xml:space="preserve"> M. Neurobiological mechanisms of pelvic pain. BioMed research international. 2014 Jul 8;2014.</w:t>
      </w:r>
    </w:p>
    <w:p w:rsidR="00CE3A31" w:rsidRPr="00CE3A31" w:rsidRDefault="00CE3A31" w:rsidP="00CE3A31">
      <w:pPr>
        <w:pStyle w:val="ListParagraph"/>
        <w:numPr>
          <w:ilvl w:val="0"/>
          <w:numId w:val="4"/>
        </w:numPr>
        <w:spacing w:line="480" w:lineRule="auto"/>
        <w:jc w:val="both"/>
        <w:rPr>
          <w:rFonts w:ascii="Times New Roman" w:eastAsia="Calibri" w:hAnsi="Times New Roman" w:cs="Times New Roman"/>
          <w:sz w:val="24"/>
          <w:szCs w:val="24"/>
        </w:rPr>
      </w:pPr>
      <w:proofErr w:type="spellStart"/>
      <w:r w:rsidRPr="00CE3A31">
        <w:rPr>
          <w:rFonts w:ascii="Times New Roman" w:eastAsia="Calibri" w:hAnsi="Times New Roman" w:cs="Times New Roman"/>
          <w:sz w:val="24"/>
          <w:szCs w:val="24"/>
        </w:rPr>
        <w:t>Ploteau</w:t>
      </w:r>
      <w:proofErr w:type="spellEnd"/>
      <w:r w:rsidRPr="00CE3A31">
        <w:rPr>
          <w:rFonts w:ascii="Times New Roman" w:eastAsia="Calibri" w:hAnsi="Times New Roman" w:cs="Times New Roman"/>
          <w:sz w:val="24"/>
          <w:szCs w:val="24"/>
        </w:rPr>
        <w:t xml:space="preserve"> S, </w:t>
      </w:r>
      <w:proofErr w:type="spellStart"/>
      <w:r w:rsidRPr="00CE3A31">
        <w:rPr>
          <w:rFonts w:ascii="Times New Roman" w:eastAsia="Calibri" w:hAnsi="Times New Roman" w:cs="Times New Roman"/>
          <w:sz w:val="24"/>
          <w:szCs w:val="24"/>
        </w:rPr>
        <w:t>Labat</w:t>
      </w:r>
      <w:proofErr w:type="spellEnd"/>
      <w:r w:rsidRPr="00CE3A31">
        <w:rPr>
          <w:rFonts w:ascii="Times New Roman" w:eastAsia="Calibri" w:hAnsi="Times New Roman" w:cs="Times New Roman"/>
          <w:sz w:val="24"/>
          <w:szCs w:val="24"/>
        </w:rPr>
        <w:t xml:space="preserve"> JJ, Riant T, Levesque A, Robert R, </w:t>
      </w:r>
      <w:proofErr w:type="spellStart"/>
      <w:r w:rsidRPr="00CE3A31">
        <w:rPr>
          <w:rFonts w:ascii="Times New Roman" w:eastAsia="Calibri" w:hAnsi="Times New Roman" w:cs="Times New Roman"/>
          <w:sz w:val="24"/>
          <w:szCs w:val="24"/>
        </w:rPr>
        <w:t>Nizard</w:t>
      </w:r>
      <w:proofErr w:type="spellEnd"/>
      <w:r w:rsidRPr="00CE3A31">
        <w:rPr>
          <w:rFonts w:ascii="Times New Roman" w:eastAsia="Calibri" w:hAnsi="Times New Roman" w:cs="Times New Roman"/>
          <w:sz w:val="24"/>
          <w:szCs w:val="24"/>
        </w:rPr>
        <w:t xml:space="preserve"> J. New concepts on functional chronic pelvic and perineal pain: pathophysiology and multidisciplinary management. Discovery medicine. 2015 Mar 21;19(104):185-92.</w:t>
      </w:r>
    </w:p>
    <w:p w:rsidR="00CE3A31" w:rsidRPr="00CE3A31" w:rsidRDefault="00CE3A31" w:rsidP="00CE3A31">
      <w:pPr>
        <w:pStyle w:val="ListParagraph"/>
        <w:numPr>
          <w:ilvl w:val="0"/>
          <w:numId w:val="4"/>
        </w:numPr>
        <w:spacing w:line="480" w:lineRule="auto"/>
        <w:jc w:val="both"/>
        <w:rPr>
          <w:rFonts w:ascii="Times New Roman" w:eastAsia="Calibri" w:hAnsi="Times New Roman" w:cs="Times New Roman"/>
          <w:sz w:val="24"/>
          <w:szCs w:val="24"/>
        </w:rPr>
      </w:pPr>
      <w:r w:rsidRPr="00CE3A31">
        <w:rPr>
          <w:rFonts w:ascii="Times New Roman" w:eastAsia="Calibri" w:hAnsi="Times New Roman" w:cs="Times New Roman"/>
          <w:sz w:val="24"/>
          <w:szCs w:val="24"/>
        </w:rPr>
        <w:lastRenderedPageBreak/>
        <w:t xml:space="preserve">Moore J, Kennedy S. Causes of chronic pelvic pain. Best Practice &amp; Research Clinical Obstetrics &amp; </w:t>
      </w:r>
      <w:r w:rsidR="00D0483A" w:rsidRPr="00CE3A31">
        <w:rPr>
          <w:rFonts w:ascii="Times New Roman" w:eastAsia="Calibri" w:hAnsi="Times New Roman" w:cs="Times New Roman"/>
          <w:sz w:val="24"/>
          <w:szCs w:val="24"/>
        </w:rPr>
        <w:t>Gynecology</w:t>
      </w:r>
      <w:r w:rsidRPr="00CE3A31">
        <w:rPr>
          <w:rFonts w:ascii="Times New Roman" w:eastAsia="Calibri" w:hAnsi="Times New Roman" w:cs="Times New Roman"/>
          <w:sz w:val="24"/>
          <w:szCs w:val="24"/>
        </w:rPr>
        <w:t>. 2000 Jun 1;14(3):389-402.</w:t>
      </w:r>
    </w:p>
    <w:p w:rsidR="00D0483A" w:rsidRPr="00E07E8C" w:rsidRDefault="00D0483A" w:rsidP="00D0483A">
      <w:pPr>
        <w:pStyle w:val="ListParagraph"/>
        <w:numPr>
          <w:ilvl w:val="0"/>
          <w:numId w:val="4"/>
        </w:numPr>
        <w:spacing w:line="480" w:lineRule="auto"/>
        <w:jc w:val="both"/>
        <w:rPr>
          <w:rFonts w:ascii="Times New Roman" w:eastAsia="Calibri" w:hAnsi="Times New Roman" w:cs="Times New Roman"/>
          <w:sz w:val="24"/>
          <w:szCs w:val="24"/>
        </w:rPr>
      </w:pPr>
      <w:r w:rsidRPr="00D0483A">
        <w:rPr>
          <w:rFonts w:ascii="Times New Roman" w:eastAsia="Calibri" w:hAnsi="Times New Roman" w:cs="Times New Roman"/>
          <w:sz w:val="24"/>
          <w:szCs w:val="24"/>
        </w:rPr>
        <w:t>Abdelghani M, Rabie M. Ganglion</w:t>
      </w:r>
      <w:r w:rsidRPr="00E07E8C">
        <w:rPr>
          <w:rFonts w:ascii="Times New Roman" w:eastAsia="Calibri" w:hAnsi="Times New Roman" w:cs="Times New Roman"/>
          <w:sz w:val="24"/>
          <w:szCs w:val="24"/>
        </w:rPr>
        <w:t xml:space="preserve"> Impar. Pain: A Review Guide. 2019:855-7.</w:t>
      </w:r>
    </w:p>
    <w:p w:rsidR="00E07E8C" w:rsidRPr="00E07E8C" w:rsidRDefault="00E07E8C" w:rsidP="00E07E8C">
      <w:pPr>
        <w:pStyle w:val="ListParagraph"/>
        <w:numPr>
          <w:ilvl w:val="0"/>
          <w:numId w:val="4"/>
        </w:numPr>
        <w:spacing w:line="480" w:lineRule="auto"/>
        <w:jc w:val="both"/>
        <w:rPr>
          <w:rFonts w:ascii="Times New Roman" w:eastAsia="Calibri" w:hAnsi="Times New Roman" w:cs="Times New Roman"/>
          <w:sz w:val="24"/>
          <w:szCs w:val="24"/>
        </w:rPr>
      </w:pPr>
      <w:proofErr w:type="spellStart"/>
      <w:r w:rsidRPr="00E07E8C">
        <w:rPr>
          <w:rFonts w:ascii="Times New Roman" w:eastAsia="Calibri" w:hAnsi="Times New Roman" w:cs="Times New Roman"/>
          <w:sz w:val="24"/>
          <w:szCs w:val="24"/>
        </w:rPr>
        <w:t>Patijn</w:t>
      </w:r>
      <w:proofErr w:type="spellEnd"/>
      <w:r w:rsidRPr="00E07E8C">
        <w:rPr>
          <w:rFonts w:ascii="Times New Roman" w:eastAsia="Calibri" w:hAnsi="Times New Roman" w:cs="Times New Roman"/>
          <w:sz w:val="24"/>
          <w:szCs w:val="24"/>
        </w:rPr>
        <w:t xml:space="preserve"> J, Janssen M, Hayek S, </w:t>
      </w:r>
      <w:proofErr w:type="spellStart"/>
      <w:r w:rsidRPr="00E07E8C">
        <w:rPr>
          <w:rFonts w:ascii="Times New Roman" w:eastAsia="Calibri" w:hAnsi="Times New Roman" w:cs="Times New Roman"/>
          <w:sz w:val="24"/>
          <w:szCs w:val="24"/>
        </w:rPr>
        <w:t>Mekhail</w:t>
      </w:r>
      <w:proofErr w:type="spellEnd"/>
      <w:r w:rsidRPr="00E07E8C">
        <w:rPr>
          <w:rFonts w:ascii="Times New Roman" w:eastAsia="Calibri" w:hAnsi="Times New Roman" w:cs="Times New Roman"/>
          <w:sz w:val="24"/>
          <w:szCs w:val="24"/>
        </w:rPr>
        <w:t xml:space="preserve"> N, Van Zundert J, Van </w:t>
      </w:r>
      <w:proofErr w:type="spellStart"/>
      <w:r w:rsidRPr="00E07E8C">
        <w:rPr>
          <w:rFonts w:ascii="Times New Roman" w:eastAsia="Calibri" w:hAnsi="Times New Roman" w:cs="Times New Roman"/>
          <w:sz w:val="24"/>
          <w:szCs w:val="24"/>
        </w:rPr>
        <w:t>Kleef</w:t>
      </w:r>
      <w:proofErr w:type="spellEnd"/>
      <w:r w:rsidRPr="00E07E8C">
        <w:rPr>
          <w:rFonts w:ascii="Times New Roman" w:eastAsia="Calibri" w:hAnsi="Times New Roman" w:cs="Times New Roman"/>
          <w:sz w:val="24"/>
          <w:szCs w:val="24"/>
        </w:rPr>
        <w:t xml:space="preserve"> M. Coccygodynia. Evidence‐Based Interventional Pain Medicine: According to Clinical Diagnoses. 2011 Dec 2:103-6.</w:t>
      </w:r>
    </w:p>
    <w:p w:rsidR="00E07E8C" w:rsidRPr="00E07E8C" w:rsidRDefault="00E07E8C" w:rsidP="00E07E8C">
      <w:pPr>
        <w:pStyle w:val="ListParagraph"/>
        <w:numPr>
          <w:ilvl w:val="0"/>
          <w:numId w:val="4"/>
        </w:numPr>
        <w:spacing w:line="480" w:lineRule="auto"/>
        <w:jc w:val="both"/>
        <w:rPr>
          <w:rFonts w:ascii="Times New Roman" w:eastAsia="Calibri" w:hAnsi="Times New Roman" w:cs="Times New Roman"/>
          <w:sz w:val="24"/>
          <w:szCs w:val="24"/>
        </w:rPr>
      </w:pPr>
      <w:proofErr w:type="spellStart"/>
      <w:r w:rsidRPr="00E07E8C">
        <w:rPr>
          <w:rFonts w:ascii="Times New Roman" w:eastAsia="Calibri" w:hAnsi="Times New Roman" w:cs="Times New Roman"/>
          <w:sz w:val="24"/>
          <w:szCs w:val="24"/>
        </w:rPr>
        <w:t>Akşan</w:t>
      </w:r>
      <w:proofErr w:type="spellEnd"/>
      <w:r w:rsidRPr="00E07E8C">
        <w:rPr>
          <w:rFonts w:ascii="Times New Roman" w:eastAsia="Calibri" w:hAnsi="Times New Roman" w:cs="Times New Roman"/>
          <w:sz w:val="24"/>
          <w:szCs w:val="24"/>
        </w:rPr>
        <w:t xml:space="preserve"> Ö. Management of persistent coccygodynia and health behavior: a survey study on patients with coccygodynia of age 41 to 69 years. American Journal of Health Behavior. 2022 Dec 30;46(6):821-33.</w:t>
      </w:r>
    </w:p>
    <w:p w:rsidR="0040689A" w:rsidRDefault="00FF4FA6" w:rsidP="0040689A">
      <w:pPr>
        <w:pStyle w:val="ListParagraph"/>
        <w:numPr>
          <w:ilvl w:val="0"/>
          <w:numId w:val="4"/>
        </w:numPr>
        <w:spacing w:line="480" w:lineRule="auto"/>
        <w:jc w:val="both"/>
        <w:rPr>
          <w:rFonts w:ascii="Times New Roman" w:eastAsia="Calibri" w:hAnsi="Times New Roman" w:cs="Times New Roman"/>
          <w:sz w:val="24"/>
          <w:szCs w:val="24"/>
        </w:rPr>
      </w:pPr>
      <w:proofErr w:type="spellStart"/>
      <w:r w:rsidRPr="00FF4FA6">
        <w:rPr>
          <w:rFonts w:ascii="Times New Roman" w:eastAsia="Calibri" w:hAnsi="Times New Roman" w:cs="Times New Roman"/>
          <w:sz w:val="24"/>
          <w:szCs w:val="24"/>
        </w:rPr>
        <w:t>Maigne</w:t>
      </w:r>
      <w:proofErr w:type="spellEnd"/>
      <w:r w:rsidRPr="00FF4FA6">
        <w:rPr>
          <w:rFonts w:ascii="Times New Roman" w:eastAsia="Calibri" w:hAnsi="Times New Roman" w:cs="Times New Roman"/>
          <w:sz w:val="24"/>
          <w:szCs w:val="24"/>
        </w:rPr>
        <w:t xml:space="preserve"> JY, </w:t>
      </w:r>
      <w:proofErr w:type="spellStart"/>
      <w:r w:rsidRPr="00FF4FA6">
        <w:rPr>
          <w:rFonts w:ascii="Times New Roman" w:eastAsia="Calibri" w:hAnsi="Times New Roman" w:cs="Times New Roman"/>
          <w:sz w:val="24"/>
          <w:szCs w:val="24"/>
        </w:rPr>
        <w:t>Doursounian</w:t>
      </w:r>
      <w:proofErr w:type="spellEnd"/>
      <w:r w:rsidRPr="00FF4FA6">
        <w:rPr>
          <w:rFonts w:ascii="Times New Roman" w:eastAsia="Calibri" w:hAnsi="Times New Roman" w:cs="Times New Roman"/>
          <w:sz w:val="24"/>
          <w:szCs w:val="24"/>
        </w:rPr>
        <w:t xml:space="preserve"> L, </w:t>
      </w:r>
      <w:proofErr w:type="spellStart"/>
      <w:r w:rsidRPr="00FF4FA6">
        <w:rPr>
          <w:rFonts w:ascii="Times New Roman" w:eastAsia="Calibri" w:hAnsi="Times New Roman" w:cs="Times New Roman"/>
          <w:sz w:val="24"/>
          <w:szCs w:val="24"/>
        </w:rPr>
        <w:t>Chatellier</w:t>
      </w:r>
      <w:proofErr w:type="spellEnd"/>
      <w:r w:rsidRPr="00FF4FA6">
        <w:rPr>
          <w:rFonts w:ascii="Times New Roman" w:eastAsia="Calibri" w:hAnsi="Times New Roman" w:cs="Times New Roman"/>
          <w:sz w:val="24"/>
          <w:szCs w:val="24"/>
        </w:rPr>
        <w:t xml:space="preserve"> G. Causes and mechanisms of common coccydynia: Role of body mass index and coccygeal trauma Spine (Phila Pa 1976). </w:t>
      </w:r>
      <w:r w:rsidR="006E71D2" w:rsidRPr="00FF4FA6">
        <w:rPr>
          <w:rFonts w:ascii="Times New Roman" w:eastAsia="Calibri" w:hAnsi="Times New Roman" w:cs="Times New Roman"/>
          <w:sz w:val="24"/>
          <w:szCs w:val="24"/>
        </w:rPr>
        <w:t>2000; 25:3072</w:t>
      </w:r>
      <w:r>
        <w:rPr>
          <w:rFonts w:ascii="Times New Roman" w:eastAsia="Calibri" w:hAnsi="Times New Roman" w:cs="Times New Roman"/>
          <w:sz w:val="24"/>
          <w:szCs w:val="24"/>
        </w:rPr>
        <w:t>-</w:t>
      </w:r>
      <w:r w:rsidRPr="00FF4FA6">
        <w:rPr>
          <w:rFonts w:ascii="Times New Roman" w:eastAsia="Calibri" w:hAnsi="Times New Roman" w:cs="Times New Roman"/>
          <w:sz w:val="24"/>
          <w:szCs w:val="24"/>
        </w:rPr>
        <w:t>9</w:t>
      </w:r>
    </w:p>
    <w:p w:rsidR="006E71D2" w:rsidRPr="006E71D2" w:rsidRDefault="006E71D2" w:rsidP="006E71D2">
      <w:pPr>
        <w:pStyle w:val="ListParagraph"/>
        <w:numPr>
          <w:ilvl w:val="0"/>
          <w:numId w:val="4"/>
        </w:numPr>
        <w:spacing w:line="480" w:lineRule="auto"/>
        <w:jc w:val="both"/>
        <w:rPr>
          <w:rFonts w:ascii="Times New Roman" w:eastAsia="Calibri" w:hAnsi="Times New Roman" w:cs="Times New Roman"/>
          <w:sz w:val="24"/>
          <w:szCs w:val="24"/>
        </w:rPr>
      </w:pPr>
      <w:r w:rsidRPr="006E71D2">
        <w:rPr>
          <w:rFonts w:ascii="Times New Roman" w:eastAsia="Calibri" w:hAnsi="Times New Roman" w:cs="Times New Roman"/>
          <w:sz w:val="24"/>
          <w:szCs w:val="24"/>
        </w:rPr>
        <w:t xml:space="preserve">Garg B, Ahuja K. Coccydynia-A comprehensive review on etiology, radiological features and management options. Journal of clinical </w:t>
      </w:r>
      <w:proofErr w:type="spellStart"/>
      <w:r w:rsidRPr="006E71D2">
        <w:rPr>
          <w:rFonts w:ascii="Times New Roman" w:eastAsia="Calibri" w:hAnsi="Times New Roman" w:cs="Times New Roman"/>
          <w:sz w:val="24"/>
          <w:szCs w:val="24"/>
        </w:rPr>
        <w:t>orthopaedics</w:t>
      </w:r>
      <w:proofErr w:type="spellEnd"/>
      <w:r w:rsidRPr="006E71D2">
        <w:rPr>
          <w:rFonts w:ascii="Times New Roman" w:eastAsia="Calibri" w:hAnsi="Times New Roman" w:cs="Times New Roman"/>
          <w:sz w:val="24"/>
          <w:szCs w:val="24"/>
        </w:rPr>
        <w:t xml:space="preserve"> and trauma. 2021 Jan 1;12(1):123-9.</w:t>
      </w:r>
    </w:p>
    <w:p w:rsidR="000E5C29" w:rsidRPr="000E5C29" w:rsidRDefault="000E5C29" w:rsidP="000E5C29">
      <w:pPr>
        <w:pStyle w:val="ListParagraph"/>
        <w:numPr>
          <w:ilvl w:val="0"/>
          <w:numId w:val="4"/>
        </w:numPr>
        <w:spacing w:line="480" w:lineRule="auto"/>
        <w:jc w:val="both"/>
        <w:rPr>
          <w:rFonts w:ascii="Times New Roman" w:eastAsia="Calibri" w:hAnsi="Times New Roman" w:cs="Times New Roman"/>
          <w:sz w:val="24"/>
          <w:szCs w:val="24"/>
        </w:rPr>
      </w:pPr>
      <w:r w:rsidRPr="000E5C29">
        <w:rPr>
          <w:rFonts w:ascii="Times New Roman" w:eastAsia="Calibri" w:hAnsi="Times New Roman" w:cs="Times New Roman"/>
          <w:sz w:val="24"/>
          <w:szCs w:val="24"/>
        </w:rPr>
        <w:t>Aydin S. Ganglion impar block in patients with chronic coccydynia. J Turk Spinal Surg. 2019 Oct 1;30(4):253-6.</w:t>
      </w:r>
    </w:p>
    <w:p w:rsidR="00E76ABB" w:rsidRPr="00E76ABB" w:rsidRDefault="00E76ABB" w:rsidP="00E76ABB">
      <w:pPr>
        <w:pStyle w:val="ListParagraph"/>
        <w:numPr>
          <w:ilvl w:val="0"/>
          <w:numId w:val="4"/>
        </w:numPr>
        <w:spacing w:line="480" w:lineRule="auto"/>
        <w:jc w:val="both"/>
        <w:rPr>
          <w:rFonts w:ascii="Times New Roman" w:eastAsia="Calibri" w:hAnsi="Times New Roman" w:cs="Times New Roman"/>
          <w:sz w:val="24"/>
          <w:szCs w:val="24"/>
        </w:rPr>
      </w:pPr>
      <w:proofErr w:type="spellStart"/>
      <w:r w:rsidRPr="00E76ABB">
        <w:rPr>
          <w:rFonts w:ascii="Times New Roman" w:eastAsia="Calibri" w:hAnsi="Times New Roman" w:cs="Times New Roman"/>
          <w:sz w:val="24"/>
          <w:szCs w:val="24"/>
        </w:rPr>
        <w:t>Gonnade</w:t>
      </w:r>
      <w:proofErr w:type="spellEnd"/>
      <w:r w:rsidRPr="00E76ABB">
        <w:rPr>
          <w:rFonts w:ascii="Times New Roman" w:eastAsia="Calibri" w:hAnsi="Times New Roman" w:cs="Times New Roman"/>
          <w:sz w:val="24"/>
          <w:szCs w:val="24"/>
        </w:rPr>
        <w:t xml:space="preserve"> N, Mehta N, </w:t>
      </w:r>
      <w:proofErr w:type="spellStart"/>
      <w:r w:rsidRPr="00E76ABB">
        <w:rPr>
          <w:rFonts w:ascii="Times New Roman" w:eastAsia="Calibri" w:hAnsi="Times New Roman" w:cs="Times New Roman"/>
          <w:sz w:val="24"/>
          <w:szCs w:val="24"/>
        </w:rPr>
        <w:t>Khera</w:t>
      </w:r>
      <w:proofErr w:type="spellEnd"/>
      <w:r w:rsidRPr="00E76ABB">
        <w:rPr>
          <w:rFonts w:ascii="Times New Roman" w:eastAsia="Calibri" w:hAnsi="Times New Roman" w:cs="Times New Roman"/>
          <w:sz w:val="24"/>
          <w:szCs w:val="24"/>
        </w:rPr>
        <w:t xml:space="preserve"> PS, Kumar D, Rajagopal R, Sharma PK. Ganglion impar block in patients with chronic coccydynia. Indian Journal of Radiology and Imaging. 2017 Jul;27(03):324-8.</w:t>
      </w:r>
    </w:p>
    <w:p w:rsidR="00200713" w:rsidRPr="00200713" w:rsidRDefault="00200713" w:rsidP="00200713">
      <w:pPr>
        <w:pStyle w:val="ListParagraph"/>
        <w:numPr>
          <w:ilvl w:val="0"/>
          <w:numId w:val="4"/>
        </w:numPr>
        <w:spacing w:line="480" w:lineRule="auto"/>
        <w:jc w:val="both"/>
        <w:rPr>
          <w:rFonts w:ascii="Times New Roman" w:eastAsia="Calibri" w:hAnsi="Times New Roman" w:cs="Times New Roman"/>
          <w:sz w:val="24"/>
          <w:szCs w:val="24"/>
        </w:rPr>
      </w:pPr>
      <w:r w:rsidRPr="00200713">
        <w:rPr>
          <w:rFonts w:ascii="Times New Roman" w:eastAsia="Calibri" w:hAnsi="Times New Roman" w:cs="Times New Roman"/>
          <w:sz w:val="24"/>
          <w:szCs w:val="24"/>
        </w:rPr>
        <w:lastRenderedPageBreak/>
        <w:t>Kim BW, Shin JW, Song MH, Park EK, Lee C, Suh BT. Blockade of the ganglion impar for the management of intractable coccygodynia. Journal of the Korean Pain Society. 1996 Jun 1;9(1):223-5.</w:t>
      </w:r>
    </w:p>
    <w:p w:rsidR="00200713" w:rsidRPr="00200713" w:rsidRDefault="00200713" w:rsidP="00200713">
      <w:pPr>
        <w:pStyle w:val="ListParagraph"/>
        <w:numPr>
          <w:ilvl w:val="0"/>
          <w:numId w:val="4"/>
        </w:numPr>
        <w:spacing w:line="480" w:lineRule="auto"/>
        <w:jc w:val="both"/>
        <w:rPr>
          <w:rFonts w:ascii="Times New Roman" w:eastAsia="Calibri" w:hAnsi="Times New Roman" w:cs="Times New Roman"/>
          <w:sz w:val="24"/>
          <w:szCs w:val="24"/>
        </w:rPr>
      </w:pPr>
      <w:proofErr w:type="spellStart"/>
      <w:r w:rsidRPr="00200713">
        <w:rPr>
          <w:rFonts w:ascii="Times New Roman" w:eastAsia="Calibri" w:hAnsi="Times New Roman" w:cs="Times New Roman"/>
          <w:sz w:val="24"/>
          <w:szCs w:val="24"/>
        </w:rPr>
        <w:t>Kırcelli</w:t>
      </w:r>
      <w:proofErr w:type="spellEnd"/>
      <w:r w:rsidRPr="00200713">
        <w:rPr>
          <w:rFonts w:ascii="Times New Roman" w:eastAsia="Calibri" w:hAnsi="Times New Roman" w:cs="Times New Roman"/>
          <w:sz w:val="24"/>
          <w:szCs w:val="24"/>
        </w:rPr>
        <w:t xml:space="preserve"> A, </w:t>
      </w:r>
      <w:proofErr w:type="spellStart"/>
      <w:r w:rsidRPr="00200713">
        <w:rPr>
          <w:rFonts w:ascii="Times New Roman" w:eastAsia="Calibri" w:hAnsi="Times New Roman" w:cs="Times New Roman"/>
          <w:sz w:val="24"/>
          <w:szCs w:val="24"/>
        </w:rPr>
        <w:t>Demirçay</w:t>
      </w:r>
      <w:proofErr w:type="spellEnd"/>
      <w:r w:rsidRPr="00200713">
        <w:rPr>
          <w:rFonts w:ascii="Times New Roman" w:eastAsia="Calibri" w:hAnsi="Times New Roman" w:cs="Times New Roman"/>
          <w:sz w:val="24"/>
          <w:szCs w:val="24"/>
        </w:rPr>
        <w:t xml:space="preserve"> E, </w:t>
      </w:r>
      <w:proofErr w:type="spellStart"/>
      <w:r w:rsidRPr="00200713">
        <w:rPr>
          <w:rFonts w:ascii="Times New Roman" w:eastAsia="Calibri" w:hAnsi="Times New Roman" w:cs="Times New Roman"/>
          <w:sz w:val="24"/>
          <w:szCs w:val="24"/>
        </w:rPr>
        <w:t>Özel</w:t>
      </w:r>
      <w:proofErr w:type="spellEnd"/>
      <w:r w:rsidRPr="00200713">
        <w:rPr>
          <w:rFonts w:ascii="Times New Roman" w:eastAsia="Calibri" w:hAnsi="Times New Roman" w:cs="Times New Roman"/>
          <w:sz w:val="24"/>
          <w:szCs w:val="24"/>
        </w:rPr>
        <w:t xml:space="preserve"> Ö, </w:t>
      </w:r>
      <w:proofErr w:type="spellStart"/>
      <w:r w:rsidRPr="00200713">
        <w:rPr>
          <w:rFonts w:ascii="Times New Roman" w:eastAsia="Calibri" w:hAnsi="Times New Roman" w:cs="Times New Roman"/>
          <w:sz w:val="24"/>
          <w:szCs w:val="24"/>
        </w:rPr>
        <w:t>Çöven</w:t>
      </w:r>
      <w:proofErr w:type="spellEnd"/>
      <w:r w:rsidRPr="00200713">
        <w:rPr>
          <w:rFonts w:ascii="Times New Roman" w:eastAsia="Calibri" w:hAnsi="Times New Roman" w:cs="Times New Roman"/>
          <w:sz w:val="24"/>
          <w:szCs w:val="24"/>
        </w:rPr>
        <w:t xml:space="preserve"> I, </w:t>
      </w:r>
      <w:proofErr w:type="spellStart"/>
      <w:r w:rsidRPr="00200713">
        <w:rPr>
          <w:rFonts w:ascii="Times New Roman" w:eastAsia="Calibri" w:hAnsi="Times New Roman" w:cs="Times New Roman"/>
          <w:sz w:val="24"/>
          <w:szCs w:val="24"/>
        </w:rPr>
        <w:t>Işık</w:t>
      </w:r>
      <w:proofErr w:type="spellEnd"/>
      <w:r w:rsidRPr="00200713">
        <w:rPr>
          <w:rFonts w:ascii="Times New Roman" w:eastAsia="Calibri" w:hAnsi="Times New Roman" w:cs="Times New Roman"/>
          <w:sz w:val="24"/>
          <w:szCs w:val="24"/>
        </w:rPr>
        <w:t xml:space="preserve"> S, </w:t>
      </w:r>
      <w:proofErr w:type="spellStart"/>
      <w:r w:rsidRPr="00200713">
        <w:rPr>
          <w:rFonts w:ascii="Times New Roman" w:eastAsia="Calibri" w:hAnsi="Times New Roman" w:cs="Times New Roman"/>
          <w:sz w:val="24"/>
          <w:szCs w:val="24"/>
        </w:rPr>
        <w:t>Civelek</w:t>
      </w:r>
      <w:proofErr w:type="spellEnd"/>
      <w:r w:rsidRPr="00200713">
        <w:rPr>
          <w:rFonts w:ascii="Times New Roman" w:eastAsia="Calibri" w:hAnsi="Times New Roman" w:cs="Times New Roman"/>
          <w:sz w:val="24"/>
          <w:szCs w:val="24"/>
        </w:rPr>
        <w:t xml:space="preserve"> E, </w:t>
      </w:r>
      <w:proofErr w:type="spellStart"/>
      <w:r w:rsidRPr="00200713">
        <w:rPr>
          <w:rFonts w:ascii="Times New Roman" w:eastAsia="Calibri" w:hAnsi="Times New Roman" w:cs="Times New Roman"/>
          <w:sz w:val="24"/>
          <w:szCs w:val="24"/>
        </w:rPr>
        <w:t>Kabataş</w:t>
      </w:r>
      <w:proofErr w:type="spellEnd"/>
      <w:r w:rsidRPr="00200713">
        <w:rPr>
          <w:rFonts w:ascii="Times New Roman" w:eastAsia="Calibri" w:hAnsi="Times New Roman" w:cs="Times New Roman"/>
          <w:sz w:val="24"/>
          <w:szCs w:val="24"/>
        </w:rPr>
        <w:t xml:space="preserve"> S. Radiofrequency Thermocoagulation of the Ganglion Impar for Coccydynia Management: Long‐Term Effects. Pain Practice. 2019 Jan;19(1):9-15.</w:t>
      </w:r>
    </w:p>
    <w:p w:rsidR="00200713" w:rsidRPr="00200713" w:rsidRDefault="00200713" w:rsidP="00200713">
      <w:pPr>
        <w:pStyle w:val="ListParagraph"/>
        <w:numPr>
          <w:ilvl w:val="0"/>
          <w:numId w:val="4"/>
        </w:numPr>
        <w:spacing w:line="480" w:lineRule="auto"/>
        <w:jc w:val="both"/>
        <w:rPr>
          <w:rFonts w:ascii="Times New Roman" w:eastAsia="Calibri" w:hAnsi="Times New Roman" w:cs="Times New Roman"/>
          <w:sz w:val="24"/>
          <w:szCs w:val="24"/>
        </w:rPr>
      </w:pPr>
      <w:r w:rsidRPr="00200713">
        <w:rPr>
          <w:rFonts w:ascii="Times New Roman" w:eastAsia="Calibri" w:hAnsi="Times New Roman" w:cs="Times New Roman"/>
          <w:sz w:val="24"/>
          <w:szCs w:val="24"/>
        </w:rPr>
        <w:t xml:space="preserve">Khosla A, </w:t>
      </w:r>
      <w:proofErr w:type="spellStart"/>
      <w:r w:rsidRPr="00200713">
        <w:rPr>
          <w:rFonts w:ascii="Times New Roman" w:eastAsia="Calibri" w:hAnsi="Times New Roman" w:cs="Times New Roman"/>
          <w:sz w:val="24"/>
          <w:szCs w:val="24"/>
        </w:rPr>
        <w:t>Adeyefa</w:t>
      </w:r>
      <w:proofErr w:type="spellEnd"/>
      <w:r w:rsidRPr="00200713">
        <w:rPr>
          <w:rFonts w:ascii="Times New Roman" w:eastAsia="Calibri" w:hAnsi="Times New Roman" w:cs="Times New Roman"/>
          <w:sz w:val="24"/>
          <w:szCs w:val="24"/>
        </w:rPr>
        <w:t xml:space="preserve"> O, Nasir S. Successful treatment of radiation-induced proctitis pain by blockade of the ganglion impar in an elderly patient with prostate cancer: a case report. Pain Medicine. 2013 May 1;14(5):662-6.</w:t>
      </w:r>
    </w:p>
    <w:p w:rsidR="00200713" w:rsidRPr="00200713" w:rsidRDefault="00200713" w:rsidP="00200713">
      <w:pPr>
        <w:pStyle w:val="ListParagraph"/>
        <w:numPr>
          <w:ilvl w:val="0"/>
          <w:numId w:val="4"/>
        </w:numPr>
        <w:spacing w:line="480" w:lineRule="auto"/>
        <w:jc w:val="both"/>
        <w:rPr>
          <w:rFonts w:ascii="Times New Roman" w:eastAsia="Calibri" w:hAnsi="Times New Roman" w:cs="Times New Roman"/>
          <w:sz w:val="24"/>
          <w:szCs w:val="24"/>
        </w:rPr>
      </w:pPr>
      <w:r w:rsidRPr="00200713">
        <w:rPr>
          <w:rFonts w:ascii="Times New Roman" w:eastAsia="Calibri" w:hAnsi="Times New Roman" w:cs="Times New Roman"/>
          <w:sz w:val="24"/>
          <w:szCs w:val="24"/>
        </w:rPr>
        <w:t>Lee YB, Yoon KB, Park JS. Blockade of the Ganglion Impar in Rectal Cancer Pain: A case report. Journal of the Korean Pain Society. 1996 Nov 1;9(2):419-22.</w:t>
      </w:r>
    </w:p>
    <w:p w:rsidR="001C4A0C" w:rsidRPr="001C4A0C" w:rsidRDefault="001C4A0C" w:rsidP="001C4A0C">
      <w:pPr>
        <w:pStyle w:val="ListParagraph"/>
        <w:numPr>
          <w:ilvl w:val="0"/>
          <w:numId w:val="4"/>
        </w:numPr>
        <w:spacing w:line="480" w:lineRule="auto"/>
        <w:jc w:val="both"/>
        <w:rPr>
          <w:rFonts w:ascii="Times New Roman" w:eastAsia="Calibri" w:hAnsi="Times New Roman" w:cs="Times New Roman"/>
          <w:sz w:val="24"/>
          <w:szCs w:val="24"/>
        </w:rPr>
      </w:pPr>
      <w:r w:rsidRPr="001C4A0C">
        <w:rPr>
          <w:rFonts w:ascii="Times New Roman" w:eastAsia="Calibri" w:hAnsi="Times New Roman" w:cs="Times New Roman"/>
          <w:sz w:val="24"/>
          <w:szCs w:val="24"/>
        </w:rPr>
        <w:t xml:space="preserve">Kim CS, Jang K, </w:t>
      </w:r>
      <w:proofErr w:type="spellStart"/>
      <w:r w:rsidRPr="001C4A0C">
        <w:rPr>
          <w:rFonts w:ascii="Times New Roman" w:eastAsia="Calibri" w:hAnsi="Times New Roman" w:cs="Times New Roman"/>
          <w:sz w:val="24"/>
          <w:szCs w:val="24"/>
        </w:rPr>
        <w:t>Leem</w:t>
      </w:r>
      <w:proofErr w:type="spellEnd"/>
      <w:r w:rsidRPr="001C4A0C">
        <w:rPr>
          <w:rFonts w:ascii="Times New Roman" w:eastAsia="Calibri" w:hAnsi="Times New Roman" w:cs="Times New Roman"/>
          <w:sz w:val="24"/>
          <w:szCs w:val="24"/>
        </w:rPr>
        <w:t xml:space="preserve"> JG, Shin JW, Kim DH, Choi SS. Factors associated with successful responses to ganglion impar block: a retrospective study. International Journal of Medical Sciences. 2021;18(13):2957.</w:t>
      </w:r>
    </w:p>
    <w:p w:rsidR="001B5B36" w:rsidRPr="001B5B36" w:rsidRDefault="001B5B36" w:rsidP="001B5B36">
      <w:pPr>
        <w:pStyle w:val="ListParagraph"/>
        <w:numPr>
          <w:ilvl w:val="0"/>
          <w:numId w:val="4"/>
        </w:numPr>
        <w:spacing w:line="480" w:lineRule="auto"/>
        <w:jc w:val="both"/>
        <w:rPr>
          <w:rFonts w:ascii="Times New Roman" w:eastAsia="Calibri" w:hAnsi="Times New Roman" w:cs="Times New Roman"/>
          <w:sz w:val="24"/>
          <w:szCs w:val="24"/>
        </w:rPr>
      </w:pPr>
      <w:proofErr w:type="spellStart"/>
      <w:r w:rsidRPr="001B5B36">
        <w:rPr>
          <w:rFonts w:ascii="Times New Roman" w:eastAsia="Calibri" w:hAnsi="Times New Roman" w:cs="Times New Roman"/>
          <w:sz w:val="24"/>
          <w:szCs w:val="24"/>
        </w:rPr>
        <w:t>Hazazi</w:t>
      </w:r>
      <w:proofErr w:type="spellEnd"/>
      <w:r w:rsidRPr="001B5B36">
        <w:rPr>
          <w:rFonts w:ascii="Times New Roman" w:eastAsia="Calibri" w:hAnsi="Times New Roman" w:cs="Times New Roman"/>
          <w:sz w:val="24"/>
          <w:szCs w:val="24"/>
        </w:rPr>
        <w:t xml:space="preserve"> A. Platelet-rich plasma for refractory coccydynia: A case report. Journal of Spine Practice. 2021 Nov 7;1(1):44-</w:t>
      </w:r>
      <w:r>
        <w:rPr>
          <w:rFonts w:ascii="Times New Roman" w:eastAsia="Calibri" w:hAnsi="Times New Roman" w:cs="Times New Roman"/>
          <w:sz w:val="24"/>
          <w:szCs w:val="24"/>
        </w:rPr>
        <w:t>1</w:t>
      </w:r>
      <w:r w:rsidRPr="001B5B36">
        <w:rPr>
          <w:rFonts w:ascii="Times New Roman" w:eastAsia="Calibri" w:hAnsi="Times New Roman" w:cs="Times New Roman"/>
          <w:sz w:val="24"/>
          <w:szCs w:val="24"/>
        </w:rPr>
        <w:t>.</w:t>
      </w:r>
    </w:p>
    <w:p w:rsidR="006E71D2" w:rsidRDefault="006E71D2" w:rsidP="0040689A">
      <w:pPr>
        <w:pStyle w:val="ListParagraph"/>
        <w:numPr>
          <w:ilvl w:val="0"/>
          <w:numId w:val="4"/>
        </w:numPr>
        <w:spacing w:line="480" w:lineRule="auto"/>
        <w:jc w:val="both"/>
        <w:rPr>
          <w:rFonts w:ascii="Times New Roman" w:eastAsia="Calibri" w:hAnsi="Times New Roman" w:cs="Times New Roman"/>
          <w:sz w:val="24"/>
          <w:szCs w:val="24"/>
        </w:rPr>
      </w:pPr>
    </w:p>
    <w:p w:rsidR="00052622" w:rsidRDefault="00052622" w:rsidP="00052622">
      <w:pPr>
        <w:bidi w:val="0"/>
        <w:spacing w:line="480" w:lineRule="auto"/>
        <w:jc w:val="both"/>
        <w:rPr>
          <w:rFonts w:asciiTheme="majorBidi" w:hAnsiTheme="majorBidi" w:cstheme="majorBidi"/>
          <w:sz w:val="24"/>
          <w:szCs w:val="24"/>
        </w:rPr>
      </w:pPr>
    </w:p>
    <w:p w:rsidR="00842EA7" w:rsidRPr="0034199D" w:rsidRDefault="00842EA7" w:rsidP="00842EA7">
      <w:pPr>
        <w:bidi w:val="0"/>
        <w:spacing w:line="480" w:lineRule="auto"/>
        <w:jc w:val="both"/>
        <w:rPr>
          <w:rFonts w:asciiTheme="majorBidi" w:hAnsiTheme="majorBidi" w:cstheme="majorBidi"/>
          <w:sz w:val="24"/>
          <w:szCs w:val="24"/>
        </w:rPr>
      </w:pPr>
    </w:p>
    <w:p w:rsidR="00BF6C65" w:rsidRPr="00BF6C65" w:rsidRDefault="00BF6C65" w:rsidP="00BF6C65">
      <w:pPr>
        <w:bidi w:val="0"/>
        <w:spacing w:line="480" w:lineRule="auto"/>
        <w:jc w:val="both"/>
        <w:rPr>
          <w:rFonts w:asciiTheme="majorBidi" w:hAnsiTheme="majorBidi" w:cstheme="majorBidi"/>
          <w:sz w:val="24"/>
          <w:szCs w:val="24"/>
        </w:rPr>
      </w:pPr>
    </w:p>
    <w:p w:rsidR="00842EA7" w:rsidRPr="00CC3424" w:rsidRDefault="00842EA7" w:rsidP="00842EA7">
      <w:pPr>
        <w:bidi w:val="0"/>
        <w:jc w:val="center"/>
        <w:rPr>
          <w:sz w:val="24"/>
          <w:szCs w:val="24"/>
        </w:rPr>
      </w:pPr>
      <w:r w:rsidRPr="00CC3424">
        <w:rPr>
          <w:sz w:val="24"/>
          <w:szCs w:val="24"/>
        </w:rPr>
        <w:lastRenderedPageBreak/>
        <w:t>Table 1. Personal data of study patients with chronic coccygodynia underwent ganglion impar block</w:t>
      </w:r>
    </w:p>
    <w:tbl>
      <w:tblPr>
        <w:tblW w:w="6911" w:type="dxa"/>
        <w:jc w:val="center"/>
        <w:tblLook w:val="04A0" w:firstRow="1" w:lastRow="0" w:firstColumn="1" w:lastColumn="0" w:noHBand="0" w:noVBand="1"/>
      </w:tblPr>
      <w:tblGrid>
        <w:gridCol w:w="3594"/>
        <w:gridCol w:w="1658"/>
        <w:gridCol w:w="1659"/>
      </w:tblGrid>
      <w:tr w:rsidR="00842EA7" w:rsidRPr="00CC3424" w:rsidTr="009B641A">
        <w:trPr>
          <w:trHeight w:val="523"/>
          <w:jc w:val="center"/>
        </w:trPr>
        <w:tc>
          <w:tcPr>
            <w:tcW w:w="3594" w:type="dxa"/>
            <w:tcBorders>
              <w:top w:val="single" w:sz="4" w:space="0" w:color="auto"/>
              <w:left w:val="nil"/>
              <w:bottom w:val="single" w:sz="4" w:space="0" w:color="auto"/>
              <w:right w:val="nil"/>
            </w:tcBorders>
            <w:shd w:val="clear" w:color="auto" w:fill="auto"/>
            <w:noWrap/>
            <w:vAlign w:val="center"/>
            <w:hideMark/>
          </w:tcPr>
          <w:p w:rsidR="00842EA7" w:rsidRPr="00CC3424" w:rsidRDefault="00842EA7" w:rsidP="009B641A">
            <w:pPr>
              <w:bidi w:val="0"/>
              <w:spacing w:after="0" w:line="240" w:lineRule="auto"/>
              <w:rPr>
                <w:rFonts w:asciiTheme="majorBidi" w:eastAsia="Times New Roman" w:hAnsiTheme="majorBidi" w:cstheme="majorBidi"/>
                <w:b/>
                <w:bCs/>
                <w:color w:val="000000"/>
              </w:rPr>
            </w:pPr>
            <w:r w:rsidRPr="00CC3424">
              <w:rPr>
                <w:rFonts w:asciiTheme="majorBidi" w:eastAsia="Times New Roman" w:hAnsiTheme="majorBidi" w:cstheme="majorBidi"/>
                <w:b/>
                <w:bCs/>
                <w:color w:val="000000"/>
              </w:rPr>
              <w:t>Personal data</w:t>
            </w:r>
          </w:p>
        </w:tc>
        <w:tc>
          <w:tcPr>
            <w:tcW w:w="1658" w:type="dxa"/>
            <w:tcBorders>
              <w:top w:val="single" w:sz="4" w:space="0" w:color="auto"/>
              <w:left w:val="nil"/>
              <w:bottom w:val="single" w:sz="4" w:space="0" w:color="auto"/>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b/>
                <w:bCs/>
                <w:color w:val="000000"/>
              </w:rPr>
            </w:pPr>
            <w:r w:rsidRPr="00CC3424">
              <w:rPr>
                <w:rFonts w:asciiTheme="majorBidi" w:eastAsia="Times New Roman" w:hAnsiTheme="majorBidi" w:cstheme="majorBidi"/>
                <w:b/>
                <w:bCs/>
                <w:color w:val="000000"/>
              </w:rPr>
              <w:t>No</w:t>
            </w:r>
          </w:p>
        </w:tc>
        <w:tc>
          <w:tcPr>
            <w:tcW w:w="1659" w:type="dxa"/>
            <w:tcBorders>
              <w:top w:val="single" w:sz="4" w:space="0" w:color="auto"/>
              <w:left w:val="nil"/>
              <w:bottom w:val="single" w:sz="4" w:space="0" w:color="auto"/>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b/>
                <w:bCs/>
                <w:color w:val="000000"/>
              </w:rPr>
            </w:pPr>
            <w:r w:rsidRPr="00CC3424">
              <w:rPr>
                <w:rFonts w:asciiTheme="majorBidi" w:eastAsia="Times New Roman" w:hAnsiTheme="majorBidi" w:cstheme="majorBidi"/>
                <w:b/>
                <w:bCs/>
                <w:color w:val="000000"/>
              </w:rPr>
              <w:t>%</w:t>
            </w:r>
          </w:p>
        </w:tc>
      </w:tr>
      <w:tr w:rsidR="00842EA7" w:rsidRPr="00CC3424" w:rsidTr="009B641A">
        <w:trPr>
          <w:trHeight w:val="523"/>
          <w:jc w:val="center"/>
        </w:trPr>
        <w:tc>
          <w:tcPr>
            <w:tcW w:w="3594"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rPr>
                <w:rFonts w:asciiTheme="majorBidi" w:eastAsia="Times New Roman" w:hAnsiTheme="majorBidi" w:cstheme="majorBidi"/>
                <w:b/>
                <w:bCs/>
                <w:color w:val="000000"/>
              </w:rPr>
            </w:pPr>
            <w:r w:rsidRPr="00CC3424">
              <w:rPr>
                <w:rFonts w:asciiTheme="majorBidi" w:eastAsia="Times New Roman" w:hAnsiTheme="majorBidi" w:cstheme="majorBidi"/>
                <w:b/>
                <w:bCs/>
                <w:color w:val="000000"/>
              </w:rPr>
              <w:t>Age in years</w:t>
            </w:r>
          </w:p>
        </w:tc>
        <w:tc>
          <w:tcPr>
            <w:tcW w:w="1658"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color w:val="000000"/>
              </w:rPr>
            </w:pPr>
          </w:p>
        </w:tc>
        <w:tc>
          <w:tcPr>
            <w:tcW w:w="1659"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rPr>
            </w:pPr>
          </w:p>
        </w:tc>
      </w:tr>
      <w:tr w:rsidR="00842EA7" w:rsidRPr="00CC3424" w:rsidTr="009B641A">
        <w:trPr>
          <w:trHeight w:val="523"/>
          <w:jc w:val="center"/>
        </w:trPr>
        <w:tc>
          <w:tcPr>
            <w:tcW w:w="3594"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rPr>
                <w:rFonts w:asciiTheme="majorBidi" w:eastAsia="Times New Roman" w:hAnsiTheme="majorBidi" w:cstheme="majorBidi"/>
                <w:i/>
                <w:iCs/>
                <w:color w:val="000000"/>
              </w:rPr>
            </w:pPr>
            <w:r w:rsidRPr="00CC3424">
              <w:rPr>
                <w:rFonts w:asciiTheme="majorBidi" w:eastAsia="Times New Roman" w:hAnsiTheme="majorBidi" w:cstheme="majorBidi"/>
                <w:i/>
                <w:iCs/>
                <w:color w:val="000000"/>
              </w:rPr>
              <w:t>&lt; 40</w:t>
            </w:r>
          </w:p>
        </w:tc>
        <w:tc>
          <w:tcPr>
            <w:tcW w:w="1658"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color w:val="000000"/>
              </w:rPr>
            </w:pPr>
            <w:r w:rsidRPr="00CC3424">
              <w:rPr>
                <w:rFonts w:asciiTheme="majorBidi" w:eastAsia="Times New Roman" w:hAnsiTheme="majorBidi" w:cstheme="majorBidi"/>
                <w:color w:val="000000"/>
              </w:rPr>
              <w:t>12</w:t>
            </w:r>
          </w:p>
        </w:tc>
        <w:tc>
          <w:tcPr>
            <w:tcW w:w="1659"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color w:val="000000"/>
              </w:rPr>
            </w:pPr>
            <w:r w:rsidRPr="00CC3424">
              <w:rPr>
                <w:rFonts w:asciiTheme="majorBidi" w:eastAsia="Times New Roman" w:hAnsiTheme="majorBidi" w:cstheme="majorBidi"/>
                <w:color w:val="000000"/>
              </w:rPr>
              <w:t>42.9%</w:t>
            </w:r>
          </w:p>
        </w:tc>
      </w:tr>
      <w:tr w:rsidR="00842EA7" w:rsidRPr="00CC3424" w:rsidTr="009B641A">
        <w:trPr>
          <w:trHeight w:val="523"/>
          <w:jc w:val="center"/>
        </w:trPr>
        <w:tc>
          <w:tcPr>
            <w:tcW w:w="3594"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rPr>
                <w:rFonts w:asciiTheme="majorBidi" w:eastAsia="Times New Roman" w:hAnsiTheme="majorBidi" w:cstheme="majorBidi"/>
                <w:i/>
                <w:iCs/>
                <w:color w:val="000000"/>
              </w:rPr>
            </w:pPr>
            <w:r w:rsidRPr="00CC3424">
              <w:rPr>
                <w:rFonts w:asciiTheme="majorBidi" w:eastAsia="Times New Roman" w:hAnsiTheme="majorBidi" w:cstheme="majorBidi"/>
                <w:i/>
                <w:iCs/>
                <w:color w:val="000000"/>
              </w:rPr>
              <w:t>&gt; 40</w:t>
            </w:r>
          </w:p>
        </w:tc>
        <w:tc>
          <w:tcPr>
            <w:tcW w:w="1658"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color w:val="000000"/>
              </w:rPr>
            </w:pPr>
            <w:r w:rsidRPr="00CC3424">
              <w:rPr>
                <w:rFonts w:asciiTheme="majorBidi" w:eastAsia="Times New Roman" w:hAnsiTheme="majorBidi" w:cstheme="majorBidi"/>
                <w:color w:val="000000"/>
              </w:rPr>
              <w:t>16</w:t>
            </w:r>
          </w:p>
        </w:tc>
        <w:tc>
          <w:tcPr>
            <w:tcW w:w="1659"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color w:val="000000"/>
              </w:rPr>
            </w:pPr>
            <w:r w:rsidRPr="00CC3424">
              <w:rPr>
                <w:rFonts w:asciiTheme="majorBidi" w:eastAsia="Times New Roman" w:hAnsiTheme="majorBidi" w:cstheme="majorBidi"/>
                <w:color w:val="000000"/>
              </w:rPr>
              <w:t>57.1%</w:t>
            </w:r>
          </w:p>
        </w:tc>
      </w:tr>
      <w:tr w:rsidR="00842EA7" w:rsidRPr="00CC3424" w:rsidTr="009B641A">
        <w:trPr>
          <w:trHeight w:val="523"/>
          <w:jc w:val="center"/>
        </w:trPr>
        <w:tc>
          <w:tcPr>
            <w:tcW w:w="3594" w:type="dxa"/>
            <w:tcBorders>
              <w:top w:val="single" w:sz="4" w:space="0" w:color="auto"/>
              <w:left w:val="nil"/>
              <w:bottom w:val="single" w:sz="4" w:space="0" w:color="auto"/>
              <w:right w:val="nil"/>
            </w:tcBorders>
            <w:shd w:val="clear" w:color="auto" w:fill="auto"/>
            <w:noWrap/>
            <w:vAlign w:val="center"/>
            <w:hideMark/>
          </w:tcPr>
          <w:p w:rsidR="00842EA7" w:rsidRPr="00CC3424" w:rsidRDefault="00842EA7" w:rsidP="009B641A">
            <w:pPr>
              <w:bidi w:val="0"/>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Pr>
              <w:t>Mean ± SD</w:t>
            </w:r>
          </w:p>
        </w:tc>
        <w:tc>
          <w:tcPr>
            <w:tcW w:w="3317" w:type="dxa"/>
            <w:gridSpan w:val="2"/>
            <w:tcBorders>
              <w:top w:val="single" w:sz="4" w:space="0" w:color="auto"/>
              <w:left w:val="nil"/>
              <w:bottom w:val="single" w:sz="4" w:space="0" w:color="auto"/>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43.7 ± 11.3</w:t>
            </w:r>
          </w:p>
        </w:tc>
      </w:tr>
      <w:tr w:rsidR="00842EA7" w:rsidRPr="00CC3424" w:rsidTr="009B641A">
        <w:trPr>
          <w:trHeight w:val="523"/>
          <w:jc w:val="center"/>
        </w:trPr>
        <w:tc>
          <w:tcPr>
            <w:tcW w:w="3594"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rPr>
                <w:rFonts w:asciiTheme="majorBidi" w:eastAsia="Times New Roman" w:hAnsiTheme="majorBidi" w:cstheme="majorBidi"/>
                <w:b/>
                <w:bCs/>
                <w:color w:val="000000"/>
              </w:rPr>
            </w:pPr>
            <w:r w:rsidRPr="00CC3424">
              <w:rPr>
                <w:rFonts w:asciiTheme="majorBidi" w:eastAsia="Times New Roman" w:hAnsiTheme="majorBidi" w:cstheme="majorBidi"/>
                <w:b/>
                <w:bCs/>
                <w:color w:val="000000"/>
              </w:rPr>
              <w:t>Gender</w:t>
            </w:r>
          </w:p>
        </w:tc>
        <w:tc>
          <w:tcPr>
            <w:tcW w:w="1658"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color w:val="000000"/>
              </w:rPr>
            </w:pPr>
          </w:p>
        </w:tc>
        <w:tc>
          <w:tcPr>
            <w:tcW w:w="1659"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rPr>
            </w:pPr>
          </w:p>
        </w:tc>
      </w:tr>
      <w:tr w:rsidR="00842EA7" w:rsidRPr="00CC3424" w:rsidTr="009B641A">
        <w:trPr>
          <w:trHeight w:val="523"/>
          <w:jc w:val="center"/>
        </w:trPr>
        <w:tc>
          <w:tcPr>
            <w:tcW w:w="3594"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rPr>
                <w:rFonts w:asciiTheme="majorBidi" w:eastAsia="Times New Roman" w:hAnsiTheme="majorBidi" w:cstheme="majorBidi"/>
                <w:i/>
                <w:iCs/>
                <w:color w:val="000000"/>
              </w:rPr>
            </w:pPr>
            <w:r w:rsidRPr="00CC3424">
              <w:rPr>
                <w:rFonts w:asciiTheme="majorBidi" w:eastAsia="Times New Roman" w:hAnsiTheme="majorBidi" w:cstheme="majorBidi"/>
                <w:i/>
                <w:iCs/>
                <w:color w:val="000000"/>
              </w:rPr>
              <w:t>Male</w:t>
            </w:r>
          </w:p>
        </w:tc>
        <w:tc>
          <w:tcPr>
            <w:tcW w:w="1658"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color w:val="000000"/>
              </w:rPr>
            </w:pPr>
            <w:r w:rsidRPr="00CC3424">
              <w:rPr>
                <w:rFonts w:asciiTheme="majorBidi" w:eastAsia="Times New Roman" w:hAnsiTheme="majorBidi" w:cstheme="majorBidi"/>
                <w:color w:val="000000"/>
              </w:rPr>
              <w:t>9</w:t>
            </w:r>
          </w:p>
        </w:tc>
        <w:tc>
          <w:tcPr>
            <w:tcW w:w="1659"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color w:val="000000"/>
              </w:rPr>
            </w:pPr>
            <w:r w:rsidRPr="00CC3424">
              <w:rPr>
                <w:rFonts w:asciiTheme="majorBidi" w:eastAsia="Times New Roman" w:hAnsiTheme="majorBidi" w:cstheme="majorBidi"/>
                <w:color w:val="000000"/>
              </w:rPr>
              <w:t>32.1%</w:t>
            </w:r>
          </w:p>
        </w:tc>
      </w:tr>
      <w:tr w:rsidR="00842EA7" w:rsidRPr="00CC3424" w:rsidTr="009B641A">
        <w:trPr>
          <w:trHeight w:val="523"/>
          <w:jc w:val="center"/>
        </w:trPr>
        <w:tc>
          <w:tcPr>
            <w:tcW w:w="3594"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rPr>
                <w:rFonts w:asciiTheme="majorBidi" w:eastAsia="Times New Roman" w:hAnsiTheme="majorBidi" w:cstheme="majorBidi"/>
                <w:i/>
                <w:iCs/>
                <w:color w:val="000000"/>
              </w:rPr>
            </w:pPr>
            <w:r w:rsidRPr="00CC3424">
              <w:rPr>
                <w:rFonts w:asciiTheme="majorBidi" w:eastAsia="Times New Roman" w:hAnsiTheme="majorBidi" w:cstheme="majorBidi"/>
                <w:i/>
                <w:iCs/>
                <w:color w:val="000000"/>
              </w:rPr>
              <w:t>Female</w:t>
            </w:r>
          </w:p>
        </w:tc>
        <w:tc>
          <w:tcPr>
            <w:tcW w:w="1658"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color w:val="000000"/>
              </w:rPr>
            </w:pPr>
            <w:r w:rsidRPr="00CC3424">
              <w:rPr>
                <w:rFonts w:asciiTheme="majorBidi" w:eastAsia="Times New Roman" w:hAnsiTheme="majorBidi" w:cstheme="majorBidi"/>
                <w:color w:val="000000"/>
              </w:rPr>
              <w:t>19</w:t>
            </w:r>
          </w:p>
        </w:tc>
        <w:tc>
          <w:tcPr>
            <w:tcW w:w="1659"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color w:val="000000"/>
              </w:rPr>
            </w:pPr>
            <w:r w:rsidRPr="00CC3424">
              <w:rPr>
                <w:rFonts w:asciiTheme="majorBidi" w:eastAsia="Times New Roman" w:hAnsiTheme="majorBidi" w:cstheme="majorBidi"/>
                <w:color w:val="000000"/>
              </w:rPr>
              <w:t>67.9%</w:t>
            </w:r>
          </w:p>
        </w:tc>
      </w:tr>
      <w:tr w:rsidR="00842EA7" w:rsidRPr="00CC3424" w:rsidTr="009B641A">
        <w:trPr>
          <w:trHeight w:val="523"/>
          <w:jc w:val="center"/>
        </w:trPr>
        <w:tc>
          <w:tcPr>
            <w:tcW w:w="3594" w:type="dxa"/>
            <w:tcBorders>
              <w:top w:val="single" w:sz="4" w:space="0" w:color="auto"/>
              <w:left w:val="nil"/>
              <w:bottom w:val="nil"/>
              <w:right w:val="nil"/>
            </w:tcBorders>
            <w:shd w:val="clear" w:color="auto" w:fill="auto"/>
            <w:noWrap/>
            <w:vAlign w:val="center"/>
            <w:hideMark/>
          </w:tcPr>
          <w:p w:rsidR="00842EA7" w:rsidRPr="00CC3424" w:rsidRDefault="00842EA7" w:rsidP="009B641A">
            <w:pPr>
              <w:bidi w:val="0"/>
              <w:spacing w:after="0" w:line="240" w:lineRule="auto"/>
              <w:rPr>
                <w:rFonts w:asciiTheme="majorBidi" w:eastAsia="Times New Roman" w:hAnsiTheme="majorBidi" w:cstheme="majorBidi"/>
                <w:b/>
                <w:bCs/>
                <w:color w:val="000000"/>
              </w:rPr>
            </w:pPr>
            <w:r w:rsidRPr="00CC3424">
              <w:rPr>
                <w:rFonts w:asciiTheme="majorBidi" w:eastAsia="Times New Roman" w:hAnsiTheme="majorBidi" w:cstheme="majorBidi"/>
                <w:b/>
                <w:bCs/>
                <w:color w:val="000000"/>
              </w:rPr>
              <w:t>Body mass index</w:t>
            </w:r>
          </w:p>
        </w:tc>
        <w:tc>
          <w:tcPr>
            <w:tcW w:w="1658" w:type="dxa"/>
            <w:tcBorders>
              <w:top w:val="single" w:sz="4" w:space="0" w:color="auto"/>
              <w:left w:val="nil"/>
              <w:bottom w:val="nil"/>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color w:val="000000"/>
              </w:rPr>
            </w:pPr>
          </w:p>
        </w:tc>
        <w:tc>
          <w:tcPr>
            <w:tcW w:w="1659" w:type="dxa"/>
            <w:tcBorders>
              <w:top w:val="single" w:sz="4" w:space="0" w:color="auto"/>
              <w:left w:val="nil"/>
              <w:bottom w:val="nil"/>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color w:val="000000"/>
              </w:rPr>
            </w:pPr>
          </w:p>
        </w:tc>
      </w:tr>
      <w:tr w:rsidR="00842EA7" w:rsidRPr="00CC3424" w:rsidTr="009B641A">
        <w:trPr>
          <w:trHeight w:val="523"/>
          <w:jc w:val="center"/>
        </w:trPr>
        <w:tc>
          <w:tcPr>
            <w:tcW w:w="3594"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rPr>
                <w:rFonts w:asciiTheme="majorBidi" w:eastAsia="Times New Roman" w:hAnsiTheme="majorBidi" w:cstheme="majorBidi"/>
                <w:i/>
                <w:iCs/>
                <w:color w:val="000000"/>
              </w:rPr>
            </w:pPr>
            <w:r w:rsidRPr="00CC3424">
              <w:rPr>
                <w:rFonts w:asciiTheme="majorBidi" w:eastAsia="Times New Roman" w:hAnsiTheme="majorBidi" w:cstheme="majorBidi"/>
                <w:i/>
                <w:iCs/>
                <w:color w:val="000000"/>
              </w:rPr>
              <w:t>Normal weight</w:t>
            </w:r>
          </w:p>
        </w:tc>
        <w:tc>
          <w:tcPr>
            <w:tcW w:w="1658"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color w:val="000000"/>
              </w:rPr>
            </w:pPr>
            <w:r w:rsidRPr="00CC3424">
              <w:rPr>
                <w:rFonts w:asciiTheme="majorBidi" w:eastAsia="Times New Roman" w:hAnsiTheme="majorBidi" w:cstheme="majorBidi"/>
                <w:color w:val="000000"/>
              </w:rPr>
              <w:t>2</w:t>
            </w:r>
          </w:p>
        </w:tc>
        <w:tc>
          <w:tcPr>
            <w:tcW w:w="1659"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color w:val="000000"/>
              </w:rPr>
            </w:pPr>
            <w:r w:rsidRPr="00CC3424">
              <w:rPr>
                <w:rFonts w:asciiTheme="majorBidi" w:eastAsia="Times New Roman" w:hAnsiTheme="majorBidi" w:cstheme="majorBidi"/>
                <w:color w:val="000000"/>
              </w:rPr>
              <w:t>7.1%</w:t>
            </w:r>
          </w:p>
        </w:tc>
      </w:tr>
      <w:tr w:rsidR="00842EA7" w:rsidRPr="00CC3424" w:rsidTr="009B641A">
        <w:trPr>
          <w:trHeight w:val="523"/>
          <w:jc w:val="center"/>
        </w:trPr>
        <w:tc>
          <w:tcPr>
            <w:tcW w:w="3594"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rPr>
                <w:rFonts w:asciiTheme="majorBidi" w:eastAsia="Times New Roman" w:hAnsiTheme="majorBidi" w:cstheme="majorBidi"/>
                <w:i/>
                <w:iCs/>
                <w:color w:val="000000"/>
              </w:rPr>
            </w:pPr>
            <w:r w:rsidRPr="00CC3424">
              <w:rPr>
                <w:rFonts w:asciiTheme="majorBidi" w:eastAsia="Times New Roman" w:hAnsiTheme="majorBidi" w:cstheme="majorBidi"/>
                <w:i/>
                <w:iCs/>
                <w:color w:val="000000"/>
              </w:rPr>
              <w:t>Overweight</w:t>
            </w:r>
          </w:p>
        </w:tc>
        <w:tc>
          <w:tcPr>
            <w:tcW w:w="1658"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color w:val="000000"/>
              </w:rPr>
            </w:pPr>
            <w:r w:rsidRPr="00CC3424">
              <w:rPr>
                <w:rFonts w:asciiTheme="majorBidi" w:eastAsia="Times New Roman" w:hAnsiTheme="majorBidi" w:cstheme="majorBidi"/>
                <w:color w:val="000000"/>
              </w:rPr>
              <w:t>10</w:t>
            </w:r>
          </w:p>
        </w:tc>
        <w:tc>
          <w:tcPr>
            <w:tcW w:w="1659" w:type="dxa"/>
            <w:tcBorders>
              <w:top w:val="nil"/>
              <w:left w:val="nil"/>
              <w:bottom w:val="nil"/>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color w:val="000000"/>
              </w:rPr>
            </w:pPr>
            <w:r w:rsidRPr="00CC3424">
              <w:rPr>
                <w:rFonts w:asciiTheme="majorBidi" w:eastAsia="Times New Roman" w:hAnsiTheme="majorBidi" w:cstheme="majorBidi"/>
                <w:color w:val="000000"/>
              </w:rPr>
              <w:t>35.7%</w:t>
            </w:r>
          </w:p>
        </w:tc>
      </w:tr>
      <w:tr w:rsidR="00842EA7" w:rsidRPr="00CC3424" w:rsidTr="009B641A">
        <w:trPr>
          <w:trHeight w:val="523"/>
          <w:jc w:val="center"/>
        </w:trPr>
        <w:tc>
          <w:tcPr>
            <w:tcW w:w="3594" w:type="dxa"/>
            <w:tcBorders>
              <w:top w:val="nil"/>
              <w:left w:val="nil"/>
              <w:bottom w:val="single" w:sz="4" w:space="0" w:color="auto"/>
              <w:right w:val="nil"/>
            </w:tcBorders>
            <w:shd w:val="clear" w:color="auto" w:fill="auto"/>
            <w:noWrap/>
            <w:vAlign w:val="center"/>
            <w:hideMark/>
          </w:tcPr>
          <w:p w:rsidR="00842EA7" w:rsidRPr="00CC3424" w:rsidRDefault="00842EA7" w:rsidP="009B641A">
            <w:pPr>
              <w:bidi w:val="0"/>
              <w:spacing w:after="0" w:line="240" w:lineRule="auto"/>
              <w:rPr>
                <w:rFonts w:asciiTheme="majorBidi" w:eastAsia="Times New Roman" w:hAnsiTheme="majorBidi" w:cstheme="majorBidi"/>
                <w:i/>
                <w:iCs/>
                <w:color w:val="000000"/>
              </w:rPr>
            </w:pPr>
            <w:r w:rsidRPr="00CC3424">
              <w:rPr>
                <w:rFonts w:asciiTheme="majorBidi" w:eastAsia="Times New Roman" w:hAnsiTheme="majorBidi" w:cstheme="majorBidi"/>
                <w:i/>
                <w:iCs/>
                <w:color w:val="000000"/>
              </w:rPr>
              <w:t>Obese</w:t>
            </w:r>
          </w:p>
        </w:tc>
        <w:tc>
          <w:tcPr>
            <w:tcW w:w="1658" w:type="dxa"/>
            <w:tcBorders>
              <w:top w:val="nil"/>
              <w:left w:val="nil"/>
              <w:bottom w:val="single" w:sz="4" w:space="0" w:color="auto"/>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color w:val="000000"/>
              </w:rPr>
            </w:pPr>
            <w:r w:rsidRPr="00CC3424">
              <w:rPr>
                <w:rFonts w:asciiTheme="majorBidi" w:eastAsia="Times New Roman" w:hAnsiTheme="majorBidi" w:cstheme="majorBidi"/>
                <w:color w:val="000000"/>
              </w:rPr>
              <w:t>16</w:t>
            </w:r>
          </w:p>
        </w:tc>
        <w:tc>
          <w:tcPr>
            <w:tcW w:w="1659" w:type="dxa"/>
            <w:tcBorders>
              <w:top w:val="nil"/>
              <w:left w:val="nil"/>
              <w:bottom w:val="single" w:sz="4" w:space="0" w:color="auto"/>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color w:val="000000"/>
              </w:rPr>
            </w:pPr>
            <w:r w:rsidRPr="00CC3424">
              <w:rPr>
                <w:rFonts w:asciiTheme="majorBidi" w:eastAsia="Times New Roman" w:hAnsiTheme="majorBidi" w:cstheme="majorBidi"/>
                <w:color w:val="000000"/>
              </w:rPr>
              <w:t>57.1%</w:t>
            </w:r>
          </w:p>
        </w:tc>
      </w:tr>
      <w:tr w:rsidR="00842EA7" w:rsidRPr="00CC3424" w:rsidTr="009B641A">
        <w:trPr>
          <w:trHeight w:val="523"/>
          <w:jc w:val="center"/>
        </w:trPr>
        <w:tc>
          <w:tcPr>
            <w:tcW w:w="3594" w:type="dxa"/>
            <w:tcBorders>
              <w:top w:val="nil"/>
              <w:left w:val="nil"/>
              <w:bottom w:val="single" w:sz="4" w:space="0" w:color="auto"/>
              <w:right w:val="nil"/>
            </w:tcBorders>
            <w:shd w:val="clear" w:color="auto" w:fill="auto"/>
            <w:noWrap/>
            <w:vAlign w:val="center"/>
            <w:hideMark/>
          </w:tcPr>
          <w:p w:rsidR="00842EA7" w:rsidRPr="00CC3424" w:rsidRDefault="00842EA7" w:rsidP="009B641A">
            <w:pPr>
              <w:bidi w:val="0"/>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Pr>
              <w:t>Mean ± SD</w:t>
            </w:r>
          </w:p>
        </w:tc>
        <w:tc>
          <w:tcPr>
            <w:tcW w:w="3317" w:type="dxa"/>
            <w:gridSpan w:val="2"/>
            <w:tcBorders>
              <w:top w:val="single" w:sz="4" w:space="0" w:color="auto"/>
              <w:left w:val="nil"/>
              <w:bottom w:val="single" w:sz="4" w:space="0" w:color="auto"/>
              <w:right w:val="nil"/>
            </w:tcBorders>
            <w:shd w:val="clear" w:color="auto" w:fill="auto"/>
            <w:noWrap/>
            <w:vAlign w:val="center"/>
            <w:hideMark/>
          </w:tcPr>
          <w:p w:rsidR="00842EA7" w:rsidRPr="00CC3424" w:rsidRDefault="00842EA7" w:rsidP="009B641A">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31.5 ± 5.5</w:t>
            </w:r>
          </w:p>
        </w:tc>
      </w:tr>
    </w:tbl>
    <w:p w:rsidR="00842EA7" w:rsidRDefault="00842EA7" w:rsidP="00842EA7">
      <w:pPr>
        <w:bidi w:val="0"/>
      </w:pPr>
    </w:p>
    <w:p w:rsidR="00842EA7" w:rsidRDefault="00842EA7" w:rsidP="00842EA7">
      <w:pPr>
        <w:bidi w:val="0"/>
      </w:pPr>
    </w:p>
    <w:p w:rsidR="00842EA7" w:rsidRDefault="00842EA7" w:rsidP="00842EA7">
      <w:pPr>
        <w:bidi w:val="0"/>
      </w:pPr>
    </w:p>
    <w:p w:rsidR="00842EA7" w:rsidRDefault="00842EA7" w:rsidP="00842EA7">
      <w:pPr>
        <w:bidi w:val="0"/>
      </w:pPr>
    </w:p>
    <w:p w:rsidR="00842EA7" w:rsidRDefault="00842EA7" w:rsidP="00842EA7">
      <w:pPr>
        <w:bidi w:val="0"/>
      </w:pPr>
    </w:p>
    <w:p w:rsidR="00842EA7" w:rsidRDefault="00842EA7" w:rsidP="00842EA7">
      <w:pPr>
        <w:bidi w:val="0"/>
      </w:pPr>
    </w:p>
    <w:p w:rsidR="00842EA7" w:rsidRDefault="00842EA7" w:rsidP="00842EA7">
      <w:pPr>
        <w:bidi w:val="0"/>
      </w:pPr>
    </w:p>
    <w:p w:rsidR="00842EA7" w:rsidRDefault="00842EA7" w:rsidP="00842EA7">
      <w:pPr>
        <w:bidi w:val="0"/>
      </w:pPr>
    </w:p>
    <w:p w:rsidR="00842EA7" w:rsidRDefault="00842EA7" w:rsidP="00842EA7">
      <w:pPr>
        <w:bidi w:val="0"/>
      </w:pPr>
    </w:p>
    <w:p w:rsidR="00842EA7" w:rsidRDefault="00842EA7" w:rsidP="00842EA7">
      <w:pPr>
        <w:bidi w:val="0"/>
      </w:pPr>
    </w:p>
    <w:p w:rsidR="00842EA7" w:rsidRDefault="00842EA7" w:rsidP="00842EA7">
      <w:pPr>
        <w:bidi w:val="0"/>
      </w:pPr>
    </w:p>
    <w:p w:rsidR="00842EA7" w:rsidRDefault="00842EA7" w:rsidP="00842EA7">
      <w:pPr>
        <w:bidi w:val="0"/>
      </w:pPr>
    </w:p>
    <w:p w:rsidR="00842EA7" w:rsidRDefault="00842EA7" w:rsidP="00842EA7">
      <w:pPr>
        <w:bidi w:val="0"/>
      </w:pPr>
    </w:p>
    <w:p w:rsidR="00842EA7" w:rsidRDefault="00842EA7" w:rsidP="00842EA7">
      <w:pPr>
        <w:bidi w:val="0"/>
      </w:pPr>
    </w:p>
    <w:p w:rsidR="00842EA7" w:rsidRDefault="00842EA7" w:rsidP="00842EA7">
      <w:pPr>
        <w:bidi w:val="0"/>
      </w:pPr>
      <w:r>
        <w:rPr>
          <w:noProof/>
        </w:rPr>
        <w:drawing>
          <wp:inline distT="0" distB="0" distL="0" distR="0" wp14:anchorId="4D002CC0" wp14:editId="1AC1AA34">
            <wp:extent cx="5486400" cy="3410585"/>
            <wp:effectExtent l="0" t="0" r="0" b="0"/>
            <wp:docPr id="1" name="Chart 1">
              <a:extLst xmlns:a="http://schemas.openxmlformats.org/drawingml/2006/main">
                <a:ext uri="{FF2B5EF4-FFF2-40B4-BE49-F238E27FC236}">
                  <a16:creationId xmlns:a16="http://schemas.microsoft.com/office/drawing/2014/main" id="{EA50E970-7691-4522-ACB2-546AF1FC27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842EA7" w:rsidRDefault="00842EA7" w:rsidP="00842EA7">
      <w:pPr>
        <w:bidi w:val="0"/>
        <w:jc w:val="center"/>
        <w:rPr>
          <w:sz w:val="24"/>
          <w:szCs w:val="24"/>
        </w:rPr>
      </w:pPr>
      <w:r w:rsidRPr="00345B4E">
        <w:rPr>
          <w:sz w:val="24"/>
          <w:szCs w:val="24"/>
        </w:rPr>
        <w:t xml:space="preserve">Figure 1. Medical and surgical history of study </w:t>
      </w:r>
      <w:r w:rsidRPr="00CC3424">
        <w:rPr>
          <w:sz w:val="24"/>
          <w:szCs w:val="24"/>
        </w:rPr>
        <w:t>patients with chronic coccygodynia underwent ganglion impar block</w:t>
      </w:r>
    </w:p>
    <w:p w:rsidR="00842EA7" w:rsidRDefault="00842EA7" w:rsidP="00842EA7">
      <w:pPr>
        <w:bidi w:val="0"/>
        <w:jc w:val="center"/>
        <w:rPr>
          <w:sz w:val="24"/>
          <w:szCs w:val="24"/>
        </w:rPr>
      </w:pPr>
    </w:p>
    <w:p w:rsidR="00842EA7" w:rsidRDefault="00842EA7" w:rsidP="00842EA7">
      <w:pPr>
        <w:bidi w:val="0"/>
        <w:jc w:val="center"/>
        <w:rPr>
          <w:sz w:val="24"/>
          <w:szCs w:val="24"/>
        </w:rPr>
      </w:pPr>
    </w:p>
    <w:p w:rsidR="00842EA7" w:rsidRDefault="00842EA7" w:rsidP="00842EA7">
      <w:pPr>
        <w:bidi w:val="0"/>
        <w:jc w:val="center"/>
        <w:rPr>
          <w:sz w:val="24"/>
          <w:szCs w:val="24"/>
        </w:rPr>
      </w:pPr>
    </w:p>
    <w:p w:rsidR="00842EA7" w:rsidRDefault="00842EA7" w:rsidP="00842EA7">
      <w:pPr>
        <w:bidi w:val="0"/>
        <w:jc w:val="center"/>
        <w:rPr>
          <w:sz w:val="24"/>
          <w:szCs w:val="24"/>
        </w:rPr>
      </w:pPr>
    </w:p>
    <w:p w:rsidR="00842EA7" w:rsidRDefault="00842EA7" w:rsidP="00842EA7">
      <w:pPr>
        <w:bidi w:val="0"/>
        <w:jc w:val="center"/>
        <w:rPr>
          <w:sz w:val="24"/>
          <w:szCs w:val="24"/>
        </w:rPr>
      </w:pPr>
    </w:p>
    <w:p w:rsidR="00842EA7" w:rsidRDefault="00842EA7" w:rsidP="00842EA7">
      <w:pPr>
        <w:bidi w:val="0"/>
        <w:jc w:val="center"/>
        <w:rPr>
          <w:sz w:val="24"/>
          <w:szCs w:val="24"/>
        </w:rPr>
      </w:pPr>
    </w:p>
    <w:p w:rsidR="00842EA7" w:rsidRDefault="00842EA7" w:rsidP="00842EA7">
      <w:pPr>
        <w:bidi w:val="0"/>
        <w:jc w:val="center"/>
        <w:rPr>
          <w:sz w:val="24"/>
          <w:szCs w:val="24"/>
        </w:rPr>
      </w:pPr>
    </w:p>
    <w:p w:rsidR="00842EA7" w:rsidRDefault="00842EA7" w:rsidP="00842EA7">
      <w:pPr>
        <w:bidi w:val="0"/>
        <w:jc w:val="center"/>
        <w:rPr>
          <w:sz w:val="24"/>
          <w:szCs w:val="24"/>
        </w:rPr>
      </w:pPr>
    </w:p>
    <w:p w:rsidR="00842EA7" w:rsidRDefault="00842EA7" w:rsidP="00842EA7">
      <w:pPr>
        <w:bidi w:val="0"/>
        <w:jc w:val="center"/>
        <w:rPr>
          <w:sz w:val="24"/>
          <w:szCs w:val="24"/>
        </w:rPr>
      </w:pPr>
    </w:p>
    <w:p w:rsidR="00842EA7" w:rsidRDefault="00842EA7" w:rsidP="00842EA7">
      <w:pPr>
        <w:bidi w:val="0"/>
        <w:jc w:val="center"/>
        <w:rPr>
          <w:sz w:val="24"/>
          <w:szCs w:val="24"/>
        </w:rPr>
      </w:pPr>
    </w:p>
    <w:p w:rsidR="00842EA7" w:rsidRDefault="00842EA7" w:rsidP="00842EA7">
      <w:pPr>
        <w:bidi w:val="0"/>
        <w:jc w:val="center"/>
        <w:rPr>
          <w:sz w:val="24"/>
          <w:szCs w:val="24"/>
        </w:rPr>
      </w:pPr>
    </w:p>
    <w:p w:rsidR="00842EA7" w:rsidRDefault="00842EA7" w:rsidP="00842EA7">
      <w:pPr>
        <w:bidi w:val="0"/>
        <w:jc w:val="center"/>
        <w:rPr>
          <w:sz w:val="24"/>
          <w:szCs w:val="24"/>
        </w:rPr>
      </w:pPr>
    </w:p>
    <w:p w:rsidR="00842EA7" w:rsidRDefault="00842EA7" w:rsidP="00842EA7">
      <w:pPr>
        <w:bidi w:val="0"/>
        <w:jc w:val="center"/>
        <w:rPr>
          <w:sz w:val="24"/>
          <w:szCs w:val="24"/>
        </w:rPr>
      </w:pPr>
      <w:r>
        <w:rPr>
          <w:sz w:val="24"/>
          <w:szCs w:val="24"/>
        </w:rPr>
        <w:lastRenderedPageBreak/>
        <w:t>Table 2. C</w:t>
      </w:r>
      <w:r w:rsidRPr="00CC3424">
        <w:rPr>
          <w:sz w:val="24"/>
          <w:szCs w:val="24"/>
        </w:rPr>
        <w:t xml:space="preserve">hronic coccygodynia </w:t>
      </w:r>
      <w:r>
        <w:rPr>
          <w:sz w:val="24"/>
          <w:szCs w:val="24"/>
        </w:rPr>
        <w:t>features, site, and aggravating factors among study patients</w:t>
      </w:r>
    </w:p>
    <w:tbl>
      <w:tblPr>
        <w:tblW w:w="7285" w:type="dxa"/>
        <w:jc w:val="center"/>
        <w:tblLook w:val="04A0" w:firstRow="1" w:lastRow="0" w:firstColumn="1" w:lastColumn="0" w:noHBand="0" w:noVBand="1"/>
      </w:tblPr>
      <w:tblGrid>
        <w:gridCol w:w="4431"/>
        <w:gridCol w:w="1427"/>
        <w:gridCol w:w="1427"/>
      </w:tblGrid>
      <w:tr w:rsidR="00842EA7" w:rsidRPr="003E6871" w:rsidTr="009B641A">
        <w:trPr>
          <w:trHeight w:val="409"/>
          <w:jc w:val="center"/>
        </w:trPr>
        <w:tc>
          <w:tcPr>
            <w:tcW w:w="4431" w:type="dxa"/>
            <w:tcBorders>
              <w:top w:val="single" w:sz="4" w:space="0" w:color="auto"/>
              <w:left w:val="nil"/>
              <w:bottom w:val="single" w:sz="4" w:space="0" w:color="auto"/>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b/>
                <w:bCs/>
                <w:color w:val="000000"/>
              </w:rPr>
            </w:pPr>
            <w:r w:rsidRPr="003E6871">
              <w:rPr>
                <w:rFonts w:asciiTheme="majorBidi" w:eastAsia="Times New Roman" w:hAnsiTheme="majorBidi" w:cstheme="majorBidi"/>
                <w:b/>
                <w:bCs/>
                <w:color w:val="000000"/>
              </w:rPr>
              <w:t>Features</w:t>
            </w:r>
          </w:p>
        </w:tc>
        <w:tc>
          <w:tcPr>
            <w:tcW w:w="1427" w:type="dxa"/>
            <w:tcBorders>
              <w:top w:val="single" w:sz="4" w:space="0" w:color="auto"/>
              <w:left w:val="nil"/>
              <w:bottom w:val="single" w:sz="4" w:space="0" w:color="auto"/>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b/>
                <w:bCs/>
                <w:color w:val="000000"/>
              </w:rPr>
            </w:pPr>
            <w:r w:rsidRPr="003E6871">
              <w:rPr>
                <w:rFonts w:asciiTheme="majorBidi" w:eastAsia="Times New Roman" w:hAnsiTheme="majorBidi" w:cstheme="majorBidi"/>
                <w:b/>
                <w:bCs/>
                <w:color w:val="000000"/>
              </w:rPr>
              <w:t>No</w:t>
            </w:r>
          </w:p>
        </w:tc>
        <w:tc>
          <w:tcPr>
            <w:tcW w:w="1427" w:type="dxa"/>
            <w:tcBorders>
              <w:top w:val="single" w:sz="4" w:space="0" w:color="auto"/>
              <w:left w:val="nil"/>
              <w:bottom w:val="single" w:sz="4" w:space="0" w:color="auto"/>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b/>
                <w:bCs/>
                <w:color w:val="000000"/>
              </w:rPr>
            </w:pPr>
            <w:r w:rsidRPr="003E6871">
              <w:rPr>
                <w:rFonts w:asciiTheme="majorBidi" w:eastAsia="Times New Roman" w:hAnsiTheme="majorBidi" w:cstheme="majorBidi"/>
                <w:b/>
                <w:bCs/>
                <w:color w:val="000000"/>
              </w:rPr>
              <w:t>%</w:t>
            </w:r>
          </w:p>
        </w:tc>
      </w:tr>
      <w:tr w:rsidR="00842EA7" w:rsidRPr="003E6871" w:rsidTr="009B641A">
        <w:trPr>
          <w:trHeight w:val="409"/>
          <w:jc w:val="center"/>
        </w:trPr>
        <w:tc>
          <w:tcPr>
            <w:tcW w:w="4431"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b/>
                <w:bCs/>
                <w:color w:val="000000"/>
              </w:rPr>
            </w:pPr>
            <w:r w:rsidRPr="003E6871">
              <w:rPr>
                <w:rFonts w:asciiTheme="majorBidi" w:eastAsia="Times New Roman" w:hAnsiTheme="majorBidi" w:cstheme="majorBidi"/>
                <w:b/>
                <w:bCs/>
                <w:color w:val="000000"/>
              </w:rPr>
              <w:t>Type of coccyx</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rPr>
            </w:pPr>
          </w:p>
        </w:tc>
      </w:tr>
      <w:tr w:rsidR="00842EA7" w:rsidRPr="003E6871" w:rsidTr="009B641A">
        <w:trPr>
          <w:trHeight w:val="409"/>
          <w:jc w:val="center"/>
        </w:trPr>
        <w:tc>
          <w:tcPr>
            <w:tcW w:w="4431"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i/>
                <w:iCs/>
                <w:color w:val="000000"/>
              </w:rPr>
            </w:pPr>
            <w:r w:rsidRPr="003E6871">
              <w:rPr>
                <w:rFonts w:asciiTheme="majorBidi" w:eastAsia="Times New Roman" w:hAnsiTheme="majorBidi" w:cstheme="majorBidi"/>
                <w:i/>
                <w:iCs/>
                <w:color w:val="000000"/>
              </w:rPr>
              <w:t>Type 1</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3</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10.7%</w:t>
            </w:r>
          </w:p>
        </w:tc>
      </w:tr>
      <w:tr w:rsidR="00842EA7" w:rsidRPr="003E6871" w:rsidTr="009B641A">
        <w:trPr>
          <w:trHeight w:val="409"/>
          <w:jc w:val="center"/>
        </w:trPr>
        <w:tc>
          <w:tcPr>
            <w:tcW w:w="4431"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i/>
                <w:iCs/>
                <w:color w:val="000000"/>
              </w:rPr>
            </w:pPr>
            <w:r w:rsidRPr="003E6871">
              <w:rPr>
                <w:rFonts w:asciiTheme="majorBidi" w:eastAsia="Times New Roman" w:hAnsiTheme="majorBidi" w:cstheme="majorBidi"/>
                <w:i/>
                <w:iCs/>
                <w:color w:val="000000"/>
              </w:rPr>
              <w:t>Type 2</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5</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17.9%</w:t>
            </w:r>
          </w:p>
        </w:tc>
      </w:tr>
      <w:tr w:rsidR="00842EA7" w:rsidRPr="003E6871" w:rsidTr="009B641A">
        <w:trPr>
          <w:trHeight w:val="409"/>
          <w:jc w:val="center"/>
        </w:trPr>
        <w:tc>
          <w:tcPr>
            <w:tcW w:w="4431"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i/>
                <w:iCs/>
                <w:color w:val="000000"/>
              </w:rPr>
            </w:pPr>
            <w:r w:rsidRPr="003E6871">
              <w:rPr>
                <w:rFonts w:asciiTheme="majorBidi" w:eastAsia="Times New Roman" w:hAnsiTheme="majorBidi" w:cstheme="majorBidi"/>
                <w:i/>
                <w:iCs/>
                <w:color w:val="000000"/>
              </w:rPr>
              <w:t>Type 3</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6</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21.4%</w:t>
            </w:r>
          </w:p>
        </w:tc>
      </w:tr>
      <w:tr w:rsidR="00842EA7" w:rsidRPr="003E6871" w:rsidTr="009B641A">
        <w:trPr>
          <w:trHeight w:val="409"/>
          <w:jc w:val="center"/>
        </w:trPr>
        <w:tc>
          <w:tcPr>
            <w:tcW w:w="4431"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i/>
                <w:iCs/>
                <w:color w:val="000000"/>
              </w:rPr>
            </w:pPr>
            <w:r w:rsidRPr="003E6871">
              <w:rPr>
                <w:rFonts w:asciiTheme="majorBidi" w:eastAsia="Times New Roman" w:hAnsiTheme="majorBidi" w:cstheme="majorBidi"/>
                <w:i/>
                <w:iCs/>
                <w:color w:val="000000"/>
              </w:rPr>
              <w:t>Type 4</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11</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39.3%</w:t>
            </w:r>
          </w:p>
        </w:tc>
      </w:tr>
      <w:tr w:rsidR="00842EA7" w:rsidRPr="003E6871" w:rsidTr="009B641A">
        <w:trPr>
          <w:trHeight w:val="409"/>
          <w:jc w:val="center"/>
        </w:trPr>
        <w:tc>
          <w:tcPr>
            <w:tcW w:w="4431"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i/>
                <w:iCs/>
                <w:color w:val="000000"/>
              </w:rPr>
            </w:pPr>
            <w:r w:rsidRPr="003E6871">
              <w:rPr>
                <w:rFonts w:asciiTheme="majorBidi" w:eastAsia="Times New Roman" w:hAnsiTheme="majorBidi" w:cstheme="majorBidi"/>
                <w:i/>
                <w:iCs/>
                <w:color w:val="000000"/>
              </w:rPr>
              <w:t>Type 5</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2</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7.1%</w:t>
            </w:r>
          </w:p>
        </w:tc>
      </w:tr>
      <w:tr w:rsidR="00842EA7" w:rsidRPr="003E6871" w:rsidTr="009B641A">
        <w:trPr>
          <w:trHeight w:val="409"/>
          <w:jc w:val="center"/>
        </w:trPr>
        <w:tc>
          <w:tcPr>
            <w:tcW w:w="4431"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i/>
                <w:iCs/>
                <w:color w:val="000000"/>
              </w:rPr>
            </w:pPr>
            <w:r w:rsidRPr="003E6871">
              <w:rPr>
                <w:rFonts w:asciiTheme="majorBidi" w:eastAsia="Times New Roman" w:hAnsiTheme="majorBidi" w:cstheme="majorBidi"/>
                <w:i/>
                <w:iCs/>
                <w:color w:val="000000"/>
              </w:rPr>
              <w:t>Type 6</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1</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3.6%</w:t>
            </w:r>
          </w:p>
        </w:tc>
      </w:tr>
      <w:tr w:rsidR="00842EA7" w:rsidRPr="003E6871" w:rsidTr="009B641A">
        <w:trPr>
          <w:trHeight w:val="409"/>
          <w:jc w:val="center"/>
        </w:trPr>
        <w:tc>
          <w:tcPr>
            <w:tcW w:w="4431" w:type="dxa"/>
            <w:tcBorders>
              <w:top w:val="single" w:sz="4" w:space="0" w:color="auto"/>
              <w:left w:val="nil"/>
              <w:bottom w:val="nil"/>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b/>
                <w:bCs/>
                <w:color w:val="000000"/>
              </w:rPr>
            </w:pPr>
            <w:r w:rsidRPr="003E6871">
              <w:rPr>
                <w:rFonts w:asciiTheme="majorBidi" w:eastAsia="Times New Roman" w:hAnsiTheme="majorBidi" w:cstheme="majorBidi"/>
                <w:b/>
                <w:bCs/>
                <w:color w:val="000000"/>
              </w:rPr>
              <w:t>Site of pain</w:t>
            </w:r>
          </w:p>
        </w:tc>
        <w:tc>
          <w:tcPr>
            <w:tcW w:w="1427" w:type="dxa"/>
            <w:tcBorders>
              <w:top w:val="single" w:sz="4" w:space="0" w:color="auto"/>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p>
        </w:tc>
        <w:tc>
          <w:tcPr>
            <w:tcW w:w="1427" w:type="dxa"/>
            <w:tcBorders>
              <w:top w:val="single" w:sz="4" w:space="0" w:color="auto"/>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p>
        </w:tc>
      </w:tr>
      <w:tr w:rsidR="00842EA7" w:rsidRPr="003E6871" w:rsidTr="009B641A">
        <w:trPr>
          <w:trHeight w:val="409"/>
          <w:jc w:val="center"/>
        </w:trPr>
        <w:tc>
          <w:tcPr>
            <w:tcW w:w="4431"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i/>
                <w:iCs/>
                <w:color w:val="000000"/>
              </w:rPr>
            </w:pPr>
            <w:bookmarkStart w:id="0" w:name="_Hlk149564032"/>
            <w:r w:rsidRPr="003E6871">
              <w:rPr>
                <w:rFonts w:asciiTheme="majorBidi" w:eastAsia="Times New Roman" w:hAnsiTheme="majorBidi" w:cstheme="majorBidi"/>
                <w:i/>
                <w:iCs/>
                <w:color w:val="000000"/>
              </w:rPr>
              <w:t>Coccyx</w:t>
            </w:r>
            <w:bookmarkEnd w:id="0"/>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24</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85.7%</w:t>
            </w:r>
          </w:p>
        </w:tc>
      </w:tr>
      <w:tr w:rsidR="00842EA7" w:rsidRPr="003E6871" w:rsidTr="009B641A">
        <w:trPr>
          <w:trHeight w:val="409"/>
          <w:jc w:val="center"/>
        </w:trPr>
        <w:tc>
          <w:tcPr>
            <w:tcW w:w="4431" w:type="dxa"/>
            <w:tcBorders>
              <w:top w:val="nil"/>
              <w:left w:val="nil"/>
              <w:bottom w:val="single" w:sz="4" w:space="0" w:color="auto"/>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i/>
                <w:iCs/>
                <w:color w:val="000000"/>
              </w:rPr>
            </w:pPr>
            <w:r w:rsidRPr="003E6871">
              <w:rPr>
                <w:rFonts w:asciiTheme="majorBidi" w:eastAsia="Times New Roman" w:hAnsiTheme="majorBidi" w:cstheme="majorBidi"/>
                <w:i/>
                <w:iCs/>
                <w:color w:val="000000"/>
              </w:rPr>
              <w:t>Peri-anal pain</w:t>
            </w:r>
          </w:p>
        </w:tc>
        <w:tc>
          <w:tcPr>
            <w:tcW w:w="1427" w:type="dxa"/>
            <w:tcBorders>
              <w:top w:val="nil"/>
              <w:left w:val="nil"/>
              <w:bottom w:val="single" w:sz="4" w:space="0" w:color="auto"/>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4</w:t>
            </w:r>
          </w:p>
        </w:tc>
        <w:tc>
          <w:tcPr>
            <w:tcW w:w="1427" w:type="dxa"/>
            <w:tcBorders>
              <w:top w:val="nil"/>
              <w:left w:val="nil"/>
              <w:bottom w:val="single" w:sz="4" w:space="0" w:color="auto"/>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14.3%</w:t>
            </w:r>
          </w:p>
        </w:tc>
      </w:tr>
      <w:tr w:rsidR="00842EA7" w:rsidRPr="003E6871" w:rsidTr="009B641A">
        <w:trPr>
          <w:trHeight w:val="409"/>
          <w:jc w:val="center"/>
        </w:trPr>
        <w:tc>
          <w:tcPr>
            <w:tcW w:w="4431"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b/>
                <w:bCs/>
                <w:color w:val="000000"/>
              </w:rPr>
            </w:pPr>
            <w:r w:rsidRPr="003E6871">
              <w:rPr>
                <w:rFonts w:asciiTheme="majorBidi" w:eastAsia="Times New Roman" w:hAnsiTheme="majorBidi" w:cstheme="majorBidi"/>
                <w:b/>
                <w:bCs/>
                <w:color w:val="000000"/>
              </w:rPr>
              <w:t>Radiological findings</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rPr>
            </w:pPr>
          </w:p>
        </w:tc>
      </w:tr>
      <w:tr w:rsidR="00842EA7" w:rsidRPr="003E6871" w:rsidTr="009B641A">
        <w:trPr>
          <w:trHeight w:val="409"/>
          <w:jc w:val="center"/>
        </w:trPr>
        <w:tc>
          <w:tcPr>
            <w:tcW w:w="4431"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i/>
                <w:iCs/>
                <w:color w:val="000000"/>
              </w:rPr>
            </w:pPr>
            <w:bookmarkStart w:id="1" w:name="_Hlk149564159"/>
            <w:r>
              <w:rPr>
                <w:rFonts w:asciiTheme="majorBidi" w:eastAsia="Times New Roman" w:hAnsiTheme="majorBidi" w:cstheme="majorBidi"/>
                <w:i/>
                <w:iCs/>
                <w:color w:val="000000"/>
              </w:rPr>
              <w:t>Mild d</w:t>
            </w:r>
            <w:r w:rsidRPr="003E6871">
              <w:rPr>
                <w:rFonts w:asciiTheme="majorBidi" w:eastAsia="Times New Roman" w:hAnsiTheme="majorBidi" w:cstheme="majorBidi"/>
                <w:i/>
                <w:iCs/>
                <w:color w:val="000000"/>
              </w:rPr>
              <w:t>egenerative changes</w:t>
            </w:r>
            <w:bookmarkEnd w:id="1"/>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18</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64.3%</w:t>
            </w:r>
          </w:p>
        </w:tc>
      </w:tr>
      <w:tr w:rsidR="00842EA7" w:rsidRPr="003E6871" w:rsidTr="009B641A">
        <w:trPr>
          <w:trHeight w:val="409"/>
          <w:jc w:val="center"/>
        </w:trPr>
        <w:tc>
          <w:tcPr>
            <w:tcW w:w="4431"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i/>
                <w:iCs/>
                <w:color w:val="000000"/>
              </w:rPr>
            </w:pPr>
            <w:r>
              <w:rPr>
                <w:rFonts w:asciiTheme="majorBidi" w:eastAsia="Times New Roman" w:hAnsiTheme="majorBidi" w:cstheme="majorBidi"/>
                <w:i/>
                <w:iCs/>
                <w:color w:val="000000"/>
              </w:rPr>
              <w:t>M</w:t>
            </w:r>
            <w:r w:rsidRPr="0054247D">
              <w:rPr>
                <w:rFonts w:asciiTheme="majorBidi" w:eastAsia="Times New Roman" w:hAnsiTheme="majorBidi" w:cstheme="majorBidi"/>
                <w:i/>
                <w:iCs/>
                <w:color w:val="000000"/>
              </w:rPr>
              <w:t>oderate degenerative changes + subluxation</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5</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17.9%</w:t>
            </w:r>
          </w:p>
        </w:tc>
      </w:tr>
      <w:tr w:rsidR="00842EA7" w:rsidRPr="003E6871" w:rsidTr="009B641A">
        <w:trPr>
          <w:trHeight w:val="409"/>
          <w:jc w:val="center"/>
        </w:trPr>
        <w:tc>
          <w:tcPr>
            <w:tcW w:w="4431"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i/>
                <w:iCs/>
                <w:color w:val="000000"/>
              </w:rPr>
            </w:pPr>
            <w:r>
              <w:rPr>
                <w:rFonts w:asciiTheme="majorBidi" w:eastAsia="Times New Roman" w:hAnsiTheme="majorBidi" w:cstheme="majorBidi"/>
                <w:i/>
                <w:iCs/>
                <w:color w:val="000000"/>
              </w:rPr>
              <w:t>S</w:t>
            </w:r>
            <w:r w:rsidRPr="0054247D">
              <w:rPr>
                <w:rFonts w:asciiTheme="majorBidi" w:eastAsia="Times New Roman" w:hAnsiTheme="majorBidi" w:cstheme="majorBidi"/>
                <w:i/>
                <w:iCs/>
                <w:color w:val="000000"/>
              </w:rPr>
              <w:t>evere disc degenerative disease</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2</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7.1%</w:t>
            </w:r>
          </w:p>
        </w:tc>
      </w:tr>
      <w:tr w:rsidR="00842EA7" w:rsidRPr="003E6871" w:rsidTr="009B641A">
        <w:trPr>
          <w:trHeight w:val="409"/>
          <w:jc w:val="center"/>
        </w:trPr>
        <w:tc>
          <w:tcPr>
            <w:tcW w:w="4431"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i/>
                <w:iCs/>
                <w:color w:val="000000"/>
              </w:rPr>
            </w:pPr>
            <w:r w:rsidRPr="003E6871">
              <w:rPr>
                <w:rFonts w:asciiTheme="majorBidi" w:eastAsia="Times New Roman" w:hAnsiTheme="majorBidi" w:cstheme="majorBidi"/>
                <w:i/>
                <w:iCs/>
                <w:color w:val="000000"/>
              </w:rPr>
              <w:t>None</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1</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3.6%</w:t>
            </w:r>
          </w:p>
        </w:tc>
      </w:tr>
      <w:tr w:rsidR="00842EA7" w:rsidRPr="003E6871" w:rsidTr="009B641A">
        <w:trPr>
          <w:trHeight w:val="409"/>
          <w:jc w:val="center"/>
        </w:trPr>
        <w:tc>
          <w:tcPr>
            <w:tcW w:w="4431"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i/>
                <w:iCs/>
                <w:color w:val="000000"/>
              </w:rPr>
            </w:pPr>
            <w:bookmarkStart w:id="2" w:name="_Hlk149564200"/>
            <w:r w:rsidRPr="003E6871">
              <w:rPr>
                <w:rFonts w:asciiTheme="majorBidi" w:eastAsia="Times New Roman" w:hAnsiTheme="majorBidi" w:cstheme="majorBidi"/>
                <w:i/>
                <w:iCs/>
                <w:color w:val="000000"/>
              </w:rPr>
              <w:t>Osteonecrosis</w:t>
            </w:r>
            <w:bookmarkEnd w:id="2"/>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1</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3.6%</w:t>
            </w:r>
          </w:p>
        </w:tc>
      </w:tr>
      <w:tr w:rsidR="00842EA7" w:rsidRPr="003E6871" w:rsidTr="009B641A">
        <w:trPr>
          <w:trHeight w:val="409"/>
          <w:jc w:val="center"/>
        </w:trPr>
        <w:tc>
          <w:tcPr>
            <w:tcW w:w="4431"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i/>
                <w:iCs/>
                <w:color w:val="000000"/>
              </w:rPr>
            </w:pPr>
            <w:bookmarkStart w:id="3" w:name="_Hlk149564209"/>
            <w:r w:rsidRPr="003E6871">
              <w:rPr>
                <w:rFonts w:asciiTheme="majorBidi" w:eastAsia="Times New Roman" w:hAnsiTheme="majorBidi" w:cstheme="majorBidi"/>
                <w:i/>
                <w:iCs/>
                <w:color w:val="000000"/>
              </w:rPr>
              <w:t>Acute fracture</w:t>
            </w:r>
            <w:bookmarkEnd w:id="3"/>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1</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3.6%</w:t>
            </w:r>
          </w:p>
        </w:tc>
      </w:tr>
      <w:tr w:rsidR="00842EA7" w:rsidRPr="003E6871" w:rsidTr="009B641A">
        <w:trPr>
          <w:trHeight w:val="409"/>
          <w:jc w:val="center"/>
        </w:trPr>
        <w:tc>
          <w:tcPr>
            <w:tcW w:w="4431" w:type="dxa"/>
            <w:tcBorders>
              <w:top w:val="single" w:sz="4" w:space="0" w:color="auto"/>
              <w:left w:val="nil"/>
              <w:bottom w:val="nil"/>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b/>
                <w:bCs/>
                <w:color w:val="000000"/>
              </w:rPr>
            </w:pPr>
            <w:r w:rsidRPr="003E6871">
              <w:rPr>
                <w:rFonts w:asciiTheme="majorBidi" w:eastAsia="Times New Roman" w:hAnsiTheme="majorBidi" w:cstheme="majorBidi"/>
                <w:b/>
                <w:bCs/>
                <w:color w:val="000000"/>
              </w:rPr>
              <w:t>Aggravated factors of pain</w:t>
            </w:r>
          </w:p>
        </w:tc>
        <w:tc>
          <w:tcPr>
            <w:tcW w:w="1427" w:type="dxa"/>
            <w:tcBorders>
              <w:top w:val="single" w:sz="4" w:space="0" w:color="auto"/>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p>
        </w:tc>
        <w:tc>
          <w:tcPr>
            <w:tcW w:w="1427" w:type="dxa"/>
            <w:tcBorders>
              <w:top w:val="single" w:sz="4" w:space="0" w:color="auto"/>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p>
        </w:tc>
      </w:tr>
      <w:tr w:rsidR="00842EA7" w:rsidRPr="003E6871" w:rsidTr="009B641A">
        <w:trPr>
          <w:trHeight w:val="409"/>
          <w:jc w:val="center"/>
        </w:trPr>
        <w:tc>
          <w:tcPr>
            <w:tcW w:w="4431" w:type="dxa"/>
            <w:tcBorders>
              <w:top w:val="nil"/>
              <w:left w:val="nil"/>
              <w:bottom w:val="single" w:sz="4" w:space="0" w:color="auto"/>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i/>
                <w:iCs/>
                <w:color w:val="000000"/>
              </w:rPr>
            </w:pPr>
            <w:r>
              <w:rPr>
                <w:rFonts w:asciiTheme="majorBidi" w:eastAsia="Times New Roman" w:hAnsiTheme="majorBidi" w:cstheme="majorBidi"/>
                <w:i/>
                <w:iCs/>
                <w:color w:val="000000"/>
              </w:rPr>
              <w:t>S</w:t>
            </w:r>
            <w:r w:rsidRPr="003E6871">
              <w:rPr>
                <w:rFonts w:asciiTheme="majorBidi" w:eastAsia="Times New Roman" w:hAnsiTheme="majorBidi" w:cstheme="majorBidi"/>
                <w:i/>
                <w:iCs/>
                <w:color w:val="000000"/>
              </w:rPr>
              <w:t>etting</w:t>
            </w:r>
            <w:r>
              <w:rPr>
                <w:rFonts w:asciiTheme="majorBidi" w:eastAsia="Times New Roman" w:hAnsiTheme="majorBidi" w:cstheme="majorBidi"/>
                <w:i/>
                <w:iCs/>
                <w:color w:val="000000"/>
              </w:rPr>
              <w:t xml:space="preserve"> for a long time</w:t>
            </w:r>
          </w:p>
        </w:tc>
        <w:tc>
          <w:tcPr>
            <w:tcW w:w="1427" w:type="dxa"/>
            <w:tcBorders>
              <w:top w:val="nil"/>
              <w:left w:val="nil"/>
              <w:bottom w:val="single" w:sz="4" w:space="0" w:color="auto"/>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28</w:t>
            </w:r>
          </w:p>
        </w:tc>
        <w:tc>
          <w:tcPr>
            <w:tcW w:w="1427" w:type="dxa"/>
            <w:tcBorders>
              <w:top w:val="nil"/>
              <w:left w:val="nil"/>
              <w:bottom w:val="single" w:sz="4" w:space="0" w:color="auto"/>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100</w:t>
            </w:r>
            <w:r w:rsidRPr="003E6871">
              <w:rPr>
                <w:rFonts w:asciiTheme="majorBidi" w:eastAsia="Times New Roman" w:hAnsiTheme="majorBidi" w:cstheme="majorBidi"/>
                <w:color w:val="000000"/>
              </w:rPr>
              <w:t>%</w:t>
            </w:r>
          </w:p>
        </w:tc>
      </w:tr>
      <w:tr w:rsidR="00842EA7" w:rsidRPr="003E6871" w:rsidTr="009B641A">
        <w:trPr>
          <w:trHeight w:val="409"/>
          <w:jc w:val="center"/>
        </w:trPr>
        <w:tc>
          <w:tcPr>
            <w:tcW w:w="4431" w:type="dxa"/>
            <w:tcBorders>
              <w:top w:val="single" w:sz="4" w:space="0" w:color="auto"/>
              <w:left w:val="nil"/>
              <w:bottom w:val="nil"/>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b/>
                <w:bCs/>
                <w:color w:val="000000"/>
              </w:rPr>
            </w:pPr>
            <w:r w:rsidRPr="003E6871">
              <w:rPr>
                <w:rFonts w:asciiTheme="majorBidi" w:eastAsia="Times New Roman" w:hAnsiTheme="majorBidi" w:cstheme="majorBidi"/>
                <w:b/>
                <w:bCs/>
                <w:color w:val="000000"/>
              </w:rPr>
              <w:t>Used analgesics</w:t>
            </w:r>
          </w:p>
        </w:tc>
        <w:tc>
          <w:tcPr>
            <w:tcW w:w="1427" w:type="dxa"/>
            <w:tcBorders>
              <w:top w:val="single" w:sz="4" w:space="0" w:color="auto"/>
              <w:left w:val="nil"/>
              <w:bottom w:val="nil"/>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color w:val="000000"/>
              </w:rPr>
            </w:pPr>
          </w:p>
        </w:tc>
        <w:tc>
          <w:tcPr>
            <w:tcW w:w="1427" w:type="dxa"/>
            <w:tcBorders>
              <w:top w:val="single" w:sz="4" w:space="0" w:color="auto"/>
              <w:left w:val="nil"/>
              <w:bottom w:val="nil"/>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rPr>
            </w:pPr>
          </w:p>
        </w:tc>
      </w:tr>
      <w:tr w:rsidR="00842EA7" w:rsidRPr="003E6871" w:rsidTr="009B641A">
        <w:trPr>
          <w:trHeight w:val="409"/>
          <w:jc w:val="center"/>
        </w:trPr>
        <w:tc>
          <w:tcPr>
            <w:tcW w:w="4431"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i/>
                <w:iCs/>
                <w:color w:val="000000"/>
              </w:rPr>
            </w:pPr>
            <w:bookmarkStart w:id="4" w:name="_Hlk149564083"/>
            <w:r w:rsidRPr="003E6871">
              <w:rPr>
                <w:rFonts w:asciiTheme="majorBidi" w:eastAsia="Times New Roman" w:hAnsiTheme="majorBidi" w:cstheme="majorBidi"/>
                <w:i/>
                <w:iCs/>
                <w:color w:val="000000"/>
              </w:rPr>
              <w:t>Simple non-opioid analgesic</w:t>
            </w:r>
            <w:bookmarkEnd w:id="4"/>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25</w:t>
            </w:r>
          </w:p>
        </w:tc>
        <w:tc>
          <w:tcPr>
            <w:tcW w:w="1427" w:type="dxa"/>
            <w:tcBorders>
              <w:top w:val="nil"/>
              <w:left w:val="nil"/>
              <w:bottom w:val="nil"/>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sidRPr="003E6871">
              <w:rPr>
                <w:rFonts w:asciiTheme="majorBidi" w:eastAsia="Times New Roman" w:hAnsiTheme="majorBidi" w:cstheme="majorBidi"/>
                <w:color w:val="000000"/>
              </w:rPr>
              <w:t>89.3%</w:t>
            </w:r>
          </w:p>
        </w:tc>
      </w:tr>
      <w:tr w:rsidR="00842EA7" w:rsidRPr="003E6871" w:rsidTr="009B641A">
        <w:trPr>
          <w:trHeight w:val="409"/>
          <w:jc w:val="center"/>
        </w:trPr>
        <w:tc>
          <w:tcPr>
            <w:tcW w:w="4431" w:type="dxa"/>
            <w:tcBorders>
              <w:top w:val="nil"/>
              <w:left w:val="nil"/>
              <w:bottom w:val="single" w:sz="4" w:space="0" w:color="auto"/>
              <w:right w:val="nil"/>
            </w:tcBorders>
            <w:shd w:val="clear" w:color="auto" w:fill="auto"/>
            <w:noWrap/>
            <w:vAlign w:val="center"/>
            <w:hideMark/>
          </w:tcPr>
          <w:p w:rsidR="00842EA7" w:rsidRPr="003E6871" w:rsidRDefault="00842EA7" w:rsidP="009B641A">
            <w:pPr>
              <w:bidi w:val="0"/>
              <w:spacing w:after="0" w:line="240" w:lineRule="auto"/>
              <w:rPr>
                <w:rFonts w:asciiTheme="majorBidi" w:eastAsia="Times New Roman" w:hAnsiTheme="majorBidi" w:cstheme="majorBidi"/>
                <w:i/>
                <w:iCs/>
                <w:color w:val="000000"/>
              </w:rPr>
            </w:pPr>
            <w:r w:rsidRPr="00A50B16">
              <w:rPr>
                <w:rFonts w:asciiTheme="majorBidi" w:eastAsia="Times New Roman" w:hAnsiTheme="majorBidi" w:cstheme="majorBidi"/>
                <w:i/>
                <w:iCs/>
                <w:color w:val="000000"/>
              </w:rPr>
              <w:t>Opioid analgesia</w:t>
            </w:r>
          </w:p>
        </w:tc>
        <w:tc>
          <w:tcPr>
            <w:tcW w:w="1427" w:type="dxa"/>
            <w:tcBorders>
              <w:top w:val="nil"/>
              <w:left w:val="nil"/>
              <w:bottom w:val="single" w:sz="4" w:space="0" w:color="auto"/>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3</w:t>
            </w:r>
          </w:p>
        </w:tc>
        <w:tc>
          <w:tcPr>
            <w:tcW w:w="1427" w:type="dxa"/>
            <w:tcBorders>
              <w:top w:val="nil"/>
              <w:left w:val="nil"/>
              <w:bottom w:val="single" w:sz="4" w:space="0" w:color="auto"/>
              <w:right w:val="nil"/>
            </w:tcBorders>
            <w:shd w:val="clear" w:color="auto" w:fill="auto"/>
            <w:noWrap/>
            <w:vAlign w:val="center"/>
            <w:hideMark/>
          </w:tcPr>
          <w:p w:rsidR="00842EA7" w:rsidRPr="003E6871" w:rsidRDefault="00842EA7" w:rsidP="009B641A">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10.7</w:t>
            </w:r>
            <w:r w:rsidRPr="003E6871">
              <w:rPr>
                <w:rFonts w:asciiTheme="majorBidi" w:eastAsia="Times New Roman" w:hAnsiTheme="majorBidi" w:cstheme="majorBidi"/>
                <w:color w:val="000000"/>
              </w:rPr>
              <w:t>%</w:t>
            </w:r>
          </w:p>
        </w:tc>
      </w:tr>
    </w:tbl>
    <w:p w:rsidR="00842EA7" w:rsidRDefault="00842EA7" w:rsidP="00842EA7">
      <w:pPr>
        <w:bidi w:val="0"/>
        <w:jc w:val="center"/>
        <w:rPr>
          <w:sz w:val="24"/>
          <w:szCs w:val="24"/>
        </w:rPr>
      </w:pPr>
    </w:p>
    <w:p w:rsidR="00842EA7" w:rsidRDefault="00842EA7" w:rsidP="00842EA7">
      <w:pPr>
        <w:bidi w:val="0"/>
        <w:jc w:val="center"/>
        <w:rPr>
          <w:sz w:val="24"/>
          <w:szCs w:val="24"/>
        </w:rPr>
      </w:pPr>
    </w:p>
    <w:p w:rsidR="00842EA7" w:rsidRDefault="00842EA7" w:rsidP="00842EA7">
      <w:pPr>
        <w:bidi w:val="0"/>
        <w:jc w:val="center"/>
        <w:rPr>
          <w:sz w:val="24"/>
          <w:szCs w:val="24"/>
        </w:rPr>
      </w:pPr>
    </w:p>
    <w:p w:rsidR="00842EA7" w:rsidRDefault="00842EA7" w:rsidP="00842EA7">
      <w:pPr>
        <w:bidi w:val="0"/>
        <w:jc w:val="center"/>
        <w:rPr>
          <w:sz w:val="24"/>
          <w:szCs w:val="24"/>
        </w:rPr>
      </w:pPr>
    </w:p>
    <w:p w:rsidR="00842EA7" w:rsidRDefault="00842EA7" w:rsidP="00842EA7">
      <w:pPr>
        <w:bidi w:val="0"/>
        <w:jc w:val="center"/>
        <w:rPr>
          <w:sz w:val="24"/>
          <w:szCs w:val="24"/>
        </w:rPr>
      </w:pPr>
    </w:p>
    <w:p w:rsidR="00842EA7" w:rsidRDefault="00842EA7" w:rsidP="00842EA7">
      <w:pPr>
        <w:bidi w:val="0"/>
        <w:jc w:val="center"/>
        <w:rPr>
          <w:sz w:val="24"/>
          <w:szCs w:val="24"/>
        </w:rPr>
      </w:pPr>
      <w:r>
        <w:rPr>
          <w:sz w:val="24"/>
          <w:szCs w:val="24"/>
        </w:rPr>
        <w:lastRenderedPageBreak/>
        <w:t xml:space="preserve">Table 3. Method of injection and pain improvement among </w:t>
      </w:r>
      <w:r w:rsidRPr="00CC3424">
        <w:rPr>
          <w:sz w:val="24"/>
          <w:szCs w:val="24"/>
        </w:rPr>
        <w:t>patients with chronic coccygodynia underwent ganglion impar block</w:t>
      </w:r>
    </w:p>
    <w:tbl>
      <w:tblPr>
        <w:tblW w:w="8373" w:type="dxa"/>
        <w:jc w:val="center"/>
        <w:tblLook w:val="04A0" w:firstRow="1" w:lastRow="0" w:firstColumn="1" w:lastColumn="0" w:noHBand="0" w:noVBand="1"/>
      </w:tblPr>
      <w:tblGrid>
        <w:gridCol w:w="6070"/>
        <w:gridCol w:w="1151"/>
        <w:gridCol w:w="1152"/>
      </w:tblGrid>
      <w:tr w:rsidR="00842EA7" w:rsidRPr="0027415D" w:rsidTr="009B641A">
        <w:trPr>
          <w:trHeight w:val="347"/>
          <w:jc w:val="center"/>
        </w:trPr>
        <w:tc>
          <w:tcPr>
            <w:tcW w:w="6070" w:type="dxa"/>
            <w:tcBorders>
              <w:top w:val="single" w:sz="4" w:space="0" w:color="auto"/>
              <w:left w:val="nil"/>
              <w:bottom w:val="single" w:sz="4" w:space="0" w:color="auto"/>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b/>
                <w:bCs/>
                <w:color w:val="000000"/>
              </w:rPr>
            </w:pPr>
            <w:r w:rsidRPr="001D635A">
              <w:rPr>
                <w:rFonts w:asciiTheme="majorBidi" w:eastAsia="Times New Roman" w:hAnsiTheme="majorBidi" w:cstheme="majorBidi"/>
                <w:b/>
                <w:bCs/>
                <w:color w:val="000000"/>
              </w:rPr>
              <w:t>Injection and outcome</w:t>
            </w:r>
          </w:p>
        </w:tc>
        <w:tc>
          <w:tcPr>
            <w:tcW w:w="1151" w:type="dxa"/>
            <w:tcBorders>
              <w:top w:val="single" w:sz="4" w:space="0" w:color="auto"/>
              <w:left w:val="nil"/>
              <w:bottom w:val="single" w:sz="4" w:space="0" w:color="auto"/>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b/>
                <w:bCs/>
                <w:color w:val="000000"/>
              </w:rPr>
            </w:pPr>
            <w:r w:rsidRPr="001D635A">
              <w:rPr>
                <w:rFonts w:asciiTheme="majorBidi" w:eastAsia="Times New Roman" w:hAnsiTheme="majorBidi" w:cstheme="majorBidi"/>
                <w:b/>
                <w:bCs/>
                <w:color w:val="000000"/>
              </w:rPr>
              <w:t>No</w:t>
            </w:r>
          </w:p>
        </w:tc>
        <w:tc>
          <w:tcPr>
            <w:tcW w:w="1152" w:type="dxa"/>
            <w:tcBorders>
              <w:top w:val="single" w:sz="4" w:space="0" w:color="auto"/>
              <w:left w:val="nil"/>
              <w:bottom w:val="single" w:sz="4" w:space="0" w:color="auto"/>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b/>
                <w:bCs/>
                <w:color w:val="000000"/>
              </w:rPr>
            </w:pPr>
            <w:r w:rsidRPr="001D635A">
              <w:rPr>
                <w:rFonts w:asciiTheme="majorBidi" w:eastAsia="Times New Roman" w:hAnsiTheme="majorBidi" w:cstheme="majorBidi"/>
                <w:b/>
                <w:bCs/>
                <w:color w:val="000000"/>
              </w:rPr>
              <w:t>%</w:t>
            </w:r>
          </w:p>
        </w:tc>
      </w:tr>
      <w:tr w:rsidR="00842EA7" w:rsidRPr="0027415D" w:rsidTr="009B641A">
        <w:trPr>
          <w:trHeight w:val="347"/>
          <w:jc w:val="center"/>
        </w:trPr>
        <w:tc>
          <w:tcPr>
            <w:tcW w:w="6070"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b/>
                <w:bCs/>
                <w:color w:val="000000"/>
              </w:rPr>
            </w:pPr>
            <w:r>
              <w:rPr>
                <w:rFonts w:asciiTheme="majorBidi" w:eastAsia="Times New Roman" w:hAnsiTheme="majorBidi" w:cstheme="majorBidi"/>
                <w:b/>
                <w:bCs/>
                <w:color w:val="000000"/>
              </w:rPr>
              <w:t>The method</w:t>
            </w:r>
            <w:r w:rsidRPr="0027415D">
              <w:rPr>
                <w:rFonts w:asciiTheme="majorBidi" w:eastAsia="Times New Roman" w:hAnsiTheme="majorBidi" w:cstheme="majorBidi"/>
                <w:b/>
                <w:bCs/>
                <w:color w:val="000000"/>
              </w:rPr>
              <w:t xml:space="preserve"> used for </w:t>
            </w:r>
            <w:r>
              <w:rPr>
                <w:rFonts w:asciiTheme="majorBidi" w:eastAsia="Times New Roman" w:hAnsiTheme="majorBidi" w:cstheme="majorBidi"/>
                <w:b/>
                <w:bCs/>
                <w:color w:val="000000"/>
              </w:rPr>
              <w:t xml:space="preserve">the </w:t>
            </w:r>
            <w:r w:rsidRPr="0027415D">
              <w:rPr>
                <w:rFonts w:asciiTheme="majorBidi" w:eastAsia="Times New Roman" w:hAnsiTheme="majorBidi" w:cstheme="majorBidi"/>
                <w:b/>
                <w:bCs/>
                <w:color w:val="000000"/>
              </w:rPr>
              <w:t>first injection</w:t>
            </w:r>
          </w:p>
        </w:tc>
        <w:tc>
          <w:tcPr>
            <w:tcW w:w="1151"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p>
        </w:tc>
        <w:tc>
          <w:tcPr>
            <w:tcW w:w="1152"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rPr>
            </w:pPr>
          </w:p>
        </w:tc>
      </w:tr>
      <w:tr w:rsidR="00842EA7" w:rsidRPr="0027415D" w:rsidTr="009B641A">
        <w:trPr>
          <w:trHeight w:val="347"/>
          <w:jc w:val="center"/>
        </w:trPr>
        <w:tc>
          <w:tcPr>
            <w:tcW w:w="6070"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i/>
                <w:iCs/>
                <w:color w:val="000000"/>
              </w:rPr>
            </w:pPr>
            <w:r w:rsidRPr="0027415D">
              <w:rPr>
                <w:rFonts w:asciiTheme="majorBidi" w:eastAsia="Times New Roman" w:hAnsiTheme="majorBidi" w:cstheme="majorBidi"/>
                <w:i/>
                <w:iCs/>
                <w:color w:val="000000"/>
              </w:rPr>
              <w:t>Ganglion</w:t>
            </w:r>
          </w:p>
        </w:tc>
        <w:tc>
          <w:tcPr>
            <w:tcW w:w="1151"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25</w:t>
            </w:r>
          </w:p>
        </w:tc>
        <w:tc>
          <w:tcPr>
            <w:tcW w:w="1152"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89.3%</w:t>
            </w:r>
          </w:p>
        </w:tc>
      </w:tr>
      <w:tr w:rsidR="00842EA7" w:rsidRPr="0027415D" w:rsidTr="009B641A">
        <w:trPr>
          <w:trHeight w:val="347"/>
          <w:jc w:val="center"/>
        </w:trPr>
        <w:tc>
          <w:tcPr>
            <w:tcW w:w="6070"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i/>
                <w:iCs/>
                <w:color w:val="000000"/>
              </w:rPr>
            </w:pPr>
            <w:r>
              <w:rPr>
                <w:rFonts w:asciiTheme="majorBidi" w:eastAsia="Times New Roman" w:hAnsiTheme="majorBidi" w:cstheme="majorBidi"/>
                <w:i/>
                <w:iCs/>
                <w:color w:val="000000"/>
              </w:rPr>
              <w:t>Platelet-rich</w:t>
            </w:r>
            <w:r w:rsidRPr="000B180E">
              <w:rPr>
                <w:rFonts w:asciiTheme="majorBidi" w:eastAsia="Times New Roman" w:hAnsiTheme="majorBidi" w:cstheme="majorBidi"/>
                <w:i/>
                <w:iCs/>
                <w:color w:val="000000"/>
              </w:rPr>
              <w:t xml:space="preserve"> plasma for</w:t>
            </w:r>
            <w:r>
              <w:rPr>
                <w:rFonts w:asciiTheme="majorBidi" w:eastAsia="Times New Roman" w:hAnsiTheme="majorBidi" w:cstheme="majorBidi"/>
                <w:i/>
                <w:iCs/>
                <w:color w:val="000000"/>
              </w:rPr>
              <w:t xml:space="preserve"> </w:t>
            </w:r>
            <w:r w:rsidRPr="000B180E">
              <w:rPr>
                <w:rFonts w:asciiTheme="majorBidi" w:eastAsia="Times New Roman" w:hAnsiTheme="majorBidi" w:cstheme="majorBidi"/>
                <w:i/>
                <w:iCs/>
                <w:color w:val="000000"/>
              </w:rPr>
              <w:t xml:space="preserve">sacrococcygeal ligament </w:t>
            </w:r>
            <w:r>
              <w:rPr>
                <w:rFonts w:asciiTheme="majorBidi" w:eastAsia="Times New Roman" w:hAnsiTheme="majorBidi" w:cstheme="majorBidi"/>
                <w:i/>
                <w:iCs/>
                <w:color w:val="000000"/>
              </w:rPr>
              <w:t>(</w:t>
            </w:r>
            <w:r w:rsidRPr="0027415D">
              <w:rPr>
                <w:rFonts w:asciiTheme="majorBidi" w:eastAsia="Times New Roman" w:hAnsiTheme="majorBidi" w:cstheme="majorBidi"/>
                <w:i/>
                <w:iCs/>
                <w:color w:val="000000"/>
              </w:rPr>
              <w:t>PRP</w:t>
            </w:r>
            <w:r>
              <w:rPr>
                <w:rFonts w:asciiTheme="majorBidi" w:eastAsia="Times New Roman" w:hAnsiTheme="majorBidi" w:cstheme="majorBidi"/>
                <w:i/>
                <w:iCs/>
                <w:color w:val="000000"/>
              </w:rPr>
              <w:t>)</w:t>
            </w:r>
          </w:p>
        </w:tc>
        <w:tc>
          <w:tcPr>
            <w:tcW w:w="1151"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3</w:t>
            </w:r>
          </w:p>
        </w:tc>
        <w:tc>
          <w:tcPr>
            <w:tcW w:w="1152"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10.7%</w:t>
            </w:r>
          </w:p>
        </w:tc>
      </w:tr>
      <w:tr w:rsidR="00842EA7" w:rsidRPr="0027415D" w:rsidTr="009B641A">
        <w:trPr>
          <w:trHeight w:val="347"/>
          <w:jc w:val="center"/>
        </w:trPr>
        <w:tc>
          <w:tcPr>
            <w:tcW w:w="6070" w:type="dxa"/>
            <w:tcBorders>
              <w:top w:val="single" w:sz="4" w:space="0" w:color="auto"/>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b/>
                <w:bCs/>
                <w:color w:val="000000"/>
              </w:rPr>
            </w:pPr>
            <w:r w:rsidRPr="0027415D">
              <w:rPr>
                <w:rFonts w:asciiTheme="majorBidi" w:eastAsia="Times New Roman" w:hAnsiTheme="majorBidi" w:cstheme="majorBidi"/>
                <w:b/>
                <w:bCs/>
                <w:color w:val="000000"/>
              </w:rPr>
              <w:t>Frequency of GIB</w:t>
            </w:r>
          </w:p>
        </w:tc>
        <w:tc>
          <w:tcPr>
            <w:tcW w:w="1151" w:type="dxa"/>
            <w:tcBorders>
              <w:top w:val="single" w:sz="4" w:space="0" w:color="auto"/>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p>
        </w:tc>
        <w:tc>
          <w:tcPr>
            <w:tcW w:w="1152" w:type="dxa"/>
            <w:tcBorders>
              <w:top w:val="single" w:sz="4" w:space="0" w:color="auto"/>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p>
        </w:tc>
      </w:tr>
      <w:tr w:rsidR="00842EA7" w:rsidRPr="0027415D" w:rsidTr="009B641A">
        <w:trPr>
          <w:trHeight w:val="347"/>
          <w:jc w:val="center"/>
        </w:trPr>
        <w:tc>
          <w:tcPr>
            <w:tcW w:w="6070"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i/>
                <w:iCs/>
                <w:color w:val="000000"/>
              </w:rPr>
            </w:pPr>
            <w:r w:rsidRPr="0027415D">
              <w:rPr>
                <w:rFonts w:asciiTheme="majorBidi" w:eastAsia="Times New Roman" w:hAnsiTheme="majorBidi" w:cstheme="majorBidi"/>
                <w:i/>
                <w:iCs/>
                <w:color w:val="000000"/>
              </w:rPr>
              <w:t>1 time</w:t>
            </w:r>
          </w:p>
        </w:tc>
        <w:tc>
          <w:tcPr>
            <w:tcW w:w="1151"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18</w:t>
            </w:r>
          </w:p>
        </w:tc>
        <w:tc>
          <w:tcPr>
            <w:tcW w:w="1152"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72.0%</w:t>
            </w:r>
          </w:p>
        </w:tc>
      </w:tr>
      <w:tr w:rsidR="00842EA7" w:rsidRPr="0027415D" w:rsidTr="009B641A">
        <w:trPr>
          <w:trHeight w:val="347"/>
          <w:jc w:val="center"/>
        </w:trPr>
        <w:tc>
          <w:tcPr>
            <w:tcW w:w="6070"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i/>
                <w:iCs/>
                <w:color w:val="000000"/>
              </w:rPr>
            </w:pPr>
            <w:r w:rsidRPr="0027415D">
              <w:rPr>
                <w:rFonts w:asciiTheme="majorBidi" w:eastAsia="Times New Roman" w:hAnsiTheme="majorBidi" w:cstheme="majorBidi"/>
                <w:i/>
                <w:iCs/>
                <w:color w:val="000000"/>
              </w:rPr>
              <w:t>2 times</w:t>
            </w:r>
          </w:p>
        </w:tc>
        <w:tc>
          <w:tcPr>
            <w:tcW w:w="1151"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4</w:t>
            </w:r>
          </w:p>
        </w:tc>
        <w:tc>
          <w:tcPr>
            <w:tcW w:w="1152"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16.0%</w:t>
            </w:r>
          </w:p>
        </w:tc>
      </w:tr>
      <w:tr w:rsidR="00842EA7" w:rsidRPr="0027415D" w:rsidTr="009B641A">
        <w:trPr>
          <w:trHeight w:val="347"/>
          <w:jc w:val="center"/>
        </w:trPr>
        <w:tc>
          <w:tcPr>
            <w:tcW w:w="6070" w:type="dxa"/>
            <w:tcBorders>
              <w:top w:val="nil"/>
              <w:left w:val="nil"/>
              <w:bottom w:val="single" w:sz="4" w:space="0" w:color="auto"/>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i/>
                <w:iCs/>
                <w:color w:val="000000"/>
              </w:rPr>
            </w:pPr>
            <w:r w:rsidRPr="0027415D">
              <w:rPr>
                <w:rFonts w:asciiTheme="majorBidi" w:eastAsia="Times New Roman" w:hAnsiTheme="majorBidi" w:cstheme="majorBidi"/>
                <w:i/>
                <w:iCs/>
                <w:color w:val="000000"/>
              </w:rPr>
              <w:t>3 times</w:t>
            </w:r>
          </w:p>
        </w:tc>
        <w:tc>
          <w:tcPr>
            <w:tcW w:w="1151" w:type="dxa"/>
            <w:tcBorders>
              <w:top w:val="nil"/>
              <w:left w:val="nil"/>
              <w:bottom w:val="single" w:sz="4" w:space="0" w:color="auto"/>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3</w:t>
            </w:r>
          </w:p>
        </w:tc>
        <w:tc>
          <w:tcPr>
            <w:tcW w:w="1152" w:type="dxa"/>
            <w:tcBorders>
              <w:top w:val="nil"/>
              <w:left w:val="nil"/>
              <w:bottom w:val="single" w:sz="4" w:space="0" w:color="auto"/>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12.0%</w:t>
            </w:r>
          </w:p>
        </w:tc>
      </w:tr>
      <w:tr w:rsidR="00842EA7" w:rsidRPr="0027415D" w:rsidTr="009B641A">
        <w:trPr>
          <w:trHeight w:val="347"/>
          <w:jc w:val="center"/>
        </w:trPr>
        <w:tc>
          <w:tcPr>
            <w:tcW w:w="6070"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b/>
                <w:bCs/>
                <w:color w:val="000000"/>
              </w:rPr>
            </w:pPr>
            <w:r w:rsidRPr="0027415D">
              <w:rPr>
                <w:rFonts w:asciiTheme="majorBidi" w:eastAsia="Times New Roman" w:hAnsiTheme="majorBidi" w:cstheme="majorBidi"/>
                <w:b/>
                <w:bCs/>
                <w:color w:val="000000"/>
              </w:rPr>
              <w:t xml:space="preserve">Improvement % of </w:t>
            </w:r>
            <w:r>
              <w:rPr>
                <w:rFonts w:asciiTheme="majorBidi" w:eastAsia="Times New Roman" w:hAnsiTheme="majorBidi" w:cstheme="majorBidi"/>
                <w:b/>
                <w:bCs/>
                <w:color w:val="000000"/>
              </w:rPr>
              <w:t>the first</w:t>
            </w:r>
            <w:r w:rsidRPr="0027415D">
              <w:rPr>
                <w:rFonts w:asciiTheme="majorBidi" w:eastAsia="Times New Roman" w:hAnsiTheme="majorBidi" w:cstheme="majorBidi"/>
                <w:b/>
                <w:bCs/>
                <w:color w:val="000000"/>
              </w:rPr>
              <w:t xml:space="preserve"> injection</w:t>
            </w:r>
          </w:p>
        </w:tc>
        <w:tc>
          <w:tcPr>
            <w:tcW w:w="1151"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p>
        </w:tc>
        <w:tc>
          <w:tcPr>
            <w:tcW w:w="1152"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rPr>
            </w:pPr>
          </w:p>
        </w:tc>
      </w:tr>
      <w:tr w:rsidR="00842EA7" w:rsidRPr="0027415D" w:rsidTr="009B641A">
        <w:trPr>
          <w:trHeight w:val="347"/>
          <w:jc w:val="center"/>
        </w:trPr>
        <w:tc>
          <w:tcPr>
            <w:tcW w:w="6070"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i/>
                <w:iCs/>
                <w:color w:val="000000"/>
              </w:rPr>
            </w:pPr>
            <w:r w:rsidRPr="0027415D">
              <w:rPr>
                <w:rFonts w:asciiTheme="majorBidi" w:eastAsia="Times New Roman" w:hAnsiTheme="majorBidi" w:cstheme="majorBidi"/>
                <w:i/>
                <w:iCs/>
                <w:color w:val="000000"/>
              </w:rPr>
              <w:t>Non-responder</w:t>
            </w:r>
          </w:p>
        </w:tc>
        <w:tc>
          <w:tcPr>
            <w:tcW w:w="1151"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8</w:t>
            </w:r>
          </w:p>
        </w:tc>
        <w:tc>
          <w:tcPr>
            <w:tcW w:w="1152"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28.6%</w:t>
            </w:r>
          </w:p>
        </w:tc>
      </w:tr>
      <w:tr w:rsidR="00842EA7" w:rsidRPr="0027415D" w:rsidTr="009B641A">
        <w:trPr>
          <w:trHeight w:val="347"/>
          <w:jc w:val="center"/>
        </w:trPr>
        <w:tc>
          <w:tcPr>
            <w:tcW w:w="6070"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i/>
                <w:iCs/>
                <w:color w:val="000000"/>
              </w:rPr>
            </w:pPr>
            <w:r w:rsidRPr="0027415D">
              <w:rPr>
                <w:rFonts w:asciiTheme="majorBidi" w:eastAsia="Times New Roman" w:hAnsiTheme="majorBidi" w:cstheme="majorBidi"/>
                <w:i/>
                <w:iCs/>
                <w:color w:val="000000"/>
              </w:rPr>
              <w:t>Successful responder</w:t>
            </w:r>
          </w:p>
        </w:tc>
        <w:tc>
          <w:tcPr>
            <w:tcW w:w="1151"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20</w:t>
            </w:r>
          </w:p>
        </w:tc>
        <w:tc>
          <w:tcPr>
            <w:tcW w:w="1152"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71.4%</w:t>
            </w:r>
          </w:p>
        </w:tc>
      </w:tr>
      <w:tr w:rsidR="00842EA7" w:rsidRPr="0027415D" w:rsidTr="009B641A">
        <w:trPr>
          <w:trHeight w:val="347"/>
          <w:jc w:val="center"/>
        </w:trPr>
        <w:tc>
          <w:tcPr>
            <w:tcW w:w="6070" w:type="dxa"/>
            <w:tcBorders>
              <w:top w:val="single" w:sz="4" w:space="0" w:color="auto"/>
              <w:left w:val="nil"/>
              <w:bottom w:val="single" w:sz="4" w:space="0" w:color="auto"/>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Pr>
              <w:t>Mean ± SD</w:t>
            </w:r>
          </w:p>
        </w:tc>
        <w:tc>
          <w:tcPr>
            <w:tcW w:w="2303" w:type="dxa"/>
            <w:gridSpan w:val="2"/>
            <w:tcBorders>
              <w:top w:val="single" w:sz="4" w:space="0" w:color="auto"/>
              <w:left w:val="nil"/>
              <w:bottom w:val="single" w:sz="4" w:space="0" w:color="auto"/>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5.9 ± 3.4</w:t>
            </w:r>
          </w:p>
        </w:tc>
      </w:tr>
      <w:tr w:rsidR="00842EA7" w:rsidRPr="0027415D" w:rsidTr="009B641A">
        <w:trPr>
          <w:trHeight w:val="347"/>
          <w:jc w:val="center"/>
        </w:trPr>
        <w:tc>
          <w:tcPr>
            <w:tcW w:w="6070"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b/>
                <w:bCs/>
                <w:color w:val="000000"/>
              </w:rPr>
            </w:pPr>
            <w:r w:rsidRPr="0027415D">
              <w:rPr>
                <w:rFonts w:asciiTheme="majorBidi" w:eastAsia="Times New Roman" w:hAnsiTheme="majorBidi" w:cstheme="majorBidi"/>
                <w:b/>
                <w:bCs/>
                <w:color w:val="000000"/>
              </w:rPr>
              <w:t>Duration of improvement after first injection in months</w:t>
            </w:r>
          </w:p>
        </w:tc>
        <w:tc>
          <w:tcPr>
            <w:tcW w:w="1151"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p>
        </w:tc>
        <w:tc>
          <w:tcPr>
            <w:tcW w:w="1152"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rPr>
            </w:pPr>
          </w:p>
        </w:tc>
      </w:tr>
      <w:tr w:rsidR="00842EA7" w:rsidRPr="0027415D" w:rsidTr="009B641A">
        <w:trPr>
          <w:trHeight w:val="347"/>
          <w:jc w:val="center"/>
        </w:trPr>
        <w:tc>
          <w:tcPr>
            <w:tcW w:w="6070"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i/>
                <w:iCs/>
                <w:color w:val="000000"/>
              </w:rPr>
            </w:pPr>
            <w:r w:rsidRPr="0027415D">
              <w:rPr>
                <w:rFonts w:asciiTheme="majorBidi" w:eastAsia="Times New Roman" w:hAnsiTheme="majorBidi" w:cstheme="majorBidi"/>
                <w:i/>
                <w:iCs/>
                <w:color w:val="000000"/>
              </w:rPr>
              <w:t>&lt; 6 months</w:t>
            </w:r>
          </w:p>
        </w:tc>
        <w:tc>
          <w:tcPr>
            <w:tcW w:w="1151"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11</w:t>
            </w:r>
          </w:p>
        </w:tc>
        <w:tc>
          <w:tcPr>
            <w:tcW w:w="1152"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45.8%</w:t>
            </w:r>
          </w:p>
        </w:tc>
      </w:tr>
      <w:tr w:rsidR="00842EA7" w:rsidRPr="0027415D" w:rsidTr="009B641A">
        <w:trPr>
          <w:trHeight w:val="347"/>
          <w:jc w:val="center"/>
        </w:trPr>
        <w:tc>
          <w:tcPr>
            <w:tcW w:w="6070"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i/>
                <w:iCs/>
                <w:color w:val="000000"/>
              </w:rPr>
            </w:pPr>
            <w:r w:rsidRPr="0027415D">
              <w:rPr>
                <w:rFonts w:asciiTheme="majorBidi" w:eastAsia="Times New Roman" w:hAnsiTheme="majorBidi" w:cstheme="majorBidi"/>
                <w:i/>
                <w:iCs/>
                <w:color w:val="000000"/>
              </w:rPr>
              <w:t>6-11 months</w:t>
            </w:r>
          </w:p>
        </w:tc>
        <w:tc>
          <w:tcPr>
            <w:tcW w:w="1151"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8</w:t>
            </w:r>
          </w:p>
        </w:tc>
        <w:tc>
          <w:tcPr>
            <w:tcW w:w="1152"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33.3%</w:t>
            </w:r>
          </w:p>
        </w:tc>
      </w:tr>
      <w:tr w:rsidR="00842EA7" w:rsidRPr="0027415D" w:rsidTr="009B641A">
        <w:trPr>
          <w:trHeight w:val="347"/>
          <w:jc w:val="center"/>
        </w:trPr>
        <w:tc>
          <w:tcPr>
            <w:tcW w:w="6070"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i/>
                <w:iCs/>
                <w:color w:val="000000"/>
              </w:rPr>
            </w:pPr>
            <w:r w:rsidRPr="0027415D">
              <w:rPr>
                <w:rFonts w:asciiTheme="majorBidi" w:eastAsia="Times New Roman" w:hAnsiTheme="majorBidi" w:cstheme="majorBidi"/>
                <w:i/>
                <w:iCs/>
                <w:color w:val="000000"/>
              </w:rPr>
              <w:t>12-36 months</w:t>
            </w:r>
          </w:p>
        </w:tc>
        <w:tc>
          <w:tcPr>
            <w:tcW w:w="1151"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5</w:t>
            </w:r>
          </w:p>
        </w:tc>
        <w:tc>
          <w:tcPr>
            <w:tcW w:w="1152"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20.8%</w:t>
            </w:r>
          </w:p>
        </w:tc>
      </w:tr>
      <w:tr w:rsidR="00842EA7" w:rsidRPr="0027415D" w:rsidTr="009B641A">
        <w:trPr>
          <w:trHeight w:val="347"/>
          <w:jc w:val="center"/>
        </w:trPr>
        <w:tc>
          <w:tcPr>
            <w:tcW w:w="6070" w:type="dxa"/>
            <w:tcBorders>
              <w:top w:val="single" w:sz="4" w:space="0" w:color="auto"/>
              <w:left w:val="nil"/>
              <w:bottom w:val="single" w:sz="4" w:space="0" w:color="auto"/>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Pr>
              <w:t>Median (range)</w:t>
            </w:r>
          </w:p>
        </w:tc>
        <w:tc>
          <w:tcPr>
            <w:tcW w:w="2303" w:type="dxa"/>
            <w:gridSpan w:val="2"/>
            <w:tcBorders>
              <w:top w:val="single" w:sz="4" w:space="0" w:color="auto"/>
              <w:left w:val="nil"/>
              <w:bottom w:val="single" w:sz="4" w:space="0" w:color="auto"/>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6 (1-36)</w:t>
            </w:r>
          </w:p>
        </w:tc>
      </w:tr>
      <w:tr w:rsidR="00842EA7" w:rsidRPr="0027415D" w:rsidTr="009B641A">
        <w:trPr>
          <w:trHeight w:val="347"/>
          <w:jc w:val="center"/>
        </w:trPr>
        <w:tc>
          <w:tcPr>
            <w:tcW w:w="6070"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b/>
                <w:bCs/>
                <w:color w:val="000000"/>
              </w:rPr>
            </w:pPr>
            <w:r w:rsidRPr="0027415D">
              <w:rPr>
                <w:rFonts w:asciiTheme="majorBidi" w:eastAsia="Times New Roman" w:hAnsiTheme="majorBidi" w:cstheme="majorBidi"/>
                <w:b/>
                <w:bCs/>
                <w:color w:val="000000"/>
              </w:rPr>
              <w:t>Repeated injection</w:t>
            </w:r>
          </w:p>
        </w:tc>
        <w:tc>
          <w:tcPr>
            <w:tcW w:w="1151"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p>
        </w:tc>
        <w:tc>
          <w:tcPr>
            <w:tcW w:w="1152"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rPr>
            </w:pPr>
          </w:p>
        </w:tc>
      </w:tr>
      <w:tr w:rsidR="00842EA7" w:rsidRPr="0027415D" w:rsidTr="009B641A">
        <w:trPr>
          <w:trHeight w:val="347"/>
          <w:jc w:val="center"/>
        </w:trPr>
        <w:tc>
          <w:tcPr>
            <w:tcW w:w="6070"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i/>
                <w:iCs/>
                <w:color w:val="000000"/>
              </w:rPr>
            </w:pPr>
            <w:r w:rsidRPr="0027415D">
              <w:rPr>
                <w:rFonts w:asciiTheme="majorBidi" w:eastAsia="Times New Roman" w:hAnsiTheme="majorBidi" w:cstheme="majorBidi"/>
                <w:i/>
                <w:iCs/>
                <w:color w:val="000000"/>
              </w:rPr>
              <w:t>None</w:t>
            </w:r>
          </w:p>
        </w:tc>
        <w:tc>
          <w:tcPr>
            <w:tcW w:w="1151"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18</w:t>
            </w:r>
          </w:p>
        </w:tc>
        <w:tc>
          <w:tcPr>
            <w:tcW w:w="1152"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64.3%</w:t>
            </w:r>
          </w:p>
        </w:tc>
      </w:tr>
      <w:tr w:rsidR="00842EA7" w:rsidRPr="0027415D" w:rsidTr="009B641A">
        <w:trPr>
          <w:trHeight w:val="347"/>
          <w:jc w:val="center"/>
        </w:trPr>
        <w:tc>
          <w:tcPr>
            <w:tcW w:w="6070"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i/>
                <w:iCs/>
                <w:color w:val="000000"/>
              </w:rPr>
            </w:pPr>
            <w:r w:rsidRPr="0027415D">
              <w:rPr>
                <w:rFonts w:asciiTheme="majorBidi" w:eastAsia="Times New Roman" w:hAnsiTheme="majorBidi" w:cstheme="majorBidi"/>
                <w:i/>
                <w:iCs/>
                <w:color w:val="000000"/>
              </w:rPr>
              <w:t>Ganglion</w:t>
            </w:r>
          </w:p>
        </w:tc>
        <w:tc>
          <w:tcPr>
            <w:tcW w:w="1151"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3</w:t>
            </w:r>
          </w:p>
        </w:tc>
        <w:tc>
          <w:tcPr>
            <w:tcW w:w="1152"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10.7%</w:t>
            </w:r>
          </w:p>
        </w:tc>
      </w:tr>
      <w:tr w:rsidR="00842EA7" w:rsidRPr="0027415D" w:rsidTr="009B641A">
        <w:trPr>
          <w:trHeight w:val="347"/>
          <w:jc w:val="center"/>
        </w:trPr>
        <w:tc>
          <w:tcPr>
            <w:tcW w:w="6070"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i/>
                <w:iCs/>
                <w:color w:val="000000"/>
              </w:rPr>
            </w:pPr>
            <w:r>
              <w:rPr>
                <w:rFonts w:asciiTheme="majorBidi" w:eastAsia="Times New Roman" w:hAnsiTheme="majorBidi" w:cstheme="majorBidi"/>
                <w:i/>
                <w:iCs/>
                <w:color w:val="000000"/>
              </w:rPr>
              <w:t>Platelet-rich</w:t>
            </w:r>
            <w:r w:rsidRPr="004F6BCE">
              <w:rPr>
                <w:rFonts w:asciiTheme="majorBidi" w:eastAsia="Times New Roman" w:hAnsiTheme="majorBidi" w:cstheme="majorBidi"/>
                <w:i/>
                <w:iCs/>
                <w:color w:val="000000"/>
              </w:rPr>
              <w:t xml:space="preserve"> plasma for</w:t>
            </w:r>
            <w:r>
              <w:rPr>
                <w:rFonts w:asciiTheme="majorBidi" w:eastAsia="Times New Roman" w:hAnsiTheme="majorBidi" w:cstheme="majorBidi"/>
                <w:i/>
                <w:iCs/>
                <w:color w:val="000000"/>
              </w:rPr>
              <w:t xml:space="preserve"> </w:t>
            </w:r>
            <w:r w:rsidRPr="004F6BCE">
              <w:rPr>
                <w:rFonts w:asciiTheme="majorBidi" w:eastAsia="Times New Roman" w:hAnsiTheme="majorBidi" w:cstheme="majorBidi"/>
                <w:i/>
                <w:iCs/>
                <w:color w:val="000000"/>
              </w:rPr>
              <w:t>sacrococcygeal ligament</w:t>
            </w:r>
          </w:p>
        </w:tc>
        <w:tc>
          <w:tcPr>
            <w:tcW w:w="1151"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7</w:t>
            </w:r>
          </w:p>
        </w:tc>
        <w:tc>
          <w:tcPr>
            <w:tcW w:w="1152"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25.0%</w:t>
            </w:r>
          </w:p>
        </w:tc>
      </w:tr>
      <w:tr w:rsidR="00842EA7" w:rsidRPr="0027415D" w:rsidTr="009B641A">
        <w:trPr>
          <w:trHeight w:val="347"/>
          <w:jc w:val="center"/>
        </w:trPr>
        <w:tc>
          <w:tcPr>
            <w:tcW w:w="6070" w:type="dxa"/>
            <w:tcBorders>
              <w:top w:val="single" w:sz="4" w:space="0" w:color="auto"/>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b/>
                <w:bCs/>
                <w:color w:val="000000"/>
              </w:rPr>
            </w:pPr>
            <w:r w:rsidRPr="0027415D">
              <w:rPr>
                <w:rFonts w:asciiTheme="majorBidi" w:eastAsia="Times New Roman" w:hAnsiTheme="majorBidi" w:cstheme="majorBidi"/>
                <w:b/>
                <w:bCs/>
                <w:color w:val="000000"/>
              </w:rPr>
              <w:t>Improvement % of repeated injection</w:t>
            </w:r>
          </w:p>
        </w:tc>
        <w:tc>
          <w:tcPr>
            <w:tcW w:w="1151" w:type="dxa"/>
            <w:tcBorders>
              <w:top w:val="single" w:sz="4" w:space="0" w:color="auto"/>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p>
        </w:tc>
        <w:tc>
          <w:tcPr>
            <w:tcW w:w="1152" w:type="dxa"/>
            <w:tcBorders>
              <w:top w:val="single" w:sz="4" w:space="0" w:color="auto"/>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p>
        </w:tc>
      </w:tr>
      <w:tr w:rsidR="00842EA7" w:rsidRPr="0027415D" w:rsidTr="009B641A">
        <w:trPr>
          <w:trHeight w:val="347"/>
          <w:jc w:val="center"/>
        </w:trPr>
        <w:tc>
          <w:tcPr>
            <w:tcW w:w="6070"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i/>
                <w:iCs/>
                <w:color w:val="000000"/>
              </w:rPr>
            </w:pPr>
            <w:r w:rsidRPr="0027415D">
              <w:rPr>
                <w:rFonts w:asciiTheme="majorBidi" w:eastAsia="Times New Roman" w:hAnsiTheme="majorBidi" w:cstheme="majorBidi"/>
                <w:i/>
                <w:iCs/>
                <w:color w:val="000000"/>
              </w:rPr>
              <w:t>Non-responder</w:t>
            </w:r>
          </w:p>
        </w:tc>
        <w:tc>
          <w:tcPr>
            <w:tcW w:w="1151"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1</w:t>
            </w:r>
          </w:p>
        </w:tc>
        <w:tc>
          <w:tcPr>
            <w:tcW w:w="1152"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10.0%</w:t>
            </w:r>
          </w:p>
        </w:tc>
      </w:tr>
      <w:tr w:rsidR="00842EA7" w:rsidRPr="0027415D" w:rsidTr="009B641A">
        <w:trPr>
          <w:trHeight w:val="347"/>
          <w:jc w:val="center"/>
        </w:trPr>
        <w:tc>
          <w:tcPr>
            <w:tcW w:w="6070" w:type="dxa"/>
            <w:tcBorders>
              <w:top w:val="nil"/>
              <w:left w:val="nil"/>
              <w:bottom w:val="single" w:sz="4" w:space="0" w:color="auto"/>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i/>
                <w:iCs/>
                <w:color w:val="000000"/>
              </w:rPr>
            </w:pPr>
            <w:bookmarkStart w:id="5" w:name="_Hlk149564931"/>
            <w:r w:rsidRPr="0027415D">
              <w:rPr>
                <w:rFonts w:asciiTheme="majorBidi" w:eastAsia="Times New Roman" w:hAnsiTheme="majorBidi" w:cstheme="majorBidi"/>
                <w:i/>
                <w:iCs/>
                <w:color w:val="000000"/>
              </w:rPr>
              <w:t>Successful responder</w:t>
            </w:r>
            <w:bookmarkEnd w:id="5"/>
          </w:p>
        </w:tc>
        <w:tc>
          <w:tcPr>
            <w:tcW w:w="1151" w:type="dxa"/>
            <w:tcBorders>
              <w:top w:val="nil"/>
              <w:left w:val="nil"/>
              <w:bottom w:val="single" w:sz="4" w:space="0" w:color="auto"/>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9</w:t>
            </w:r>
          </w:p>
        </w:tc>
        <w:tc>
          <w:tcPr>
            <w:tcW w:w="1152" w:type="dxa"/>
            <w:tcBorders>
              <w:top w:val="nil"/>
              <w:left w:val="nil"/>
              <w:bottom w:val="single" w:sz="4" w:space="0" w:color="auto"/>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90.0%</w:t>
            </w:r>
          </w:p>
        </w:tc>
      </w:tr>
      <w:tr w:rsidR="00842EA7" w:rsidRPr="0027415D" w:rsidTr="009B641A">
        <w:trPr>
          <w:trHeight w:val="347"/>
          <w:jc w:val="center"/>
        </w:trPr>
        <w:tc>
          <w:tcPr>
            <w:tcW w:w="6070"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Pr>
              <w:t>Mean ± SD</w:t>
            </w:r>
          </w:p>
        </w:tc>
        <w:tc>
          <w:tcPr>
            <w:tcW w:w="2303" w:type="dxa"/>
            <w:gridSpan w:val="2"/>
            <w:tcBorders>
              <w:top w:val="single" w:sz="4" w:space="0" w:color="auto"/>
              <w:left w:val="nil"/>
              <w:bottom w:val="single" w:sz="4" w:space="0" w:color="auto"/>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bookmarkStart w:id="6" w:name="_Hlk149564963"/>
            <w:r>
              <w:rPr>
                <w:rFonts w:asciiTheme="majorBidi" w:eastAsia="Times New Roman" w:hAnsiTheme="majorBidi" w:cstheme="majorBidi"/>
                <w:color w:val="000000"/>
              </w:rPr>
              <w:t>7.3 ± 2.9</w:t>
            </w:r>
            <w:bookmarkEnd w:id="6"/>
          </w:p>
        </w:tc>
      </w:tr>
      <w:tr w:rsidR="00842EA7" w:rsidRPr="0027415D" w:rsidTr="009B641A">
        <w:trPr>
          <w:trHeight w:val="347"/>
          <w:jc w:val="center"/>
        </w:trPr>
        <w:tc>
          <w:tcPr>
            <w:tcW w:w="6070" w:type="dxa"/>
            <w:tcBorders>
              <w:top w:val="single" w:sz="4" w:space="0" w:color="auto"/>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b/>
                <w:bCs/>
                <w:color w:val="000000"/>
              </w:rPr>
            </w:pPr>
            <w:r w:rsidRPr="0027415D">
              <w:rPr>
                <w:rFonts w:asciiTheme="majorBidi" w:eastAsia="Times New Roman" w:hAnsiTheme="majorBidi" w:cstheme="majorBidi"/>
                <w:b/>
                <w:bCs/>
                <w:color w:val="000000"/>
              </w:rPr>
              <w:t>Duration of improvement after repeated injection in months</w:t>
            </w:r>
          </w:p>
        </w:tc>
        <w:tc>
          <w:tcPr>
            <w:tcW w:w="1151"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p>
        </w:tc>
        <w:tc>
          <w:tcPr>
            <w:tcW w:w="1152"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p>
        </w:tc>
      </w:tr>
      <w:tr w:rsidR="00842EA7" w:rsidRPr="0027415D" w:rsidTr="009B641A">
        <w:trPr>
          <w:trHeight w:val="347"/>
          <w:jc w:val="center"/>
        </w:trPr>
        <w:tc>
          <w:tcPr>
            <w:tcW w:w="6070"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i/>
                <w:iCs/>
                <w:color w:val="000000"/>
              </w:rPr>
            </w:pPr>
            <w:r w:rsidRPr="0027415D">
              <w:rPr>
                <w:rFonts w:asciiTheme="majorBidi" w:eastAsia="Times New Roman" w:hAnsiTheme="majorBidi" w:cstheme="majorBidi"/>
                <w:i/>
                <w:iCs/>
                <w:color w:val="000000"/>
              </w:rPr>
              <w:t>&lt; 6 months</w:t>
            </w:r>
          </w:p>
        </w:tc>
        <w:tc>
          <w:tcPr>
            <w:tcW w:w="1151"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6</w:t>
            </w:r>
          </w:p>
        </w:tc>
        <w:tc>
          <w:tcPr>
            <w:tcW w:w="1152"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60.0%</w:t>
            </w:r>
          </w:p>
        </w:tc>
      </w:tr>
      <w:tr w:rsidR="00842EA7" w:rsidRPr="0027415D" w:rsidTr="009B641A">
        <w:trPr>
          <w:trHeight w:val="347"/>
          <w:jc w:val="center"/>
        </w:trPr>
        <w:tc>
          <w:tcPr>
            <w:tcW w:w="6070"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i/>
                <w:iCs/>
                <w:color w:val="000000"/>
              </w:rPr>
            </w:pPr>
            <w:r w:rsidRPr="0027415D">
              <w:rPr>
                <w:rFonts w:asciiTheme="majorBidi" w:eastAsia="Times New Roman" w:hAnsiTheme="majorBidi" w:cstheme="majorBidi"/>
                <w:i/>
                <w:iCs/>
                <w:color w:val="000000"/>
              </w:rPr>
              <w:t>6-11 months</w:t>
            </w:r>
          </w:p>
        </w:tc>
        <w:tc>
          <w:tcPr>
            <w:tcW w:w="1151"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1</w:t>
            </w:r>
          </w:p>
        </w:tc>
        <w:tc>
          <w:tcPr>
            <w:tcW w:w="1152" w:type="dxa"/>
            <w:tcBorders>
              <w:top w:val="nil"/>
              <w:left w:val="nil"/>
              <w:bottom w:val="nil"/>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10.0%</w:t>
            </w:r>
          </w:p>
        </w:tc>
      </w:tr>
      <w:tr w:rsidR="00842EA7" w:rsidRPr="0027415D" w:rsidTr="009B641A">
        <w:trPr>
          <w:trHeight w:val="347"/>
          <w:jc w:val="center"/>
        </w:trPr>
        <w:tc>
          <w:tcPr>
            <w:tcW w:w="6070" w:type="dxa"/>
            <w:tcBorders>
              <w:top w:val="nil"/>
              <w:left w:val="nil"/>
              <w:bottom w:val="single" w:sz="4" w:space="0" w:color="auto"/>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i/>
                <w:iCs/>
                <w:color w:val="000000"/>
              </w:rPr>
            </w:pPr>
            <w:r w:rsidRPr="0027415D">
              <w:rPr>
                <w:rFonts w:asciiTheme="majorBidi" w:eastAsia="Times New Roman" w:hAnsiTheme="majorBidi" w:cstheme="majorBidi"/>
                <w:i/>
                <w:iCs/>
                <w:color w:val="000000"/>
              </w:rPr>
              <w:t>12 months</w:t>
            </w:r>
          </w:p>
        </w:tc>
        <w:tc>
          <w:tcPr>
            <w:tcW w:w="1151" w:type="dxa"/>
            <w:tcBorders>
              <w:top w:val="nil"/>
              <w:left w:val="nil"/>
              <w:bottom w:val="single" w:sz="4" w:space="0" w:color="auto"/>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3</w:t>
            </w:r>
          </w:p>
        </w:tc>
        <w:tc>
          <w:tcPr>
            <w:tcW w:w="1152" w:type="dxa"/>
            <w:tcBorders>
              <w:top w:val="nil"/>
              <w:left w:val="nil"/>
              <w:bottom w:val="single" w:sz="4" w:space="0" w:color="auto"/>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sidRPr="0027415D">
              <w:rPr>
                <w:rFonts w:asciiTheme="majorBidi" w:eastAsia="Times New Roman" w:hAnsiTheme="majorBidi" w:cstheme="majorBidi"/>
                <w:color w:val="000000"/>
              </w:rPr>
              <w:t>30.0%</w:t>
            </w:r>
          </w:p>
        </w:tc>
      </w:tr>
      <w:tr w:rsidR="00842EA7" w:rsidRPr="0027415D" w:rsidTr="009B641A">
        <w:trPr>
          <w:trHeight w:val="347"/>
          <w:jc w:val="center"/>
        </w:trPr>
        <w:tc>
          <w:tcPr>
            <w:tcW w:w="6070" w:type="dxa"/>
            <w:tcBorders>
              <w:top w:val="nil"/>
              <w:left w:val="nil"/>
              <w:bottom w:val="single" w:sz="4" w:space="0" w:color="auto"/>
              <w:right w:val="nil"/>
            </w:tcBorders>
            <w:shd w:val="clear" w:color="auto" w:fill="auto"/>
            <w:noWrap/>
            <w:vAlign w:val="center"/>
            <w:hideMark/>
          </w:tcPr>
          <w:p w:rsidR="00842EA7" w:rsidRPr="0027415D" w:rsidRDefault="00842EA7" w:rsidP="009B641A">
            <w:pPr>
              <w:bidi w:val="0"/>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Pr>
              <w:t>Median (range)</w:t>
            </w:r>
          </w:p>
        </w:tc>
        <w:tc>
          <w:tcPr>
            <w:tcW w:w="2303" w:type="dxa"/>
            <w:gridSpan w:val="2"/>
            <w:tcBorders>
              <w:top w:val="single" w:sz="4" w:space="0" w:color="auto"/>
              <w:left w:val="nil"/>
              <w:bottom w:val="single" w:sz="4" w:space="0" w:color="auto"/>
              <w:right w:val="nil"/>
            </w:tcBorders>
            <w:shd w:val="clear" w:color="auto" w:fill="auto"/>
            <w:noWrap/>
            <w:vAlign w:val="center"/>
            <w:hideMark/>
          </w:tcPr>
          <w:p w:rsidR="00842EA7" w:rsidRPr="0027415D" w:rsidRDefault="00842EA7" w:rsidP="009B641A">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5 (1-12)</w:t>
            </w:r>
          </w:p>
        </w:tc>
      </w:tr>
    </w:tbl>
    <w:p w:rsidR="00842EA7" w:rsidRDefault="00842EA7" w:rsidP="00842EA7">
      <w:pPr>
        <w:bidi w:val="0"/>
        <w:jc w:val="center"/>
        <w:rPr>
          <w:sz w:val="24"/>
          <w:szCs w:val="24"/>
        </w:rPr>
      </w:pPr>
    </w:p>
    <w:p w:rsidR="00842EA7" w:rsidRDefault="00842EA7" w:rsidP="00842EA7">
      <w:pPr>
        <w:bidi w:val="0"/>
        <w:jc w:val="center"/>
        <w:rPr>
          <w:sz w:val="24"/>
          <w:szCs w:val="24"/>
        </w:rPr>
      </w:pPr>
    </w:p>
    <w:p w:rsidR="00842EA7" w:rsidRDefault="00842EA7" w:rsidP="00842EA7">
      <w:pPr>
        <w:bidi w:val="0"/>
        <w:jc w:val="center"/>
        <w:rPr>
          <w:sz w:val="24"/>
          <w:szCs w:val="24"/>
        </w:rPr>
      </w:pPr>
    </w:p>
    <w:p w:rsidR="00842EA7" w:rsidRDefault="00842EA7" w:rsidP="00842EA7">
      <w:pPr>
        <w:bidi w:val="0"/>
        <w:jc w:val="center"/>
        <w:rPr>
          <w:sz w:val="24"/>
          <w:szCs w:val="24"/>
        </w:rPr>
      </w:pPr>
      <w:bookmarkStart w:id="7" w:name="_Hlk149565809"/>
      <w:r>
        <w:rPr>
          <w:sz w:val="24"/>
          <w:szCs w:val="24"/>
        </w:rPr>
        <w:lastRenderedPageBreak/>
        <w:t>Table 4. Response to GIB with platelet-rich</w:t>
      </w:r>
      <w:r w:rsidRPr="00916B91">
        <w:rPr>
          <w:sz w:val="24"/>
          <w:szCs w:val="24"/>
        </w:rPr>
        <w:t xml:space="preserve"> plasma for</w:t>
      </w:r>
      <w:r>
        <w:rPr>
          <w:sz w:val="24"/>
          <w:szCs w:val="24"/>
        </w:rPr>
        <w:t xml:space="preserve"> </w:t>
      </w:r>
      <w:r w:rsidRPr="00916B91">
        <w:rPr>
          <w:sz w:val="24"/>
          <w:szCs w:val="24"/>
        </w:rPr>
        <w:t xml:space="preserve">sacrococcygeal ligament </w:t>
      </w:r>
      <w:r>
        <w:rPr>
          <w:sz w:val="24"/>
          <w:szCs w:val="24"/>
        </w:rPr>
        <w:t xml:space="preserve">for patients </w:t>
      </w:r>
      <w:r w:rsidRPr="00CC3424">
        <w:rPr>
          <w:sz w:val="24"/>
          <w:szCs w:val="24"/>
        </w:rPr>
        <w:t>with chronic coccygodynia</w:t>
      </w:r>
    </w:p>
    <w:tbl>
      <w:tblPr>
        <w:tblW w:w="9595" w:type="dxa"/>
        <w:jc w:val="center"/>
        <w:tblLook w:val="04A0" w:firstRow="1" w:lastRow="0" w:firstColumn="1" w:lastColumn="0" w:noHBand="0" w:noVBand="1"/>
      </w:tblPr>
      <w:tblGrid>
        <w:gridCol w:w="3330"/>
        <w:gridCol w:w="1530"/>
        <w:gridCol w:w="1350"/>
        <w:gridCol w:w="1640"/>
        <w:gridCol w:w="950"/>
        <w:gridCol w:w="960"/>
      </w:tblGrid>
      <w:tr w:rsidR="00842EA7" w:rsidRPr="00D233B0" w:rsidTr="009B641A">
        <w:trPr>
          <w:trHeight w:val="751"/>
          <w:jc w:val="center"/>
        </w:trPr>
        <w:tc>
          <w:tcPr>
            <w:tcW w:w="3330" w:type="dxa"/>
            <w:vMerge w:val="restart"/>
            <w:tcBorders>
              <w:top w:val="single" w:sz="4" w:space="0" w:color="auto"/>
              <w:left w:val="nil"/>
              <w:bottom w:val="single" w:sz="4" w:space="0" w:color="000000"/>
              <w:right w:val="nil"/>
            </w:tcBorders>
            <w:shd w:val="clear" w:color="auto" w:fill="auto"/>
            <w:noWrap/>
            <w:vAlign w:val="center"/>
            <w:hideMark/>
          </w:tcPr>
          <w:bookmarkEnd w:id="7"/>
          <w:p w:rsidR="00842EA7" w:rsidRPr="00D233B0" w:rsidRDefault="00842EA7" w:rsidP="009B641A">
            <w:pPr>
              <w:bidi w:val="0"/>
              <w:spacing w:after="0" w:line="240" w:lineRule="auto"/>
              <w:rPr>
                <w:rFonts w:asciiTheme="majorBidi" w:eastAsia="Times New Roman" w:hAnsiTheme="majorBidi" w:cstheme="majorBidi"/>
                <w:b/>
                <w:bCs/>
                <w:color w:val="000000"/>
              </w:rPr>
            </w:pPr>
            <w:r w:rsidRPr="00D233B0">
              <w:rPr>
                <w:rFonts w:asciiTheme="majorBidi" w:eastAsia="Times New Roman" w:hAnsiTheme="majorBidi" w:cstheme="majorBidi"/>
                <w:b/>
                <w:bCs/>
                <w:color w:val="000000"/>
              </w:rPr>
              <w:t>Improvement % of the first injection</w:t>
            </w:r>
          </w:p>
        </w:tc>
        <w:tc>
          <w:tcPr>
            <w:tcW w:w="5305" w:type="dxa"/>
            <w:gridSpan w:val="4"/>
            <w:tcBorders>
              <w:top w:val="single" w:sz="4" w:space="0" w:color="auto"/>
              <w:left w:val="nil"/>
              <w:bottom w:val="nil"/>
              <w:right w:val="nil"/>
            </w:tcBorders>
            <w:shd w:val="clear" w:color="auto" w:fill="auto"/>
            <w:noWrap/>
            <w:vAlign w:val="center"/>
            <w:hideMark/>
          </w:tcPr>
          <w:p w:rsidR="00842EA7" w:rsidRPr="00D233B0" w:rsidRDefault="00842EA7" w:rsidP="009B641A">
            <w:pPr>
              <w:bidi w:val="0"/>
              <w:spacing w:after="0" w:line="240" w:lineRule="auto"/>
              <w:jc w:val="center"/>
              <w:rPr>
                <w:rFonts w:asciiTheme="majorBidi" w:eastAsia="Times New Roman" w:hAnsiTheme="majorBidi" w:cstheme="majorBidi"/>
                <w:b/>
                <w:bCs/>
                <w:color w:val="000000"/>
              </w:rPr>
            </w:pPr>
            <w:r w:rsidRPr="00D233B0">
              <w:rPr>
                <w:rFonts w:asciiTheme="majorBidi" w:eastAsia="Times New Roman" w:hAnsiTheme="majorBidi" w:cstheme="majorBidi"/>
                <w:b/>
                <w:bCs/>
                <w:color w:val="000000"/>
              </w:rPr>
              <w:t>Improvement % of repeated injection</w:t>
            </w:r>
          </w:p>
        </w:tc>
        <w:tc>
          <w:tcPr>
            <w:tcW w:w="960" w:type="dxa"/>
            <w:vMerge w:val="restart"/>
            <w:tcBorders>
              <w:top w:val="single" w:sz="4" w:space="0" w:color="auto"/>
              <w:left w:val="nil"/>
              <w:bottom w:val="single" w:sz="4" w:space="0" w:color="000000"/>
              <w:right w:val="nil"/>
            </w:tcBorders>
            <w:shd w:val="clear" w:color="auto" w:fill="auto"/>
            <w:noWrap/>
            <w:vAlign w:val="center"/>
            <w:hideMark/>
          </w:tcPr>
          <w:p w:rsidR="00842EA7" w:rsidRPr="00D233B0" w:rsidRDefault="00842EA7" w:rsidP="009B641A">
            <w:pPr>
              <w:bidi w:val="0"/>
              <w:spacing w:after="0" w:line="240" w:lineRule="auto"/>
              <w:jc w:val="center"/>
              <w:rPr>
                <w:rFonts w:asciiTheme="majorBidi" w:eastAsia="Times New Roman" w:hAnsiTheme="majorBidi" w:cstheme="majorBidi"/>
                <w:b/>
                <w:bCs/>
              </w:rPr>
            </w:pPr>
            <w:r w:rsidRPr="00D233B0">
              <w:rPr>
                <w:rFonts w:asciiTheme="majorBidi" w:eastAsia="Times New Roman" w:hAnsiTheme="majorBidi" w:cstheme="majorBidi"/>
                <w:b/>
                <w:bCs/>
              </w:rPr>
              <w:t>p-value</w:t>
            </w:r>
          </w:p>
        </w:tc>
      </w:tr>
      <w:tr w:rsidR="00842EA7" w:rsidRPr="00D233B0" w:rsidTr="009B641A">
        <w:trPr>
          <w:trHeight w:val="751"/>
          <w:jc w:val="center"/>
        </w:trPr>
        <w:tc>
          <w:tcPr>
            <w:tcW w:w="3330" w:type="dxa"/>
            <w:vMerge/>
            <w:tcBorders>
              <w:top w:val="single" w:sz="4" w:space="0" w:color="auto"/>
              <w:left w:val="nil"/>
              <w:bottom w:val="single" w:sz="4" w:space="0" w:color="000000"/>
              <w:right w:val="nil"/>
            </w:tcBorders>
            <w:vAlign w:val="center"/>
            <w:hideMark/>
          </w:tcPr>
          <w:p w:rsidR="00842EA7" w:rsidRPr="00D233B0" w:rsidRDefault="00842EA7" w:rsidP="009B641A">
            <w:pPr>
              <w:bidi w:val="0"/>
              <w:spacing w:after="0" w:line="240" w:lineRule="auto"/>
              <w:rPr>
                <w:rFonts w:asciiTheme="majorBidi" w:eastAsia="Times New Roman" w:hAnsiTheme="majorBidi" w:cstheme="majorBidi"/>
                <w:b/>
                <w:bCs/>
                <w:color w:val="000000"/>
              </w:rPr>
            </w:pPr>
          </w:p>
        </w:tc>
        <w:tc>
          <w:tcPr>
            <w:tcW w:w="2880" w:type="dxa"/>
            <w:gridSpan w:val="2"/>
            <w:tcBorders>
              <w:top w:val="single" w:sz="4" w:space="0" w:color="auto"/>
              <w:left w:val="nil"/>
              <w:bottom w:val="single" w:sz="4" w:space="0" w:color="auto"/>
              <w:right w:val="nil"/>
            </w:tcBorders>
            <w:shd w:val="clear" w:color="auto" w:fill="auto"/>
            <w:noWrap/>
            <w:vAlign w:val="center"/>
            <w:hideMark/>
          </w:tcPr>
          <w:p w:rsidR="00842EA7" w:rsidRPr="00D233B0" w:rsidRDefault="00842EA7" w:rsidP="009B641A">
            <w:pPr>
              <w:bidi w:val="0"/>
              <w:spacing w:after="0" w:line="240" w:lineRule="auto"/>
              <w:jc w:val="center"/>
              <w:rPr>
                <w:rFonts w:asciiTheme="majorBidi" w:eastAsia="Times New Roman" w:hAnsiTheme="majorBidi" w:cstheme="majorBidi"/>
                <w:b/>
                <w:bCs/>
                <w:color w:val="000000"/>
              </w:rPr>
            </w:pPr>
            <w:r w:rsidRPr="00D233B0">
              <w:rPr>
                <w:rFonts w:asciiTheme="majorBidi" w:eastAsia="Times New Roman" w:hAnsiTheme="majorBidi" w:cstheme="majorBidi"/>
                <w:b/>
                <w:bCs/>
                <w:color w:val="000000"/>
              </w:rPr>
              <w:t>Non-responder</w:t>
            </w:r>
          </w:p>
        </w:tc>
        <w:tc>
          <w:tcPr>
            <w:tcW w:w="2425" w:type="dxa"/>
            <w:gridSpan w:val="2"/>
            <w:tcBorders>
              <w:top w:val="single" w:sz="4" w:space="0" w:color="auto"/>
              <w:left w:val="nil"/>
              <w:bottom w:val="single" w:sz="4" w:space="0" w:color="auto"/>
              <w:right w:val="nil"/>
            </w:tcBorders>
            <w:shd w:val="clear" w:color="auto" w:fill="auto"/>
            <w:noWrap/>
            <w:vAlign w:val="center"/>
            <w:hideMark/>
          </w:tcPr>
          <w:p w:rsidR="00842EA7" w:rsidRPr="00D233B0" w:rsidRDefault="00842EA7" w:rsidP="009B641A">
            <w:pPr>
              <w:bidi w:val="0"/>
              <w:spacing w:after="0" w:line="240" w:lineRule="auto"/>
              <w:jc w:val="center"/>
              <w:rPr>
                <w:rFonts w:asciiTheme="majorBidi" w:eastAsia="Times New Roman" w:hAnsiTheme="majorBidi" w:cstheme="majorBidi"/>
                <w:b/>
                <w:bCs/>
                <w:color w:val="000000"/>
              </w:rPr>
            </w:pPr>
            <w:r w:rsidRPr="00D233B0">
              <w:rPr>
                <w:rFonts w:asciiTheme="majorBidi" w:eastAsia="Times New Roman" w:hAnsiTheme="majorBidi" w:cstheme="majorBidi"/>
                <w:b/>
                <w:bCs/>
                <w:color w:val="000000"/>
              </w:rPr>
              <w:t>Successful responder</w:t>
            </w:r>
          </w:p>
        </w:tc>
        <w:tc>
          <w:tcPr>
            <w:tcW w:w="960" w:type="dxa"/>
            <w:vMerge/>
            <w:tcBorders>
              <w:top w:val="single" w:sz="4" w:space="0" w:color="auto"/>
              <w:left w:val="nil"/>
              <w:bottom w:val="single" w:sz="4" w:space="0" w:color="000000"/>
              <w:right w:val="nil"/>
            </w:tcBorders>
            <w:vAlign w:val="center"/>
            <w:hideMark/>
          </w:tcPr>
          <w:p w:rsidR="00842EA7" w:rsidRPr="00D233B0" w:rsidRDefault="00842EA7" w:rsidP="009B641A">
            <w:pPr>
              <w:bidi w:val="0"/>
              <w:spacing w:after="0" w:line="240" w:lineRule="auto"/>
              <w:jc w:val="center"/>
              <w:rPr>
                <w:rFonts w:asciiTheme="majorBidi" w:eastAsia="Times New Roman" w:hAnsiTheme="majorBidi" w:cstheme="majorBidi"/>
              </w:rPr>
            </w:pPr>
          </w:p>
        </w:tc>
      </w:tr>
      <w:tr w:rsidR="00842EA7" w:rsidRPr="00D233B0" w:rsidTr="009B641A">
        <w:trPr>
          <w:trHeight w:val="751"/>
          <w:jc w:val="center"/>
        </w:trPr>
        <w:tc>
          <w:tcPr>
            <w:tcW w:w="3330" w:type="dxa"/>
            <w:vMerge/>
            <w:tcBorders>
              <w:top w:val="single" w:sz="4" w:space="0" w:color="auto"/>
              <w:left w:val="nil"/>
              <w:bottom w:val="single" w:sz="4" w:space="0" w:color="000000"/>
              <w:right w:val="nil"/>
            </w:tcBorders>
            <w:vAlign w:val="center"/>
            <w:hideMark/>
          </w:tcPr>
          <w:p w:rsidR="00842EA7" w:rsidRPr="00D233B0" w:rsidRDefault="00842EA7" w:rsidP="009B641A">
            <w:pPr>
              <w:bidi w:val="0"/>
              <w:spacing w:after="0" w:line="240" w:lineRule="auto"/>
              <w:rPr>
                <w:rFonts w:asciiTheme="majorBidi" w:eastAsia="Times New Roman" w:hAnsiTheme="majorBidi" w:cstheme="majorBidi"/>
                <w:b/>
                <w:bCs/>
                <w:color w:val="000000"/>
              </w:rPr>
            </w:pPr>
          </w:p>
        </w:tc>
        <w:tc>
          <w:tcPr>
            <w:tcW w:w="1530" w:type="dxa"/>
            <w:tcBorders>
              <w:top w:val="nil"/>
              <w:left w:val="nil"/>
              <w:bottom w:val="single" w:sz="4" w:space="0" w:color="auto"/>
              <w:right w:val="nil"/>
            </w:tcBorders>
            <w:shd w:val="clear" w:color="auto" w:fill="auto"/>
            <w:noWrap/>
            <w:vAlign w:val="center"/>
            <w:hideMark/>
          </w:tcPr>
          <w:p w:rsidR="00842EA7" w:rsidRPr="00D233B0" w:rsidRDefault="00842EA7" w:rsidP="009B641A">
            <w:pPr>
              <w:bidi w:val="0"/>
              <w:spacing w:after="0" w:line="240" w:lineRule="auto"/>
              <w:jc w:val="center"/>
              <w:rPr>
                <w:rFonts w:asciiTheme="majorBidi" w:eastAsia="Times New Roman" w:hAnsiTheme="majorBidi" w:cstheme="majorBidi"/>
                <w:b/>
                <w:bCs/>
                <w:color w:val="000000"/>
              </w:rPr>
            </w:pPr>
            <w:r w:rsidRPr="00D233B0">
              <w:rPr>
                <w:rFonts w:asciiTheme="majorBidi" w:eastAsia="Times New Roman" w:hAnsiTheme="majorBidi" w:cstheme="majorBidi"/>
                <w:b/>
                <w:bCs/>
                <w:color w:val="000000"/>
              </w:rPr>
              <w:t>No</w:t>
            </w:r>
          </w:p>
        </w:tc>
        <w:tc>
          <w:tcPr>
            <w:tcW w:w="1350" w:type="dxa"/>
            <w:tcBorders>
              <w:top w:val="nil"/>
              <w:left w:val="nil"/>
              <w:bottom w:val="single" w:sz="4" w:space="0" w:color="auto"/>
              <w:right w:val="nil"/>
            </w:tcBorders>
            <w:shd w:val="clear" w:color="auto" w:fill="auto"/>
            <w:noWrap/>
            <w:vAlign w:val="center"/>
            <w:hideMark/>
          </w:tcPr>
          <w:p w:rsidR="00842EA7" w:rsidRPr="00D233B0" w:rsidRDefault="00842EA7" w:rsidP="009B641A">
            <w:pPr>
              <w:bidi w:val="0"/>
              <w:spacing w:after="0" w:line="240" w:lineRule="auto"/>
              <w:jc w:val="center"/>
              <w:rPr>
                <w:rFonts w:asciiTheme="majorBidi" w:eastAsia="Times New Roman" w:hAnsiTheme="majorBidi" w:cstheme="majorBidi"/>
                <w:b/>
                <w:bCs/>
                <w:color w:val="000000"/>
              </w:rPr>
            </w:pPr>
            <w:r w:rsidRPr="00D233B0">
              <w:rPr>
                <w:rFonts w:asciiTheme="majorBidi" w:eastAsia="Times New Roman" w:hAnsiTheme="majorBidi" w:cstheme="majorBidi"/>
                <w:b/>
                <w:bCs/>
                <w:color w:val="000000"/>
              </w:rPr>
              <w:t>%</w:t>
            </w:r>
          </w:p>
        </w:tc>
        <w:tc>
          <w:tcPr>
            <w:tcW w:w="1640" w:type="dxa"/>
            <w:tcBorders>
              <w:top w:val="nil"/>
              <w:left w:val="nil"/>
              <w:bottom w:val="single" w:sz="4" w:space="0" w:color="auto"/>
              <w:right w:val="nil"/>
            </w:tcBorders>
            <w:shd w:val="clear" w:color="auto" w:fill="auto"/>
            <w:noWrap/>
            <w:vAlign w:val="center"/>
            <w:hideMark/>
          </w:tcPr>
          <w:p w:rsidR="00842EA7" w:rsidRPr="00D233B0" w:rsidRDefault="00842EA7" w:rsidP="009B641A">
            <w:pPr>
              <w:bidi w:val="0"/>
              <w:spacing w:after="0" w:line="240" w:lineRule="auto"/>
              <w:jc w:val="center"/>
              <w:rPr>
                <w:rFonts w:asciiTheme="majorBidi" w:eastAsia="Times New Roman" w:hAnsiTheme="majorBidi" w:cstheme="majorBidi"/>
                <w:b/>
                <w:bCs/>
                <w:color w:val="000000"/>
              </w:rPr>
            </w:pPr>
            <w:r w:rsidRPr="00D233B0">
              <w:rPr>
                <w:rFonts w:asciiTheme="majorBidi" w:eastAsia="Times New Roman" w:hAnsiTheme="majorBidi" w:cstheme="majorBidi"/>
                <w:b/>
                <w:bCs/>
                <w:color w:val="000000"/>
              </w:rPr>
              <w:t>No</w:t>
            </w:r>
          </w:p>
        </w:tc>
        <w:tc>
          <w:tcPr>
            <w:tcW w:w="785" w:type="dxa"/>
            <w:tcBorders>
              <w:top w:val="nil"/>
              <w:left w:val="nil"/>
              <w:bottom w:val="single" w:sz="4" w:space="0" w:color="auto"/>
              <w:right w:val="nil"/>
            </w:tcBorders>
            <w:shd w:val="clear" w:color="auto" w:fill="auto"/>
            <w:noWrap/>
            <w:vAlign w:val="center"/>
            <w:hideMark/>
          </w:tcPr>
          <w:p w:rsidR="00842EA7" w:rsidRPr="00D233B0" w:rsidRDefault="00842EA7" w:rsidP="009B641A">
            <w:pPr>
              <w:bidi w:val="0"/>
              <w:spacing w:after="0" w:line="240" w:lineRule="auto"/>
              <w:jc w:val="center"/>
              <w:rPr>
                <w:rFonts w:asciiTheme="majorBidi" w:eastAsia="Times New Roman" w:hAnsiTheme="majorBidi" w:cstheme="majorBidi"/>
                <w:b/>
                <w:bCs/>
                <w:color w:val="000000"/>
              </w:rPr>
            </w:pPr>
            <w:r w:rsidRPr="00D233B0">
              <w:rPr>
                <w:rFonts w:asciiTheme="majorBidi" w:eastAsia="Times New Roman" w:hAnsiTheme="majorBidi" w:cstheme="majorBidi"/>
                <w:b/>
                <w:bCs/>
                <w:color w:val="000000"/>
              </w:rPr>
              <w:t>%</w:t>
            </w:r>
          </w:p>
        </w:tc>
        <w:tc>
          <w:tcPr>
            <w:tcW w:w="960" w:type="dxa"/>
            <w:vMerge/>
            <w:tcBorders>
              <w:top w:val="single" w:sz="4" w:space="0" w:color="auto"/>
              <w:left w:val="nil"/>
              <w:bottom w:val="single" w:sz="4" w:space="0" w:color="000000"/>
              <w:right w:val="nil"/>
            </w:tcBorders>
            <w:vAlign w:val="center"/>
            <w:hideMark/>
          </w:tcPr>
          <w:p w:rsidR="00842EA7" w:rsidRPr="00D233B0" w:rsidRDefault="00842EA7" w:rsidP="009B641A">
            <w:pPr>
              <w:bidi w:val="0"/>
              <w:spacing w:after="0" w:line="240" w:lineRule="auto"/>
              <w:jc w:val="center"/>
              <w:rPr>
                <w:rFonts w:asciiTheme="majorBidi" w:eastAsia="Times New Roman" w:hAnsiTheme="majorBidi" w:cstheme="majorBidi"/>
              </w:rPr>
            </w:pPr>
          </w:p>
        </w:tc>
      </w:tr>
      <w:tr w:rsidR="00842EA7" w:rsidRPr="00D233B0" w:rsidTr="009B641A">
        <w:trPr>
          <w:trHeight w:val="751"/>
          <w:jc w:val="center"/>
        </w:trPr>
        <w:tc>
          <w:tcPr>
            <w:tcW w:w="3330" w:type="dxa"/>
            <w:tcBorders>
              <w:top w:val="nil"/>
              <w:left w:val="nil"/>
              <w:bottom w:val="nil"/>
              <w:right w:val="nil"/>
            </w:tcBorders>
            <w:shd w:val="clear" w:color="auto" w:fill="auto"/>
            <w:noWrap/>
            <w:vAlign w:val="center"/>
            <w:hideMark/>
          </w:tcPr>
          <w:p w:rsidR="00842EA7" w:rsidRPr="00D233B0" w:rsidRDefault="00842EA7" w:rsidP="009B641A">
            <w:pPr>
              <w:bidi w:val="0"/>
              <w:spacing w:after="0" w:line="240" w:lineRule="auto"/>
              <w:rPr>
                <w:rFonts w:asciiTheme="majorBidi" w:eastAsia="Times New Roman" w:hAnsiTheme="majorBidi" w:cstheme="majorBidi"/>
                <w:b/>
                <w:bCs/>
                <w:color w:val="000000"/>
              </w:rPr>
            </w:pPr>
            <w:r w:rsidRPr="00D233B0">
              <w:rPr>
                <w:rFonts w:asciiTheme="majorBidi" w:eastAsia="Times New Roman" w:hAnsiTheme="majorBidi" w:cstheme="majorBidi"/>
                <w:b/>
                <w:bCs/>
                <w:color w:val="000000"/>
              </w:rPr>
              <w:t>Non-responder</w:t>
            </w:r>
          </w:p>
        </w:tc>
        <w:tc>
          <w:tcPr>
            <w:tcW w:w="1530" w:type="dxa"/>
            <w:tcBorders>
              <w:top w:val="nil"/>
              <w:left w:val="nil"/>
              <w:bottom w:val="nil"/>
              <w:right w:val="nil"/>
            </w:tcBorders>
            <w:shd w:val="clear" w:color="auto" w:fill="auto"/>
            <w:noWrap/>
            <w:vAlign w:val="center"/>
            <w:hideMark/>
          </w:tcPr>
          <w:p w:rsidR="00842EA7" w:rsidRPr="00D233B0" w:rsidRDefault="00842EA7" w:rsidP="009B641A">
            <w:pPr>
              <w:bidi w:val="0"/>
              <w:spacing w:after="0" w:line="240" w:lineRule="auto"/>
              <w:jc w:val="center"/>
              <w:rPr>
                <w:rFonts w:asciiTheme="majorBidi" w:eastAsia="Times New Roman" w:hAnsiTheme="majorBidi" w:cstheme="majorBidi"/>
                <w:color w:val="000000"/>
              </w:rPr>
            </w:pPr>
            <w:r w:rsidRPr="00D233B0">
              <w:rPr>
                <w:rFonts w:asciiTheme="majorBidi" w:eastAsia="Times New Roman" w:hAnsiTheme="majorBidi" w:cstheme="majorBidi"/>
                <w:color w:val="000000"/>
              </w:rPr>
              <w:t>1</w:t>
            </w:r>
          </w:p>
        </w:tc>
        <w:tc>
          <w:tcPr>
            <w:tcW w:w="1350" w:type="dxa"/>
            <w:tcBorders>
              <w:top w:val="nil"/>
              <w:left w:val="nil"/>
              <w:bottom w:val="nil"/>
              <w:right w:val="nil"/>
            </w:tcBorders>
            <w:shd w:val="clear" w:color="auto" w:fill="auto"/>
            <w:noWrap/>
            <w:vAlign w:val="center"/>
            <w:hideMark/>
          </w:tcPr>
          <w:p w:rsidR="00842EA7" w:rsidRPr="00D233B0" w:rsidRDefault="00842EA7" w:rsidP="009B641A">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14.3</w:t>
            </w:r>
            <w:r w:rsidRPr="00D233B0">
              <w:rPr>
                <w:rFonts w:asciiTheme="majorBidi" w:eastAsia="Times New Roman" w:hAnsiTheme="majorBidi" w:cstheme="majorBidi"/>
                <w:color w:val="000000"/>
              </w:rPr>
              <w:t>%</w:t>
            </w:r>
          </w:p>
        </w:tc>
        <w:tc>
          <w:tcPr>
            <w:tcW w:w="1640" w:type="dxa"/>
            <w:tcBorders>
              <w:top w:val="nil"/>
              <w:left w:val="nil"/>
              <w:bottom w:val="nil"/>
              <w:right w:val="nil"/>
            </w:tcBorders>
            <w:shd w:val="clear" w:color="auto" w:fill="auto"/>
            <w:noWrap/>
            <w:vAlign w:val="center"/>
            <w:hideMark/>
          </w:tcPr>
          <w:p w:rsidR="00842EA7" w:rsidRPr="00D233B0" w:rsidRDefault="00842EA7" w:rsidP="009B641A">
            <w:pPr>
              <w:bidi w:val="0"/>
              <w:spacing w:after="0" w:line="240" w:lineRule="auto"/>
              <w:jc w:val="center"/>
              <w:rPr>
                <w:rFonts w:asciiTheme="majorBidi" w:eastAsia="Times New Roman" w:hAnsiTheme="majorBidi" w:cstheme="majorBidi"/>
                <w:color w:val="000000"/>
              </w:rPr>
            </w:pPr>
            <w:r w:rsidRPr="00D233B0">
              <w:rPr>
                <w:rFonts w:asciiTheme="majorBidi" w:eastAsia="Times New Roman" w:hAnsiTheme="majorBidi" w:cstheme="majorBidi"/>
                <w:color w:val="000000"/>
              </w:rPr>
              <w:t>1</w:t>
            </w:r>
          </w:p>
        </w:tc>
        <w:tc>
          <w:tcPr>
            <w:tcW w:w="785" w:type="dxa"/>
            <w:tcBorders>
              <w:top w:val="nil"/>
              <w:left w:val="nil"/>
              <w:bottom w:val="nil"/>
              <w:right w:val="nil"/>
            </w:tcBorders>
            <w:shd w:val="clear" w:color="auto" w:fill="auto"/>
            <w:noWrap/>
            <w:vAlign w:val="center"/>
            <w:hideMark/>
          </w:tcPr>
          <w:p w:rsidR="00842EA7" w:rsidRPr="00D233B0" w:rsidRDefault="00842EA7" w:rsidP="009B641A">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14.3</w:t>
            </w:r>
            <w:r w:rsidRPr="00D233B0">
              <w:rPr>
                <w:rFonts w:asciiTheme="majorBidi" w:eastAsia="Times New Roman" w:hAnsiTheme="majorBidi" w:cstheme="majorBidi"/>
                <w:color w:val="000000"/>
              </w:rPr>
              <w:t>%</w:t>
            </w:r>
          </w:p>
        </w:tc>
        <w:tc>
          <w:tcPr>
            <w:tcW w:w="960" w:type="dxa"/>
            <w:vMerge w:val="restart"/>
            <w:tcBorders>
              <w:top w:val="nil"/>
              <w:left w:val="nil"/>
              <w:bottom w:val="single" w:sz="4" w:space="0" w:color="000000"/>
              <w:right w:val="nil"/>
            </w:tcBorders>
            <w:shd w:val="clear" w:color="auto" w:fill="auto"/>
            <w:noWrap/>
            <w:vAlign w:val="center"/>
            <w:hideMark/>
          </w:tcPr>
          <w:p w:rsidR="00842EA7" w:rsidRPr="00D233B0" w:rsidRDefault="00842EA7" w:rsidP="009B641A">
            <w:pPr>
              <w:bidi w:val="0"/>
              <w:spacing w:after="0" w:line="240" w:lineRule="auto"/>
              <w:jc w:val="center"/>
              <w:rPr>
                <w:rFonts w:asciiTheme="majorBidi" w:eastAsia="Times New Roman" w:hAnsiTheme="majorBidi" w:cstheme="majorBidi"/>
              </w:rPr>
            </w:pPr>
            <w:r>
              <w:rPr>
                <w:rFonts w:asciiTheme="majorBidi" w:eastAsia="Times New Roman" w:hAnsiTheme="majorBidi" w:cstheme="majorBidi"/>
              </w:rPr>
              <w:t>.045*</w:t>
            </w:r>
          </w:p>
        </w:tc>
      </w:tr>
      <w:tr w:rsidR="00842EA7" w:rsidRPr="00D233B0" w:rsidTr="009B641A">
        <w:trPr>
          <w:trHeight w:val="751"/>
          <w:jc w:val="center"/>
        </w:trPr>
        <w:tc>
          <w:tcPr>
            <w:tcW w:w="3330" w:type="dxa"/>
            <w:tcBorders>
              <w:top w:val="nil"/>
              <w:left w:val="nil"/>
              <w:bottom w:val="single" w:sz="4" w:space="0" w:color="auto"/>
              <w:right w:val="nil"/>
            </w:tcBorders>
            <w:shd w:val="clear" w:color="auto" w:fill="auto"/>
            <w:noWrap/>
            <w:vAlign w:val="center"/>
            <w:hideMark/>
          </w:tcPr>
          <w:p w:rsidR="00842EA7" w:rsidRPr="00D233B0" w:rsidRDefault="00842EA7" w:rsidP="009B641A">
            <w:pPr>
              <w:bidi w:val="0"/>
              <w:spacing w:after="0" w:line="240" w:lineRule="auto"/>
              <w:rPr>
                <w:rFonts w:asciiTheme="majorBidi" w:eastAsia="Times New Roman" w:hAnsiTheme="majorBidi" w:cstheme="majorBidi"/>
                <w:b/>
                <w:bCs/>
                <w:color w:val="000000"/>
              </w:rPr>
            </w:pPr>
            <w:r w:rsidRPr="00D233B0">
              <w:rPr>
                <w:rFonts w:asciiTheme="majorBidi" w:eastAsia="Times New Roman" w:hAnsiTheme="majorBidi" w:cstheme="majorBidi"/>
                <w:b/>
                <w:bCs/>
                <w:color w:val="000000"/>
              </w:rPr>
              <w:t>Successful responder</w:t>
            </w:r>
          </w:p>
        </w:tc>
        <w:tc>
          <w:tcPr>
            <w:tcW w:w="1530" w:type="dxa"/>
            <w:tcBorders>
              <w:top w:val="nil"/>
              <w:left w:val="nil"/>
              <w:bottom w:val="single" w:sz="4" w:space="0" w:color="auto"/>
              <w:right w:val="nil"/>
            </w:tcBorders>
            <w:shd w:val="clear" w:color="auto" w:fill="auto"/>
            <w:noWrap/>
            <w:vAlign w:val="center"/>
            <w:hideMark/>
          </w:tcPr>
          <w:p w:rsidR="00842EA7" w:rsidRPr="00D233B0" w:rsidRDefault="00842EA7" w:rsidP="009B641A">
            <w:pPr>
              <w:bidi w:val="0"/>
              <w:spacing w:after="0" w:line="240" w:lineRule="auto"/>
              <w:jc w:val="center"/>
              <w:rPr>
                <w:rFonts w:asciiTheme="majorBidi" w:eastAsia="Times New Roman" w:hAnsiTheme="majorBidi" w:cstheme="majorBidi"/>
                <w:color w:val="000000"/>
              </w:rPr>
            </w:pPr>
            <w:r w:rsidRPr="00D233B0">
              <w:rPr>
                <w:rFonts w:asciiTheme="majorBidi" w:eastAsia="Times New Roman" w:hAnsiTheme="majorBidi" w:cstheme="majorBidi"/>
                <w:color w:val="000000"/>
              </w:rPr>
              <w:t>0</w:t>
            </w:r>
          </w:p>
        </w:tc>
        <w:tc>
          <w:tcPr>
            <w:tcW w:w="1350" w:type="dxa"/>
            <w:tcBorders>
              <w:top w:val="nil"/>
              <w:left w:val="nil"/>
              <w:bottom w:val="single" w:sz="4" w:space="0" w:color="auto"/>
              <w:right w:val="nil"/>
            </w:tcBorders>
            <w:shd w:val="clear" w:color="auto" w:fill="auto"/>
            <w:noWrap/>
            <w:vAlign w:val="center"/>
            <w:hideMark/>
          </w:tcPr>
          <w:p w:rsidR="00842EA7" w:rsidRPr="00D233B0" w:rsidRDefault="00842EA7" w:rsidP="009B641A">
            <w:pPr>
              <w:bidi w:val="0"/>
              <w:spacing w:after="0" w:line="240" w:lineRule="auto"/>
              <w:jc w:val="center"/>
              <w:rPr>
                <w:rFonts w:asciiTheme="majorBidi" w:eastAsia="Times New Roman" w:hAnsiTheme="majorBidi" w:cstheme="majorBidi"/>
                <w:color w:val="000000"/>
              </w:rPr>
            </w:pPr>
            <w:r w:rsidRPr="00D233B0">
              <w:rPr>
                <w:rFonts w:asciiTheme="majorBidi" w:eastAsia="Times New Roman" w:hAnsiTheme="majorBidi" w:cstheme="majorBidi"/>
                <w:color w:val="000000"/>
              </w:rPr>
              <w:t>0.0%</w:t>
            </w:r>
          </w:p>
        </w:tc>
        <w:tc>
          <w:tcPr>
            <w:tcW w:w="1640" w:type="dxa"/>
            <w:tcBorders>
              <w:top w:val="nil"/>
              <w:left w:val="nil"/>
              <w:bottom w:val="single" w:sz="4" w:space="0" w:color="auto"/>
              <w:right w:val="nil"/>
            </w:tcBorders>
            <w:shd w:val="clear" w:color="auto" w:fill="auto"/>
            <w:noWrap/>
            <w:vAlign w:val="center"/>
            <w:hideMark/>
          </w:tcPr>
          <w:p w:rsidR="00842EA7" w:rsidRPr="00D233B0" w:rsidRDefault="00842EA7" w:rsidP="009B641A">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5</w:t>
            </w:r>
          </w:p>
        </w:tc>
        <w:tc>
          <w:tcPr>
            <w:tcW w:w="785" w:type="dxa"/>
            <w:tcBorders>
              <w:top w:val="nil"/>
              <w:left w:val="nil"/>
              <w:bottom w:val="single" w:sz="4" w:space="0" w:color="auto"/>
              <w:right w:val="nil"/>
            </w:tcBorders>
            <w:shd w:val="clear" w:color="auto" w:fill="auto"/>
            <w:noWrap/>
            <w:vAlign w:val="center"/>
            <w:hideMark/>
          </w:tcPr>
          <w:p w:rsidR="00842EA7" w:rsidRPr="00D233B0" w:rsidRDefault="00842EA7" w:rsidP="009B641A">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71.4</w:t>
            </w:r>
            <w:r w:rsidRPr="00D233B0">
              <w:rPr>
                <w:rFonts w:asciiTheme="majorBidi" w:eastAsia="Times New Roman" w:hAnsiTheme="majorBidi" w:cstheme="majorBidi"/>
                <w:color w:val="000000"/>
              </w:rPr>
              <w:t>.0%</w:t>
            </w:r>
          </w:p>
        </w:tc>
        <w:tc>
          <w:tcPr>
            <w:tcW w:w="960" w:type="dxa"/>
            <w:vMerge/>
            <w:tcBorders>
              <w:top w:val="nil"/>
              <w:left w:val="nil"/>
              <w:bottom w:val="single" w:sz="4" w:space="0" w:color="000000"/>
              <w:right w:val="nil"/>
            </w:tcBorders>
            <w:vAlign w:val="center"/>
            <w:hideMark/>
          </w:tcPr>
          <w:p w:rsidR="00842EA7" w:rsidRPr="00D233B0" w:rsidRDefault="00842EA7" w:rsidP="009B641A">
            <w:pPr>
              <w:bidi w:val="0"/>
              <w:spacing w:after="0" w:line="240" w:lineRule="auto"/>
              <w:jc w:val="center"/>
              <w:rPr>
                <w:rFonts w:asciiTheme="majorBidi" w:eastAsia="Times New Roman" w:hAnsiTheme="majorBidi" w:cstheme="majorBidi"/>
              </w:rPr>
            </w:pPr>
          </w:p>
        </w:tc>
      </w:tr>
    </w:tbl>
    <w:p w:rsidR="00842EA7" w:rsidRPr="00D233B0" w:rsidRDefault="00842EA7" w:rsidP="00842EA7">
      <w:pPr>
        <w:bidi w:val="0"/>
        <w:rPr>
          <w:rFonts w:asciiTheme="majorBidi" w:hAnsiTheme="majorBidi" w:cstheme="majorBidi"/>
          <w:i/>
          <w:iCs/>
          <w:sz w:val="20"/>
          <w:szCs w:val="20"/>
        </w:rPr>
      </w:pPr>
      <w:r w:rsidRPr="00D233B0">
        <w:rPr>
          <w:rFonts w:asciiTheme="majorBidi" w:hAnsiTheme="majorBidi" w:cstheme="majorBidi"/>
          <w:i/>
          <w:iCs/>
          <w:sz w:val="20"/>
          <w:szCs w:val="20"/>
        </w:rPr>
        <w:t>P: Mc-Nemar test</w:t>
      </w:r>
      <w:r w:rsidRPr="00D233B0">
        <w:rPr>
          <w:rFonts w:asciiTheme="majorBidi" w:hAnsiTheme="majorBidi" w:cstheme="majorBidi"/>
          <w:i/>
          <w:iCs/>
          <w:sz w:val="20"/>
          <w:szCs w:val="20"/>
        </w:rPr>
        <w:tab/>
      </w:r>
    </w:p>
    <w:p w:rsidR="00842EA7" w:rsidRDefault="00842EA7" w:rsidP="00842EA7">
      <w:pPr>
        <w:bidi w:val="0"/>
        <w:rPr>
          <w:rFonts w:asciiTheme="majorBidi" w:hAnsiTheme="majorBidi" w:cstheme="majorBidi"/>
          <w:i/>
          <w:iCs/>
          <w:sz w:val="20"/>
          <w:szCs w:val="20"/>
        </w:rPr>
      </w:pPr>
      <w:r w:rsidRPr="00D233B0">
        <w:rPr>
          <w:rFonts w:asciiTheme="majorBidi" w:hAnsiTheme="majorBidi" w:cstheme="majorBidi"/>
          <w:i/>
          <w:iCs/>
          <w:sz w:val="20"/>
          <w:szCs w:val="20"/>
        </w:rPr>
        <w:t>* P &lt; 0.05 (significant)</w:t>
      </w:r>
    </w:p>
    <w:p w:rsidR="00842EA7" w:rsidRDefault="00842EA7" w:rsidP="00842EA7">
      <w:pPr>
        <w:bidi w:val="0"/>
        <w:rPr>
          <w:rFonts w:asciiTheme="majorBidi" w:hAnsiTheme="majorBidi" w:cstheme="majorBidi"/>
          <w:i/>
          <w:iCs/>
          <w:sz w:val="20"/>
          <w:szCs w:val="20"/>
        </w:rPr>
      </w:pPr>
    </w:p>
    <w:p w:rsidR="00842EA7" w:rsidRDefault="00842EA7" w:rsidP="00842EA7">
      <w:pPr>
        <w:bidi w:val="0"/>
        <w:rPr>
          <w:rFonts w:asciiTheme="majorBidi" w:hAnsiTheme="majorBidi" w:cstheme="majorBidi"/>
          <w:i/>
          <w:iCs/>
          <w:sz w:val="20"/>
          <w:szCs w:val="20"/>
        </w:rPr>
      </w:pPr>
    </w:p>
    <w:p w:rsidR="00842EA7" w:rsidRDefault="00842EA7" w:rsidP="00842EA7">
      <w:pPr>
        <w:bidi w:val="0"/>
        <w:rPr>
          <w:rFonts w:asciiTheme="majorBidi" w:hAnsiTheme="majorBidi" w:cstheme="majorBidi"/>
          <w:i/>
          <w:iCs/>
          <w:sz w:val="20"/>
          <w:szCs w:val="20"/>
        </w:rPr>
      </w:pPr>
    </w:p>
    <w:p w:rsidR="00842EA7" w:rsidRDefault="00842EA7" w:rsidP="00842EA7">
      <w:pPr>
        <w:bidi w:val="0"/>
        <w:rPr>
          <w:rFonts w:asciiTheme="majorBidi" w:hAnsiTheme="majorBidi" w:cstheme="majorBidi"/>
          <w:i/>
          <w:iCs/>
          <w:sz w:val="20"/>
          <w:szCs w:val="20"/>
        </w:rPr>
      </w:pPr>
    </w:p>
    <w:p w:rsidR="00842EA7" w:rsidRDefault="00842EA7" w:rsidP="00842EA7">
      <w:pPr>
        <w:bidi w:val="0"/>
        <w:rPr>
          <w:rFonts w:asciiTheme="majorBidi" w:hAnsiTheme="majorBidi" w:cstheme="majorBidi"/>
          <w:i/>
          <w:iCs/>
          <w:sz w:val="20"/>
          <w:szCs w:val="20"/>
        </w:rPr>
      </w:pPr>
    </w:p>
    <w:p w:rsidR="00842EA7" w:rsidRDefault="00842EA7" w:rsidP="00842EA7">
      <w:pPr>
        <w:bidi w:val="0"/>
        <w:rPr>
          <w:rFonts w:asciiTheme="majorBidi" w:hAnsiTheme="majorBidi" w:cstheme="majorBidi"/>
          <w:i/>
          <w:iCs/>
          <w:sz w:val="20"/>
          <w:szCs w:val="20"/>
        </w:rPr>
      </w:pPr>
    </w:p>
    <w:p w:rsidR="00842EA7" w:rsidRDefault="00842EA7" w:rsidP="00842EA7">
      <w:pPr>
        <w:bidi w:val="0"/>
        <w:rPr>
          <w:rFonts w:asciiTheme="majorBidi" w:hAnsiTheme="majorBidi" w:cstheme="majorBidi"/>
          <w:i/>
          <w:iCs/>
          <w:sz w:val="20"/>
          <w:szCs w:val="20"/>
        </w:rPr>
      </w:pPr>
    </w:p>
    <w:p w:rsidR="00842EA7" w:rsidRDefault="00842EA7" w:rsidP="00842EA7">
      <w:pPr>
        <w:bidi w:val="0"/>
        <w:rPr>
          <w:rFonts w:asciiTheme="majorBidi" w:hAnsiTheme="majorBidi" w:cstheme="majorBidi"/>
          <w:i/>
          <w:iCs/>
          <w:sz w:val="20"/>
          <w:szCs w:val="20"/>
        </w:rPr>
      </w:pPr>
    </w:p>
    <w:p w:rsidR="00842EA7" w:rsidRDefault="00842EA7" w:rsidP="00842EA7">
      <w:pPr>
        <w:bidi w:val="0"/>
        <w:rPr>
          <w:rFonts w:asciiTheme="majorBidi" w:hAnsiTheme="majorBidi" w:cstheme="majorBidi"/>
          <w:i/>
          <w:iCs/>
          <w:sz w:val="20"/>
          <w:szCs w:val="20"/>
        </w:rPr>
      </w:pPr>
    </w:p>
    <w:p w:rsidR="00842EA7" w:rsidRDefault="00842EA7" w:rsidP="00842EA7">
      <w:pPr>
        <w:bidi w:val="0"/>
        <w:rPr>
          <w:rFonts w:asciiTheme="majorBidi" w:hAnsiTheme="majorBidi" w:cstheme="majorBidi"/>
          <w:i/>
          <w:iCs/>
          <w:sz w:val="20"/>
          <w:szCs w:val="20"/>
        </w:rPr>
      </w:pPr>
    </w:p>
    <w:p w:rsidR="00842EA7" w:rsidRDefault="00842EA7" w:rsidP="00842EA7">
      <w:pPr>
        <w:bidi w:val="0"/>
        <w:rPr>
          <w:rFonts w:asciiTheme="majorBidi" w:hAnsiTheme="majorBidi" w:cstheme="majorBidi"/>
          <w:i/>
          <w:iCs/>
          <w:sz w:val="20"/>
          <w:szCs w:val="20"/>
        </w:rPr>
      </w:pPr>
    </w:p>
    <w:p w:rsidR="00842EA7" w:rsidRDefault="00842EA7" w:rsidP="00842EA7">
      <w:pPr>
        <w:bidi w:val="0"/>
        <w:rPr>
          <w:rFonts w:asciiTheme="majorBidi" w:hAnsiTheme="majorBidi" w:cstheme="majorBidi"/>
          <w:i/>
          <w:iCs/>
          <w:sz w:val="20"/>
          <w:szCs w:val="20"/>
        </w:rPr>
      </w:pPr>
    </w:p>
    <w:p w:rsidR="00842EA7" w:rsidRDefault="00842EA7" w:rsidP="00842EA7">
      <w:pPr>
        <w:bidi w:val="0"/>
        <w:rPr>
          <w:rFonts w:asciiTheme="majorBidi" w:hAnsiTheme="majorBidi" w:cstheme="majorBidi"/>
          <w:i/>
          <w:iCs/>
          <w:sz w:val="20"/>
          <w:szCs w:val="20"/>
        </w:rPr>
      </w:pPr>
    </w:p>
    <w:p w:rsidR="00842EA7" w:rsidRDefault="00842EA7" w:rsidP="00842EA7">
      <w:pPr>
        <w:bidi w:val="0"/>
        <w:rPr>
          <w:rFonts w:asciiTheme="majorBidi" w:hAnsiTheme="majorBidi" w:cstheme="majorBidi"/>
          <w:i/>
          <w:iCs/>
          <w:sz w:val="20"/>
          <w:szCs w:val="20"/>
        </w:rPr>
      </w:pPr>
    </w:p>
    <w:p w:rsidR="00842EA7" w:rsidRDefault="00842EA7" w:rsidP="00842EA7">
      <w:pPr>
        <w:bidi w:val="0"/>
        <w:rPr>
          <w:rFonts w:asciiTheme="majorBidi" w:hAnsiTheme="majorBidi" w:cstheme="majorBidi"/>
          <w:i/>
          <w:iCs/>
          <w:sz w:val="20"/>
          <w:szCs w:val="20"/>
        </w:rPr>
      </w:pPr>
    </w:p>
    <w:p w:rsidR="00842EA7" w:rsidRDefault="00842EA7" w:rsidP="00842EA7">
      <w:pPr>
        <w:bidi w:val="0"/>
        <w:rPr>
          <w:rFonts w:asciiTheme="majorBidi" w:hAnsiTheme="majorBidi" w:cstheme="majorBidi"/>
          <w:i/>
          <w:iCs/>
          <w:sz w:val="20"/>
          <w:szCs w:val="20"/>
        </w:rPr>
      </w:pPr>
    </w:p>
    <w:p w:rsidR="00842EA7" w:rsidRDefault="00842EA7" w:rsidP="00842EA7">
      <w:pPr>
        <w:bidi w:val="0"/>
        <w:rPr>
          <w:rFonts w:asciiTheme="majorBidi" w:hAnsiTheme="majorBidi" w:cstheme="majorBidi"/>
          <w:i/>
          <w:iCs/>
          <w:sz w:val="20"/>
          <w:szCs w:val="20"/>
        </w:rPr>
      </w:pPr>
    </w:p>
    <w:p w:rsidR="00842EA7" w:rsidRDefault="00842EA7" w:rsidP="00842EA7">
      <w:pPr>
        <w:bidi w:val="0"/>
        <w:rPr>
          <w:rFonts w:asciiTheme="majorBidi" w:hAnsiTheme="majorBidi" w:cstheme="majorBidi"/>
          <w:i/>
          <w:iCs/>
          <w:sz w:val="20"/>
          <w:szCs w:val="20"/>
        </w:rPr>
      </w:pPr>
    </w:p>
    <w:p w:rsidR="00842EA7" w:rsidRDefault="00842EA7" w:rsidP="00842EA7">
      <w:pPr>
        <w:bidi w:val="0"/>
        <w:jc w:val="center"/>
        <w:rPr>
          <w:rFonts w:asciiTheme="majorBidi" w:hAnsiTheme="majorBidi" w:cstheme="majorBidi"/>
          <w:i/>
          <w:iCs/>
          <w:sz w:val="20"/>
          <w:szCs w:val="20"/>
        </w:rPr>
      </w:pPr>
      <w:r w:rsidRPr="00806981">
        <w:rPr>
          <w:sz w:val="24"/>
          <w:szCs w:val="24"/>
        </w:rPr>
        <w:lastRenderedPageBreak/>
        <w:t>Table 5. factors associated with successful responses after ganglion impar block</w:t>
      </w:r>
      <w:r>
        <w:rPr>
          <w:sz w:val="24"/>
          <w:szCs w:val="24"/>
        </w:rPr>
        <w:t xml:space="preserve"> among patients </w:t>
      </w:r>
      <w:r w:rsidRPr="00CC3424">
        <w:rPr>
          <w:sz w:val="24"/>
          <w:szCs w:val="24"/>
        </w:rPr>
        <w:t>with chronic coccygodynia</w:t>
      </w:r>
    </w:p>
    <w:tbl>
      <w:tblPr>
        <w:tblW w:w="10099" w:type="dxa"/>
        <w:tblInd w:w="-485" w:type="dxa"/>
        <w:tblLook w:val="04A0" w:firstRow="1" w:lastRow="0" w:firstColumn="1" w:lastColumn="0" w:noHBand="0" w:noVBand="1"/>
      </w:tblPr>
      <w:tblGrid>
        <w:gridCol w:w="2274"/>
        <w:gridCol w:w="1936"/>
        <w:gridCol w:w="721"/>
        <w:gridCol w:w="1331"/>
        <w:gridCol w:w="967"/>
        <w:gridCol w:w="1783"/>
        <w:gridCol w:w="1087"/>
      </w:tblGrid>
      <w:tr w:rsidR="00842EA7" w:rsidRPr="00EA22D2" w:rsidTr="009B641A">
        <w:trPr>
          <w:trHeight w:val="292"/>
        </w:trPr>
        <w:tc>
          <w:tcPr>
            <w:tcW w:w="0" w:type="auto"/>
            <w:gridSpan w:val="2"/>
            <w:vMerge w:val="restart"/>
            <w:tcBorders>
              <w:top w:val="single" w:sz="4" w:space="0" w:color="auto"/>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r>
              <w:rPr>
                <w:rFonts w:asciiTheme="majorBidi" w:eastAsia="Times New Roman" w:hAnsiTheme="majorBidi" w:cstheme="majorBidi"/>
                <w:b/>
                <w:bCs/>
                <w:color w:val="000000"/>
              </w:rPr>
              <w:t>Factors</w:t>
            </w:r>
          </w:p>
        </w:tc>
        <w:tc>
          <w:tcPr>
            <w:tcW w:w="0" w:type="auto"/>
            <w:gridSpan w:val="4"/>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b/>
                <w:bCs/>
                <w:color w:val="000000"/>
              </w:rPr>
            </w:pPr>
            <w:r>
              <w:rPr>
                <w:rFonts w:asciiTheme="majorBidi" w:eastAsia="Times New Roman" w:hAnsiTheme="majorBidi" w:cstheme="majorBidi"/>
                <w:b/>
                <w:bCs/>
                <w:color w:val="000000"/>
              </w:rPr>
              <w:t>Response to GIB</w:t>
            </w:r>
          </w:p>
        </w:tc>
        <w:tc>
          <w:tcPr>
            <w:tcW w:w="1087" w:type="dxa"/>
            <w:vMerge w:val="restart"/>
            <w:tcBorders>
              <w:top w:val="single" w:sz="4" w:space="0" w:color="auto"/>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b/>
                <w:bCs/>
              </w:rPr>
            </w:pPr>
            <w:r w:rsidRPr="00EA22D2">
              <w:rPr>
                <w:rFonts w:asciiTheme="majorBidi" w:eastAsia="Times New Roman" w:hAnsiTheme="majorBidi" w:cstheme="majorBidi"/>
                <w:b/>
                <w:bCs/>
              </w:rPr>
              <w:t>p-value</w:t>
            </w:r>
            <w:r w:rsidRPr="005F321C">
              <w:rPr>
                <w:rFonts w:asciiTheme="majorBidi" w:eastAsia="Times New Roman" w:hAnsiTheme="majorBidi" w:cstheme="majorBidi"/>
                <w:b/>
                <w:bCs/>
                <w:vertAlign w:val="superscript"/>
              </w:rPr>
              <w:t>^</w:t>
            </w:r>
          </w:p>
        </w:tc>
      </w:tr>
      <w:tr w:rsidR="00842EA7" w:rsidRPr="00EA22D2" w:rsidTr="009B641A">
        <w:trPr>
          <w:trHeight w:val="292"/>
        </w:trPr>
        <w:tc>
          <w:tcPr>
            <w:tcW w:w="0" w:type="auto"/>
            <w:gridSpan w:val="2"/>
            <w:vMerge/>
            <w:tcBorders>
              <w:top w:val="single" w:sz="4" w:space="0" w:color="auto"/>
              <w:left w:val="nil"/>
              <w:bottom w:val="single" w:sz="4" w:space="0" w:color="000000"/>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p>
        </w:tc>
        <w:tc>
          <w:tcPr>
            <w:tcW w:w="0" w:type="auto"/>
            <w:gridSpan w:val="2"/>
            <w:tcBorders>
              <w:top w:val="single" w:sz="4" w:space="0" w:color="auto"/>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b/>
                <w:bCs/>
                <w:color w:val="000000"/>
              </w:rPr>
            </w:pPr>
            <w:r w:rsidRPr="00EA22D2">
              <w:rPr>
                <w:rFonts w:asciiTheme="majorBidi" w:eastAsia="Times New Roman" w:hAnsiTheme="majorBidi" w:cstheme="majorBidi"/>
                <w:b/>
                <w:bCs/>
                <w:color w:val="000000"/>
              </w:rPr>
              <w:t>Non-responder</w:t>
            </w:r>
          </w:p>
        </w:tc>
        <w:tc>
          <w:tcPr>
            <w:tcW w:w="0" w:type="auto"/>
            <w:gridSpan w:val="2"/>
            <w:tcBorders>
              <w:top w:val="single" w:sz="4" w:space="0" w:color="auto"/>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b/>
                <w:bCs/>
                <w:color w:val="000000"/>
              </w:rPr>
            </w:pPr>
            <w:bookmarkStart w:id="8" w:name="_Hlk149566959"/>
            <w:r w:rsidRPr="00EA22D2">
              <w:rPr>
                <w:rFonts w:asciiTheme="majorBidi" w:eastAsia="Times New Roman" w:hAnsiTheme="majorBidi" w:cstheme="majorBidi"/>
                <w:b/>
                <w:bCs/>
                <w:color w:val="000000"/>
              </w:rPr>
              <w:t>Successful responder</w:t>
            </w:r>
            <w:bookmarkEnd w:id="8"/>
          </w:p>
        </w:tc>
        <w:tc>
          <w:tcPr>
            <w:tcW w:w="1087" w:type="dxa"/>
            <w:vMerge/>
            <w:tcBorders>
              <w:top w:val="single" w:sz="4" w:space="0" w:color="auto"/>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r w:rsidR="00842EA7" w:rsidRPr="00EA22D2" w:rsidTr="009B641A">
        <w:trPr>
          <w:trHeight w:val="292"/>
        </w:trPr>
        <w:tc>
          <w:tcPr>
            <w:tcW w:w="0" w:type="auto"/>
            <w:gridSpan w:val="2"/>
            <w:vMerge/>
            <w:tcBorders>
              <w:top w:val="single" w:sz="4" w:space="0" w:color="auto"/>
              <w:left w:val="nil"/>
              <w:bottom w:val="single" w:sz="4" w:space="0" w:color="000000"/>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b/>
                <w:bCs/>
                <w:color w:val="000000"/>
              </w:rPr>
            </w:pPr>
            <w:r w:rsidRPr="00EA22D2">
              <w:rPr>
                <w:rFonts w:asciiTheme="majorBidi" w:eastAsia="Times New Roman" w:hAnsiTheme="majorBidi" w:cstheme="majorBidi"/>
                <w:b/>
                <w:bCs/>
                <w:color w:val="000000"/>
              </w:rPr>
              <w:t>No</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b/>
                <w:bCs/>
                <w:color w:val="000000"/>
              </w:rPr>
            </w:pPr>
            <w:r w:rsidRPr="00EA22D2">
              <w:rPr>
                <w:rFonts w:asciiTheme="majorBidi" w:eastAsia="Times New Roman" w:hAnsiTheme="majorBidi" w:cstheme="majorBidi"/>
                <w:b/>
                <w:bCs/>
                <w:color w:val="000000"/>
              </w:rPr>
              <w:t>%</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b/>
                <w:bCs/>
                <w:color w:val="000000"/>
              </w:rPr>
            </w:pPr>
            <w:r w:rsidRPr="00EA22D2">
              <w:rPr>
                <w:rFonts w:asciiTheme="majorBidi" w:eastAsia="Times New Roman" w:hAnsiTheme="majorBidi" w:cstheme="majorBidi"/>
                <w:b/>
                <w:bCs/>
                <w:color w:val="000000"/>
              </w:rPr>
              <w:t>No</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b/>
                <w:bCs/>
                <w:color w:val="000000"/>
              </w:rPr>
            </w:pPr>
            <w:r w:rsidRPr="00EA22D2">
              <w:rPr>
                <w:rFonts w:asciiTheme="majorBidi" w:eastAsia="Times New Roman" w:hAnsiTheme="majorBidi" w:cstheme="majorBidi"/>
                <w:b/>
                <w:bCs/>
                <w:color w:val="000000"/>
              </w:rPr>
              <w:t>%</w:t>
            </w:r>
          </w:p>
        </w:tc>
        <w:tc>
          <w:tcPr>
            <w:tcW w:w="1087" w:type="dxa"/>
            <w:vMerge/>
            <w:tcBorders>
              <w:top w:val="single" w:sz="4" w:space="0" w:color="auto"/>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r w:rsidR="00842EA7" w:rsidRPr="00EA22D2" w:rsidTr="009B641A">
        <w:trPr>
          <w:trHeight w:val="292"/>
        </w:trPr>
        <w:tc>
          <w:tcPr>
            <w:tcW w:w="0" w:type="auto"/>
            <w:vMerge w:val="restart"/>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r w:rsidRPr="00EA22D2">
              <w:rPr>
                <w:rFonts w:asciiTheme="majorBidi" w:eastAsia="Times New Roman" w:hAnsiTheme="majorBidi" w:cstheme="majorBidi"/>
                <w:b/>
                <w:bCs/>
                <w:color w:val="000000"/>
              </w:rPr>
              <w:t>Age in years</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&lt; 40</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4</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33.3%</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8</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66.7%</w:t>
            </w:r>
          </w:p>
        </w:tc>
        <w:tc>
          <w:tcPr>
            <w:tcW w:w="1087" w:type="dxa"/>
            <w:vMerge w:val="restart"/>
            <w:tcBorders>
              <w:top w:val="nil"/>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r>
              <w:rPr>
                <w:rFonts w:asciiTheme="majorBidi" w:eastAsia="Times New Roman" w:hAnsiTheme="majorBidi" w:cstheme="majorBidi"/>
              </w:rPr>
              <w:t>.629</w:t>
            </w:r>
          </w:p>
        </w:tc>
      </w:tr>
      <w:tr w:rsidR="00842EA7" w:rsidRPr="00EA22D2" w:rsidTr="009B641A">
        <w:trPr>
          <w:trHeight w:val="292"/>
        </w:trPr>
        <w:tc>
          <w:tcPr>
            <w:tcW w:w="0" w:type="auto"/>
            <w:vMerge/>
            <w:tcBorders>
              <w:top w:val="nil"/>
              <w:left w:val="nil"/>
              <w:bottom w:val="nil"/>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&gt; 40</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4</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25.0%</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12</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75.0%</w:t>
            </w:r>
          </w:p>
        </w:tc>
        <w:tc>
          <w:tcPr>
            <w:tcW w:w="1087" w:type="dxa"/>
            <w:vMerge/>
            <w:tcBorders>
              <w:top w:val="nil"/>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r w:rsidR="00842EA7" w:rsidRPr="00EA22D2" w:rsidTr="009B641A">
        <w:trPr>
          <w:trHeight w:val="292"/>
        </w:trPr>
        <w:tc>
          <w:tcPr>
            <w:tcW w:w="0" w:type="auto"/>
            <w:vMerge w:val="restart"/>
            <w:tcBorders>
              <w:top w:val="single" w:sz="4" w:space="0" w:color="auto"/>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r w:rsidRPr="00EA22D2">
              <w:rPr>
                <w:rFonts w:asciiTheme="majorBidi" w:eastAsia="Times New Roman" w:hAnsiTheme="majorBidi" w:cstheme="majorBidi"/>
                <w:b/>
                <w:bCs/>
                <w:color w:val="000000"/>
              </w:rPr>
              <w:t>Gender</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Male</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3</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33.3%</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6</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66.7%</w:t>
            </w:r>
          </w:p>
        </w:tc>
        <w:tc>
          <w:tcPr>
            <w:tcW w:w="1087" w:type="dxa"/>
            <w:vMerge w:val="restart"/>
            <w:tcBorders>
              <w:top w:val="nil"/>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r>
              <w:rPr>
                <w:rFonts w:asciiTheme="majorBidi" w:eastAsia="Times New Roman" w:hAnsiTheme="majorBidi" w:cstheme="majorBidi"/>
              </w:rPr>
              <w:t>.701</w:t>
            </w:r>
          </w:p>
        </w:tc>
      </w:tr>
      <w:tr w:rsidR="00842EA7" w:rsidRPr="00EA22D2" w:rsidTr="009B641A">
        <w:trPr>
          <w:trHeight w:val="292"/>
        </w:trPr>
        <w:tc>
          <w:tcPr>
            <w:tcW w:w="0" w:type="auto"/>
            <w:vMerge/>
            <w:tcBorders>
              <w:top w:val="single" w:sz="4" w:space="0" w:color="auto"/>
              <w:left w:val="nil"/>
              <w:bottom w:val="single" w:sz="4" w:space="0" w:color="000000"/>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Female</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5</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26.3%</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14</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73.7%</w:t>
            </w:r>
          </w:p>
        </w:tc>
        <w:tc>
          <w:tcPr>
            <w:tcW w:w="1087" w:type="dxa"/>
            <w:vMerge/>
            <w:tcBorders>
              <w:top w:val="nil"/>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r w:rsidR="00842EA7" w:rsidRPr="00EA22D2" w:rsidTr="009B641A">
        <w:trPr>
          <w:trHeight w:val="292"/>
        </w:trPr>
        <w:tc>
          <w:tcPr>
            <w:tcW w:w="0" w:type="auto"/>
            <w:vMerge w:val="restart"/>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r w:rsidRPr="00EA22D2">
              <w:rPr>
                <w:rFonts w:asciiTheme="majorBidi" w:eastAsia="Times New Roman" w:hAnsiTheme="majorBidi" w:cstheme="majorBidi"/>
                <w:b/>
                <w:bCs/>
                <w:color w:val="000000"/>
              </w:rPr>
              <w:t>Body mass index</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Normal weight</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100.0%</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0</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0.0%</w:t>
            </w:r>
          </w:p>
        </w:tc>
        <w:tc>
          <w:tcPr>
            <w:tcW w:w="1087" w:type="dxa"/>
            <w:vMerge w:val="restart"/>
            <w:tcBorders>
              <w:top w:val="nil"/>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r>
              <w:rPr>
                <w:rFonts w:asciiTheme="majorBidi" w:eastAsia="Times New Roman" w:hAnsiTheme="majorBidi" w:cstheme="majorBidi"/>
              </w:rPr>
              <w:t>.034*</w:t>
            </w:r>
          </w:p>
        </w:tc>
      </w:tr>
      <w:tr w:rsidR="00842EA7" w:rsidRPr="00EA22D2" w:rsidTr="009B641A">
        <w:trPr>
          <w:trHeight w:val="292"/>
        </w:trPr>
        <w:tc>
          <w:tcPr>
            <w:tcW w:w="0" w:type="auto"/>
            <w:vMerge/>
            <w:tcBorders>
              <w:top w:val="nil"/>
              <w:left w:val="nil"/>
              <w:bottom w:val="nil"/>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Overweight</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10.0%</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9</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90.0%</w:t>
            </w:r>
          </w:p>
        </w:tc>
        <w:tc>
          <w:tcPr>
            <w:tcW w:w="1087" w:type="dxa"/>
            <w:vMerge/>
            <w:tcBorders>
              <w:top w:val="nil"/>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r w:rsidR="00842EA7" w:rsidRPr="00EA22D2" w:rsidTr="009B641A">
        <w:trPr>
          <w:trHeight w:val="292"/>
        </w:trPr>
        <w:tc>
          <w:tcPr>
            <w:tcW w:w="0" w:type="auto"/>
            <w:vMerge/>
            <w:tcBorders>
              <w:top w:val="nil"/>
              <w:left w:val="nil"/>
              <w:bottom w:val="nil"/>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Obese</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5</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31.3%</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11</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68.8%</w:t>
            </w:r>
          </w:p>
        </w:tc>
        <w:tc>
          <w:tcPr>
            <w:tcW w:w="1087" w:type="dxa"/>
            <w:vMerge/>
            <w:tcBorders>
              <w:top w:val="nil"/>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r w:rsidR="00842EA7" w:rsidRPr="00EA22D2" w:rsidTr="009B641A">
        <w:trPr>
          <w:trHeight w:val="292"/>
        </w:trPr>
        <w:tc>
          <w:tcPr>
            <w:tcW w:w="0" w:type="auto"/>
            <w:vMerge w:val="restart"/>
            <w:tcBorders>
              <w:top w:val="single" w:sz="4" w:space="0" w:color="auto"/>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r w:rsidRPr="00EA22D2">
              <w:rPr>
                <w:rFonts w:asciiTheme="majorBidi" w:eastAsia="Times New Roman" w:hAnsiTheme="majorBidi" w:cstheme="majorBidi"/>
                <w:b/>
                <w:bCs/>
                <w:color w:val="000000"/>
              </w:rPr>
              <w:t>DM</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Yes</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4</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44.4%</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5</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55.6%</w:t>
            </w:r>
          </w:p>
        </w:tc>
        <w:tc>
          <w:tcPr>
            <w:tcW w:w="1087" w:type="dxa"/>
            <w:vMerge w:val="restart"/>
            <w:tcBorders>
              <w:top w:val="nil"/>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r>
              <w:rPr>
                <w:rFonts w:asciiTheme="majorBidi" w:eastAsia="Times New Roman" w:hAnsiTheme="majorBidi" w:cstheme="majorBidi"/>
              </w:rPr>
              <w:t>.049*</w:t>
            </w:r>
          </w:p>
        </w:tc>
      </w:tr>
      <w:tr w:rsidR="00842EA7" w:rsidRPr="00EA22D2" w:rsidTr="009B641A">
        <w:trPr>
          <w:trHeight w:val="292"/>
        </w:trPr>
        <w:tc>
          <w:tcPr>
            <w:tcW w:w="0" w:type="auto"/>
            <w:vMerge/>
            <w:tcBorders>
              <w:top w:val="single" w:sz="4" w:space="0" w:color="auto"/>
              <w:left w:val="nil"/>
              <w:bottom w:val="single" w:sz="4" w:space="0" w:color="000000"/>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No</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4</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21.1%</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15</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78.9%</w:t>
            </w:r>
          </w:p>
        </w:tc>
        <w:tc>
          <w:tcPr>
            <w:tcW w:w="1087" w:type="dxa"/>
            <w:vMerge/>
            <w:tcBorders>
              <w:top w:val="nil"/>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r w:rsidR="00842EA7" w:rsidRPr="00EA22D2" w:rsidTr="009B641A">
        <w:trPr>
          <w:trHeight w:val="292"/>
        </w:trPr>
        <w:tc>
          <w:tcPr>
            <w:tcW w:w="0" w:type="auto"/>
            <w:vMerge w:val="restart"/>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r w:rsidRPr="00EA22D2">
              <w:rPr>
                <w:rFonts w:asciiTheme="majorBidi" w:eastAsia="Times New Roman" w:hAnsiTheme="majorBidi" w:cstheme="majorBidi"/>
                <w:b/>
                <w:bCs/>
                <w:color w:val="000000"/>
              </w:rPr>
              <w:t>HTN</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Yes</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33.3%</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4</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66.7%</w:t>
            </w:r>
          </w:p>
        </w:tc>
        <w:tc>
          <w:tcPr>
            <w:tcW w:w="1087" w:type="dxa"/>
            <w:vMerge w:val="restart"/>
            <w:tcBorders>
              <w:top w:val="nil"/>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r>
              <w:rPr>
                <w:rFonts w:asciiTheme="majorBidi" w:eastAsia="Times New Roman" w:hAnsiTheme="majorBidi" w:cstheme="majorBidi"/>
              </w:rPr>
              <w:t>.771</w:t>
            </w:r>
          </w:p>
        </w:tc>
      </w:tr>
      <w:tr w:rsidR="00842EA7" w:rsidRPr="00EA22D2" w:rsidTr="009B641A">
        <w:trPr>
          <w:trHeight w:val="292"/>
        </w:trPr>
        <w:tc>
          <w:tcPr>
            <w:tcW w:w="0" w:type="auto"/>
            <w:vMerge/>
            <w:tcBorders>
              <w:top w:val="nil"/>
              <w:left w:val="nil"/>
              <w:bottom w:val="nil"/>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No</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6</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27.3%</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16</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72.7%</w:t>
            </w:r>
          </w:p>
        </w:tc>
        <w:tc>
          <w:tcPr>
            <w:tcW w:w="1087" w:type="dxa"/>
            <w:vMerge/>
            <w:tcBorders>
              <w:top w:val="nil"/>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r w:rsidR="00842EA7" w:rsidRPr="00EA22D2" w:rsidTr="009B641A">
        <w:trPr>
          <w:trHeight w:val="292"/>
        </w:trPr>
        <w:tc>
          <w:tcPr>
            <w:tcW w:w="0" w:type="auto"/>
            <w:vMerge w:val="restart"/>
            <w:tcBorders>
              <w:top w:val="single" w:sz="4" w:space="0" w:color="auto"/>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r w:rsidRPr="00EA22D2">
              <w:rPr>
                <w:rFonts w:asciiTheme="majorBidi" w:eastAsia="Times New Roman" w:hAnsiTheme="majorBidi" w:cstheme="majorBidi"/>
                <w:b/>
                <w:bCs/>
                <w:color w:val="000000"/>
              </w:rPr>
              <w:t>Dyslipidemia</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Yes</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28.6%</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5</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71.4%</w:t>
            </w:r>
          </w:p>
        </w:tc>
        <w:tc>
          <w:tcPr>
            <w:tcW w:w="1087" w:type="dxa"/>
            <w:vMerge w:val="restart"/>
            <w:tcBorders>
              <w:top w:val="nil"/>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r>
              <w:rPr>
                <w:rFonts w:asciiTheme="majorBidi" w:eastAsia="Times New Roman" w:hAnsiTheme="majorBidi" w:cstheme="majorBidi"/>
              </w:rPr>
              <w:t>.999</w:t>
            </w:r>
          </w:p>
        </w:tc>
      </w:tr>
      <w:tr w:rsidR="00842EA7" w:rsidRPr="00EA22D2" w:rsidTr="009B641A">
        <w:trPr>
          <w:trHeight w:val="292"/>
        </w:trPr>
        <w:tc>
          <w:tcPr>
            <w:tcW w:w="0" w:type="auto"/>
            <w:vMerge/>
            <w:tcBorders>
              <w:top w:val="single" w:sz="4" w:space="0" w:color="auto"/>
              <w:left w:val="nil"/>
              <w:bottom w:val="single" w:sz="4" w:space="0" w:color="000000"/>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No</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6</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28.6%</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15</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71.4%</w:t>
            </w:r>
          </w:p>
        </w:tc>
        <w:tc>
          <w:tcPr>
            <w:tcW w:w="1087" w:type="dxa"/>
            <w:vMerge/>
            <w:tcBorders>
              <w:top w:val="nil"/>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r w:rsidR="00842EA7" w:rsidRPr="00EA22D2" w:rsidTr="009B641A">
        <w:trPr>
          <w:trHeight w:val="292"/>
        </w:trPr>
        <w:tc>
          <w:tcPr>
            <w:tcW w:w="0" w:type="auto"/>
            <w:vMerge w:val="restart"/>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r w:rsidRPr="00EA22D2">
              <w:rPr>
                <w:rFonts w:asciiTheme="majorBidi" w:eastAsia="Times New Roman" w:hAnsiTheme="majorBidi" w:cstheme="majorBidi"/>
                <w:b/>
                <w:bCs/>
                <w:color w:val="000000"/>
              </w:rPr>
              <w:t>Depression</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Yes</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50.0%</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50.0%</w:t>
            </w:r>
          </w:p>
        </w:tc>
        <w:tc>
          <w:tcPr>
            <w:tcW w:w="1087" w:type="dxa"/>
            <w:vMerge w:val="restart"/>
            <w:tcBorders>
              <w:top w:val="nil"/>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r>
              <w:rPr>
                <w:rFonts w:asciiTheme="majorBidi" w:eastAsia="Times New Roman" w:hAnsiTheme="majorBidi" w:cstheme="majorBidi"/>
              </w:rPr>
              <w:t>.486</w:t>
            </w:r>
          </w:p>
        </w:tc>
      </w:tr>
      <w:tr w:rsidR="00842EA7" w:rsidRPr="00EA22D2" w:rsidTr="009B641A">
        <w:trPr>
          <w:trHeight w:val="292"/>
        </w:trPr>
        <w:tc>
          <w:tcPr>
            <w:tcW w:w="0" w:type="auto"/>
            <w:vMerge/>
            <w:tcBorders>
              <w:top w:val="nil"/>
              <w:left w:val="nil"/>
              <w:bottom w:val="nil"/>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No</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7</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26.9%</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19</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73.1%</w:t>
            </w:r>
          </w:p>
        </w:tc>
        <w:tc>
          <w:tcPr>
            <w:tcW w:w="1087" w:type="dxa"/>
            <w:vMerge/>
            <w:tcBorders>
              <w:top w:val="nil"/>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r w:rsidR="00842EA7" w:rsidRPr="00EA22D2" w:rsidTr="009B641A">
        <w:trPr>
          <w:trHeight w:val="292"/>
        </w:trPr>
        <w:tc>
          <w:tcPr>
            <w:tcW w:w="0" w:type="auto"/>
            <w:vMerge w:val="restart"/>
            <w:tcBorders>
              <w:top w:val="single" w:sz="4" w:space="0" w:color="auto"/>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r w:rsidRPr="00EA22D2">
              <w:rPr>
                <w:rFonts w:asciiTheme="majorBidi" w:eastAsia="Times New Roman" w:hAnsiTheme="majorBidi" w:cstheme="majorBidi"/>
                <w:b/>
                <w:bCs/>
                <w:color w:val="000000"/>
              </w:rPr>
              <w:t>Hypothyroidism</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Yes</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0</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0.0%</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4</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100.0%</w:t>
            </w:r>
          </w:p>
        </w:tc>
        <w:tc>
          <w:tcPr>
            <w:tcW w:w="1087" w:type="dxa"/>
            <w:vMerge w:val="restart"/>
            <w:tcBorders>
              <w:top w:val="nil"/>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r>
              <w:rPr>
                <w:rFonts w:asciiTheme="majorBidi" w:eastAsia="Times New Roman" w:hAnsiTheme="majorBidi" w:cstheme="majorBidi"/>
              </w:rPr>
              <w:t>.172</w:t>
            </w:r>
          </w:p>
        </w:tc>
      </w:tr>
      <w:tr w:rsidR="00842EA7" w:rsidRPr="00EA22D2" w:rsidTr="009B641A">
        <w:trPr>
          <w:trHeight w:val="292"/>
        </w:trPr>
        <w:tc>
          <w:tcPr>
            <w:tcW w:w="0" w:type="auto"/>
            <w:vMerge/>
            <w:tcBorders>
              <w:top w:val="single" w:sz="4" w:space="0" w:color="auto"/>
              <w:left w:val="nil"/>
              <w:bottom w:val="single" w:sz="4" w:space="0" w:color="000000"/>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No</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8</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33.3%</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16</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66.7%</w:t>
            </w:r>
          </w:p>
        </w:tc>
        <w:tc>
          <w:tcPr>
            <w:tcW w:w="1087" w:type="dxa"/>
            <w:vMerge/>
            <w:tcBorders>
              <w:top w:val="nil"/>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r w:rsidR="00842EA7" w:rsidRPr="00EA22D2" w:rsidTr="009B641A">
        <w:trPr>
          <w:trHeight w:val="292"/>
        </w:trPr>
        <w:tc>
          <w:tcPr>
            <w:tcW w:w="0" w:type="auto"/>
            <w:vMerge w:val="restart"/>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r w:rsidRPr="00EA22D2">
              <w:rPr>
                <w:rFonts w:asciiTheme="majorBidi" w:eastAsia="Times New Roman" w:hAnsiTheme="majorBidi" w:cstheme="majorBidi"/>
                <w:b/>
                <w:bCs/>
                <w:color w:val="000000"/>
              </w:rPr>
              <w:t>Sleep apnea</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Yes</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33.3%</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66.7%</w:t>
            </w:r>
          </w:p>
        </w:tc>
        <w:tc>
          <w:tcPr>
            <w:tcW w:w="1087" w:type="dxa"/>
            <w:vMerge w:val="restart"/>
            <w:tcBorders>
              <w:top w:val="nil"/>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r>
              <w:rPr>
                <w:rFonts w:asciiTheme="majorBidi" w:eastAsia="Times New Roman" w:hAnsiTheme="majorBidi" w:cstheme="majorBidi"/>
              </w:rPr>
              <w:t>.847</w:t>
            </w:r>
          </w:p>
        </w:tc>
      </w:tr>
      <w:tr w:rsidR="00842EA7" w:rsidRPr="00EA22D2" w:rsidTr="009B641A">
        <w:trPr>
          <w:trHeight w:val="292"/>
        </w:trPr>
        <w:tc>
          <w:tcPr>
            <w:tcW w:w="0" w:type="auto"/>
            <w:vMerge/>
            <w:tcBorders>
              <w:top w:val="nil"/>
              <w:left w:val="nil"/>
              <w:bottom w:val="nil"/>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No</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7</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28.0%</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18</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72.0%</w:t>
            </w:r>
          </w:p>
        </w:tc>
        <w:tc>
          <w:tcPr>
            <w:tcW w:w="1087" w:type="dxa"/>
            <w:vMerge/>
            <w:tcBorders>
              <w:top w:val="nil"/>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r w:rsidR="00842EA7" w:rsidRPr="00EA22D2" w:rsidTr="009B641A">
        <w:trPr>
          <w:trHeight w:val="292"/>
        </w:trPr>
        <w:tc>
          <w:tcPr>
            <w:tcW w:w="0" w:type="auto"/>
            <w:vMerge w:val="restart"/>
            <w:tcBorders>
              <w:top w:val="single" w:sz="4" w:space="0" w:color="auto"/>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r w:rsidRPr="00EA22D2">
              <w:rPr>
                <w:rFonts w:asciiTheme="majorBidi" w:eastAsia="Times New Roman" w:hAnsiTheme="majorBidi" w:cstheme="majorBidi"/>
                <w:b/>
                <w:bCs/>
                <w:color w:val="000000"/>
              </w:rPr>
              <w:t>CVS disease</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Yes</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0</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0.0%</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100.0%</w:t>
            </w:r>
          </w:p>
        </w:tc>
        <w:tc>
          <w:tcPr>
            <w:tcW w:w="1087" w:type="dxa"/>
            <w:vMerge w:val="restart"/>
            <w:tcBorders>
              <w:top w:val="nil"/>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r>
              <w:rPr>
                <w:rFonts w:asciiTheme="majorBidi" w:eastAsia="Times New Roman" w:hAnsiTheme="majorBidi" w:cstheme="majorBidi"/>
              </w:rPr>
              <w:t>.353</w:t>
            </w:r>
          </w:p>
        </w:tc>
      </w:tr>
      <w:tr w:rsidR="00842EA7" w:rsidRPr="00EA22D2" w:rsidTr="009B641A">
        <w:trPr>
          <w:trHeight w:val="292"/>
        </w:trPr>
        <w:tc>
          <w:tcPr>
            <w:tcW w:w="0" w:type="auto"/>
            <w:vMerge/>
            <w:tcBorders>
              <w:top w:val="single" w:sz="4" w:space="0" w:color="auto"/>
              <w:left w:val="nil"/>
              <w:bottom w:val="single" w:sz="4" w:space="0" w:color="000000"/>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No</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8</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30.8%</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18</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69.2%</w:t>
            </w:r>
          </w:p>
        </w:tc>
        <w:tc>
          <w:tcPr>
            <w:tcW w:w="1087" w:type="dxa"/>
            <w:vMerge/>
            <w:tcBorders>
              <w:top w:val="nil"/>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r w:rsidR="00842EA7" w:rsidRPr="00EA22D2" w:rsidTr="009B641A">
        <w:trPr>
          <w:trHeight w:val="292"/>
        </w:trPr>
        <w:tc>
          <w:tcPr>
            <w:tcW w:w="0" w:type="auto"/>
            <w:vMerge w:val="restart"/>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r w:rsidRPr="00EA22D2">
              <w:rPr>
                <w:rFonts w:asciiTheme="majorBidi" w:eastAsia="Times New Roman" w:hAnsiTheme="majorBidi" w:cstheme="majorBidi"/>
                <w:b/>
                <w:bCs/>
                <w:color w:val="000000"/>
              </w:rPr>
              <w:t>Neoplasm</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Yes</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0</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0.0%</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100.0%</w:t>
            </w:r>
          </w:p>
        </w:tc>
        <w:tc>
          <w:tcPr>
            <w:tcW w:w="1087" w:type="dxa"/>
            <w:vMerge w:val="restart"/>
            <w:tcBorders>
              <w:top w:val="nil"/>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r>
              <w:rPr>
                <w:rFonts w:asciiTheme="majorBidi" w:eastAsia="Times New Roman" w:hAnsiTheme="majorBidi" w:cstheme="majorBidi"/>
              </w:rPr>
              <w:t>.353</w:t>
            </w:r>
          </w:p>
        </w:tc>
      </w:tr>
      <w:tr w:rsidR="00842EA7" w:rsidRPr="00EA22D2" w:rsidTr="009B641A">
        <w:trPr>
          <w:trHeight w:val="292"/>
        </w:trPr>
        <w:tc>
          <w:tcPr>
            <w:tcW w:w="0" w:type="auto"/>
            <w:vMerge/>
            <w:tcBorders>
              <w:top w:val="nil"/>
              <w:left w:val="nil"/>
              <w:bottom w:val="nil"/>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No</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8</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30.8%</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18</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69.2%</w:t>
            </w:r>
          </w:p>
        </w:tc>
        <w:tc>
          <w:tcPr>
            <w:tcW w:w="1087" w:type="dxa"/>
            <w:vMerge/>
            <w:tcBorders>
              <w:top w:val="nil"/>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r w:rsidR="00842EA7" w:rsidRPr="00EA22D2" w:rsidTr="009B641A">
        <w:trPr>
          <w:trHeight w:val="292"/>
        </w:trPr>
        <w:tc>
          <w:tcPr>
            <w:tcW w:w="0" w:type="auto"/>
            <w:vMerge w:val="restart"/>
            <w:tcBorders>
              <w:top w:val="single" w:sz="4" w:space="0" w:color="auto"/>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r w:rsidRPr="00EA22D2">
              <w:rPr>
                <w:rFonts w:asciiTheme="majorBidi" w:eastAsia="Times New Roman" w:hAnsiTheme="majorBidi" w:cstheme="majorBidi"/>
                <w:b/>
                <w:bCs/>
                <w:color w:val="000000"/>
              </w:rPr>
              <w:t>Trauma</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Yes</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40.0%</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3</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60.0%</w:t>
            </w:r>
          </w:p>
        </w:tc>
        <w:tc>
          <w:tcPr>
            <w:tcW w:w="1087" w:type="dxa"/>
            <w:vMerge w:val="restart"/>
            <w:tcBorders>
              <w:top w:val="nil"/>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r>
              <w:rPr>
                <w:rFonts w:asciiTheme="majorBidi" w:eastAsia="Times New Roman" w:hAnsiTheme="majorBidi" w:cstheme="majorBidi"/>
              </w:rPr>
              <w:t>.533</w:t>
            </w:r>
          </w:p>
        </w:tc>
      </w:tr>
      <w:tr w:rsidR="00842EA7" w:rsidRPr="00EA22D2" w:rsidTr="009B641A">
        <w:trPr>
          <w:trHeight w:val="292"/>
        </w:trPr>
        <w:tc>
          <w:tcPr>
            <w:tcW w:w="0" w:type="auto"/>
            <w:vMerge/>
            <w:tcBorders>
              <w:top w:val="single" w:sz="4" w:space="0" w:color="auto"/>
              <w:left w:val="nil"/>
              <w:bottom w:val="single" w:sz="4" w:space="0" w:color="000000"/>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No</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6</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26.1%</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17</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73.9%</w:t>
            </w:r>
          </w:p>
        </w:tc>
        <w:tc>
          <w:tcPr>
            <w:tcW w:w="1087" w:type="dxa"/>
            <w:vMerge/>
            <w:tcBorders>
              <w:top w:val="nil"/>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r w:rsidR="00842EA7" w:rsidRPr="00EA22D2" w:rsidTr="009B641A">
        <w:trPr>
          <w:trHeight w:val="292"/>
        </w:trPr>
        <w:tc>
          <w:tcPr>
            <w:tcW w:w="0" w:type="auto"/>
            <w:vMerge w:val="restart"/>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r w:rsidRPr="00EA22D2">
              <w:rPr>
                <w:rFonts w:asciiTheme="majorBidi" w:eastAsia="Times New Roman" w:hAnsiTheme="majorBidi" w:cstheme="majorBidi"/>
                <w:b/>
                <w:bCs/>
                <w:color w:val="000000"/>
              </w:rPr>
              <w:t>Previous surgery</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Yes</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3</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42.9%</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4</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57.1%</w:t>
            </w:r>
          </w:p>
        </w:tc>
        <w:tc>
          <w:tcPr>
            <w:tcW w:w="1087" w:type="dxa"/>
            <w:vMerge w:val="restart"/>
            <w:tcBorders>
              <w:top w:val="nil"/>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r>
              <w:rPr>
                <w:rFonts w:asciiTheme="majorBidi" w:eastAsia="Times New Roman" w:hAnsiTheme="majorBidi" w:cstheme="majorBidi"/>
              </w:rPr>
              <w:t>.334</w:t>
            </w:r>
          </w:p>
        </w:tc>
      </w:tr>
      <w:tr w:rsidR="00842EA7" w:rsidRPr="00EA22D2" w:rsidTr="009B641A">
        <w:trPr>
          <w:trHeight w:val="292"/>
        </w:trPr>
        <w:tc>
          <w:tcPr>
            <w:tcW w:w="0" w:type="auto"/>
            <w:vMerge/>
            <w:tcBorders>
              <w:top w:val="nil"/>
              <w:left w:val="nil"/>
              <w:bottom w:val="nil"/>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No</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5</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23.8%</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16</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76.2%</w:t>
            </w:r>
          </w:p>
        </w:tc>
        <w:tc>
          <w:tcPr>
            <w:tcW w:w="1087" w:type="dxa"/>
            <w:vMerge/>
            <w:tcBorders>
              <w:top w:val="nil"/>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r w:rsidR="00842EA7" w:rsidRPr="00EA22D2" w:rsidTr="009B641A">
        <w:trPr>
          <w:trHeight w:val="292"/>
        </w:trPr>
        <w:tc>
          <w:tcPr>
            <w:tcW w:w="0" w:type="auto"/>
            <w:vMerge w:val="restart"/>
            <w:tcBorders>
              <w:top w:val="single" w:sz="4" w:space="0" w:color="auto"/>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r w:rsidRPr="00EA22D2">
              <w:rPr>
                <w:rFonts w:asciiTheme="majorBidi" w:eastAsia="Times New Roman" w:hAnsiTheme="majorBidi" w:cstheme="majorBidi"/>
                <w:b/>
                <w:bCs/>
                <w:color w:val="000000"/>
              </w:rPr>
              <w:t>Type of coccyx</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Type 1</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33.3%</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w:t>
            </w:r>
          </w:p>
        </w:tc>
        <w:tc>
          <w:tcPr>
            <w:tcW w:w="0" w:type="auto"/>
            <w:tcBorders>
              <w:top w:val="single" w:sz="4" w:space="0" w:color="auto"/>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66.7%</w:t>
            </w:r>
          </w:p>
        </w:tc>
        <w:tc>
          <w:tcPr>
            <w:tcW w:w="1087" w:type="dxa"/>
            <w:vMerge w:val="restart"/>
            <w:tcBorders>
              <w:top w:val="nil"/>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r>
              <w:rPr>
                <w:rFonts w:asciiTheme="majorBidi" w:eastAsia="Times New Roman" w:hAnsiTheme="majorBidi" w:cstheme="majorBidi"/>
              </w:rPr>
              <w:t>.507</w:t>
            </w:r>
          </w:p>
        </w:tc>
      </w:tr>
      <w:tr w:rsidR="00842EA7" w:rsidRPr="00EA22D2" w:rsidTr="009B641A">
        <w:trPr>
          <w:trHeight w:val="292"/>
        </w:trPr>
        <w:tc>
          <w:tcPr>
            <w:tcW w:w="0" w:type="auto"/>
            <w:vMerge/>
            <w:tcBorders>
              <w:top w:val="single" w:sz="4" w:space="0" w:color="auto"/>
              <w:left w:val="nil"/>
              <w:bottom w:val="single" w:sz="4" w:space="0" w:color="000000"/>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Type 2</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40.0%</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3</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60.0%</w:t>
            </w:r>
          </w:p>
        </w:tc>
        <w:tc>
          <w:tcPr>
            <w:tcW w:w="1087" w:type="dxa"/>
            <w:vMerge/>
            <w:tcBorders>
              <w:top w:val="nil"/>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r w:rsidR="00842EA7" w:rsidRPr="00EA22D2" w:rsidTr="009B641A">
        <w:trPr>
          <w:trHeight w:val="292"/>
        </w:trPr>
        <w:tc>
          <w:tcPr>
            <w:tcW w:w="0" w:type="auto"/>
            <w:vMerge/>
            <w:tcBorders>
              <w:top w:val="single" w:sz="4" w:space="0" w:color="auto"/>
              <w:left w:val="nil"/>
              <w:bottom w:val="single" w:sz="4" w:space="0" w:color="000000"/>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Type 3</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16.7%</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5</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83.3%</w:t>
            </w:r>
          </w:p>
        </w:tc>
        <w:tc>
          <w:tcPr>
            <w:tcW w:w="1087" w:type="dxa"/>
            <w:vMerge/>
            <w:tcBorders>
              <w:top w:val="nil"/>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r w:rsidR="00842EA7" w:rsidRPr="00EA22D2" w:rsidTr="009B641A">
        <w:trPr>
          <w:trHeight w:val="292"/>
        </w:trPr>
        <w:tc>
          <w:tcPr>
            <w:tcW w:w="0" w:type="auto"/>
            <w:vMerge/>
            <w:tcBorders>
              <w:top w:val="single" w:sz="4" w:space="0" w:color="auto"/>
              <w:left w:val="nil"/>
              <w:bottom w:val="single" w:sz="4" w:space="0" w:color="000000"/>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Type 4</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18.2%</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9</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81.8%</w:t>
            </w:r>
          </w:p>
        </w:tc>
        <w:tc>
          <w:tcPr>
            <w:tcW w:w="1087" w:type="dxa"/>
            <w:vMerge/>
            <w:tcBorders>
              <w:top w:val="nil"/>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r w:rsidR="00842EA7" w:rsidRPr="00EA22D2" w:rsidTr="009B641A">
        <w:trPr>
          <w:trHeight w:val="292"/>
        </w:trPr>
        <w:tc>
          <w:tcPr>
            <w:tcW w:w="0" w:type="auto"/>
            <w:vMerge/>
            <w:tcBorders>
              <w:top w:val="single" w:sz="4" w:space="0" w:color="auto"/>
              <w:left w:val="nil"/>
              <w:bottom w:val="single" w:sz="4" w:space="0" w:color="000000"/>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Type 5</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50.0%</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50.0%</w:t>
            </w:r>
          </w:p>
        </w:tc>
        <w:tc>
          <w:tcPr>
            <w:tcW w:w="1087" w:type="dxa"/>
            <w:vMerge/>
            <w:tcBorders>
              <w:top w:val="nil"/>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r w:rsidR="00842EA7" w:rsidRPr="00EA22D2" w:rsidTr="009B641A">
        <w:trPr>
          <w:trHeight w:val="292"/>
        </w:trPr>
        <w:tc>
          <w:tcPr>
            <w:tcW w:w="0" w:type="auto"/>
            <w:vMerge/>
            <w:tcBorders>
              <w:top w:val="single" w:sz="4" w:space="0" w:color="auto"/>
              <w:left w:val="nil"/>
              <w:bottom w:val="single" w:sz="4" w:space="0" w:color="000000"/>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Type 6</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100.0%</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0</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0.0%</w:t>
            </w:r>
          </w:p>
        </w:tc>
        <w:tc>
          <w:tcPr>
            <w:tcW w:w="1087" w:type="dxa"/>
            <w:vMerge/>
            <w:tcBorders>
              <w:top w:val="nil"/>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r w:rsidR="00842EA7" w:rsidRPr="00EA22D2" w:rsidTr="009B641A">
        <w:trPr>
          <w:trHeight w:val="292"/>
        </w:trPr>
        <w:tc>
          <w:tcPr>
            <w:tcW w:w="0" w:type="auto"/>
            <w:vMerge w:val="restart"/>
            <w:tcBorders>
              <w:top w:val="nil"/>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b/>
                <w:bCs/>
                <w:color w:val="000000"/>
              </w:rPr>
            </w:pPr>
            <w:r w:rsidRPr="00EA22D2">
              <w:rPr>
                <w:rFonts w:asciiTheme="majorBidi" w:eastAsia="Times New Roman" w:hAnsiTheme="majorBidi" w:cstheme="majorBidi"/>
                <w:b/>
                <w:bCs/>
                <w:color w:val="000000"/>
              </w:rPr>
              <w:t>Site of pain</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Peri-anal pain</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3</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75.0%</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w:t>
            </w:r>
          </w:p>
        </w:tc>
        <w:tc>
          <w:tcPr>
            <w:tcW w:w="0" w:type="auto"/>
            <w:tcBorders>
              <w:top w:val="nil"/>
              <w:left w:val="nil"/>
              <w:bottom w:val="nil"/>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25.0%</w:t>
            </w:r>
          </w:p>
        </w:tc>
        <w:tc>
          <w:tcPr>
            <w:tcW w:w="1087" w:type="dxa"/>
            <w:vMerge w:val="restart"/>
            <w:tcBorders>
              <w:top w:val="nil"/>
              <w:left w:val="nil"/>
              <w:bottom w:val="single" w:sz="4" w:space="0" w:color="000000"/>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r>
              <w:rPr>
                <w:rFonts w:asciiTheme="majorBidi" w:eastAsia="Times New Roman" w:hAnsiTheme="majorBidi" w:cstheme="majorBidi"/>
              </w:rPr>
              <w:t>.026*</w:t>
            </w:r>
          </w:p>
        </w:tc>
      </w:tr>
      <w:tr w:rsidR="00842EA7" w:rsidRPr="00EA22D2" w:rsidTr="009B641A">
        <w:trPr>
          <w:trHeight w:val="292"/>
        </w:trPr>
        <w:tc>
          <w:tcPr>
            <w:tcW w:w="0" w:type="auto"/>
            <w:vMerge/>
            <w:tcBorders>
              <w:top w:val="nil"/>
              <w:left w:val="nil"/>
              <w:bottom w:val="single" w:sz="4" w:space="0" w:color="000000"/>
              <w:right w:val="nil"/>
            </w:tcBorders>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rPr>
                <w:rFonts w:asciiTheme="majorBidi" w:eastAsia="Times New Roman" w:hAnsiTheme="majorBidi" w:cstheme="majorBidi"/>
                <w:color w:val="000000"/>
              </w:rPr>
            </w:pPr>
            <w:r w:rsidRPr="00EA22D2">
              <w:rPr>
                <w:rFonts w:asciiTheme="majorBidi" w:eastAsia="Times New Roman" w:hAnsiTheme="majorBidi" w:cstheme="majorBidi"/>
                <w:color w:val="000000"/>
              </w:rPr>
              <w:t>Coccyx</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5</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20.8%</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19</w:t>
            </w:r>
          </w:p>
        </w:tc>
        <w:tc>
          <w:tcPr>
            <w:tcW w:w="0" w:type="auto"/>
            <w:tcBorders>
              <w:top w:val="nil"/>
              <w:left w:val="nil"/>
              <w:bottom w:val="single" w:sz="4" w:space="0" w:color="auto"/>
              <w:right w:val="nil"/>
            </w:tcBorders>
            <w:shd w:val="clear" w:color="auto" w:fill="auto"/>
            <w:noWrap/>
            <w:vAlign w:val="center"/>
            <w:hideMark/>
          </w:tcPr>
          <w:p w:rsidR="00842EA7" w:rsidRPr="00EA22D2" w:rsidRDefault="00842EA7" w:rsidP="009B641A">
            <w:pPr>
              <w:bidi w:val="0"/>
              <w:spacing w:after="0" w:line="240" w:lineRule="auto"/>
              <w:jc w:val="center"/>
              <w:rPr>
                <w:rFonts w:asciiTheme="majorBidi" w:eastAsia="Times New Roman" w:hAnsiTheme="majorBidi" w:cstheme="majorBidi"/>
                <w:color w:val="000000"/>
              </w:rPr>
            </w:pPr>
            <w:r w:rsidRPr="00EA22D2">
              <w:rPr>
                <w:rFonts w:asciiTheme="majorBidi" w:eastAsia="Times New Roman" w:hAnsiTheme="majorBidi" w:cstheme="majorBidi"/>
                <w:color w:val="000000"/>
              </w:rPr>
              <w:t>79.2%</w:t>
            </w:r>
          </w:p>
        </w:tc>
        <w:tc>
          <w:tcPr>
            <w:tcW w:w="1087" w:type="dxa"/>
            <w:vMerge/>
            <w:tcBorders>
              <w:top w:val="nil"/>
              <w:left w:val="nil"/>
              <w:bottom w:val="single" w:sz="4" w:space="0" w:color="000000"/>
              <w:right w:val="nil"/>
            </w:tcBorders>
            <w:vAlign w:val="center"/>
            <w:hideMark/>
          </w:tcPr>
          <w:p w:rsidR="00842EA7" w:rsidRPr="00EA22D2" w:rsidRDefault="00842EA7" w:rsidP="009B641A">
            <w:pPr>
              <w:bidi w:val="0"/>
              <w:spacing w:after="0" w:line="240" w:lineRule="auto"/>
              <w:jc w:val="center"/>
              <w:rPr>
                <w:rFonts w:asciiTheme="majorBidi" w:eastAsia="Times New Roman" w:hAnsiTheme="majorBidi" w:cstheme="majorBidi"/>
              </w:rPr>
            </w:pPr>
          </w:p>
        </w:tc>
      </w:tr>
    </w:tbl>
    <w:p w:rsidR="00842EA7" w:rsidRDefault="00842EA7" w:rsidP="00842EA7">
      <w:pPr>
        <w:bidi w:val="0"/>
        <w:rPr>
          <w:rFonts w:asciiTheme="majorBidi" w:hAnsiTheme="majorBidi" w:cstheme="majorBidi"/>
          <w:i/>
          <w:iCs/>
          <w:sz w:val="20"/>
          <w:szCs w:val="20"/>
        </w:rPr>
      </w:pPr>
      <w:r>
        <w:rPr>
          <w:rFonts w:asciiTheme="majorBidi" w:hAnsiTheme="majorBidi" w:cstheme="majorBidi"/>
          <w:i/>
          <w:iCs/>
          <w:sz w:val="20"/>
          <w:szCs w:val="20"/>
        </w:rPr>
        <w:t>P: Pearson X</w:t>
      </w:r>
      <w:r w:rsidRPr="00662578">
        <w:rPr>
          <w:rFonts w:asciiTheme="majorBidi" w:hAnsiTheme="majorBidi" w:cstheme="majorBidi"/>
          <w:i/>
          <w:iCs/>
          <w:sz w:val="20"/>
          <w:szCs w:val="20"/>
          <w:vertAlign w:val="superscript"/>
        </w:rPr>
        <w:t>2</w:t>
      </w:r>
      <w:r>
        <w:rPr>
          <w:rFonts w:asciiTheme="majorBidi" w:hAnsiTheme="majorBidi" w:cstheme="majorBidi"/>
          <w:i/>
          <w:iCs/>
          <w:sz w:val="20"/>
          <w:szCs w:val="20"/>
        </w:rPr>
        <w:t xml:space="preserve"> test</w:t>
      </w:r>
      <w:r>
        <w:rPr>
          <w:rFonts w:asciiTheme="majorBidi" w:hAnsiTheme="majorBidi" w:cstheme="majorBidi"/>
          <w:i/>
          <w:iCs/>
          <w:sz w:val="20"/>
          <w:szCs w:val="20"/>
        </w:rPr>
        <w:tab/>
      </w:r>
      <w:r>
        <w:rPr>
          <w:rFonts w:asciiTheme="majorBidi" w:hAnsiTheme="majorBidi" w:cstheme="majorBidi"/>
          <w:i/>
          <w:iCs/>
          <w:sz w:val="20"/>
          <w:szCs w:val="20"/>
        </w:rPr>
        <w:tab/>
      </w:r>
      <w:r>
        <w:rPr>
          <w:rFonts w:asciiTheme="majorBidi" w:hAnsiTheme="majorBidi" w:cstheme="majorBidi"/>
          <w:i/>
          <w:iCs/>
          <w:sz w:val="20"/>
          <w:szCs w:val="20"/>
        </w:rPr>
        <w:tab/>
      </w:r>
      <w:r>
        <w:rPr>
          <w:rFonts w:asciiTheme="majorBidi" w:hAnsiTheme="majorBidi" w:cstheme="majorBidi"/>
          <w:i/>
          <w:iCs/>
          <w:sz w:val="20"/>
          <w:szCs w:val="20"/>
        </w:rPr>
        <w:tab/>
        <w:t>^: Exact probability test</w:t>
      </w:r>
    </w:p>
    <w:p w:rsidR="00842EA7" w:rsidRPr="00D233B0" w:rsidRDefault="00842EA7" w:rsidP="00842EA7">
      <w:pPr>
        <w:bidi w:val="0"/>
        <w:rPr>
          <w:rFonts w:asciiTheme="majorBidi" w:hAnsiTheme="majorBidi" w:cstheme="majorBidi"/>
          <w:i/>
          <w:iCs/>
          <w:sz w:val="20"/>
          <w:szCs w:val="20"/>
        </w:rPr>
      </w:pPr>
      <w:r>
        <w:rPr>
          <w:rFonts w:asciiTheme="majorBidi" w:hAnsiTheme="majorBidi" w:cstheme="majorBidi"/>
          <w:i/>
          <w:iCs/>
          <w:sz w:val="20"/>
          <w:szCs w:val="20"/>
        </w:rPr>
        <w:t>* P &lt; 0.05 (significant)</w:t>
      </w:r>
    </w:p>
    <w:p w:rsidR="00E00766" w:rsidRPr="00BF6C65" w:rsidRDefault="00E00766" w:rsidP="00BF6C65">
      <w:pPr>
        <w:bidi w:val="0"/>
        <w:spacing w:line="480" w:lineRule="auto"/>
        <w:jc w:val="both"/>
        <w:rPr>
          <w:rFonts w:asciiTheme="majorBidi" w:hAnsiTheme="majorBidi" w:cstheme="majorBidi"/>
          <w:sz w:val="24"/>
          <w:szCs w:val="24"/>
        </w:rPr>
      </w:pPr>
      <w:bookmarkStart w:id="9" w:name="_GoBack"/>
      <w:bookmarkEnd w:id="9"/>
    </w:p>
    <w:sectPr w:rsidR="00E00766" w:rsidRPr="00BF6C65" w:rsidSect="00C5551F">
      <w:pgSz w:w="12240" w:h="15840"/>
      <w:pgMar w:top="1440" w:right="1800" w:bottom="1440" w:left="180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C10147"/>
    <w:multiLevelType w:val="multilevel"/>
    <w:tmpl w:val="79449A02"/>
    <w:lvl w:ilvl="0">
      <w:start w:val="1"/>
      <w:numFmt w:val="lowerLetter"/>
      <w:lvlText w:val="%1."/>
      <w:lvlJc w:val="left"/>
      <w:pPr>
        <w:ind w:left="720" w:hanging="360"/>
      </w:pPr>
      <w:rPr>
        <w:rFonts w:ascii="Times New Roman" w:hAnsi="Arial Unicode MS" w:cs="Times New Roman" w:hint="default"/>
        <w:caps w:val="0"/>
        <w:smallCaps w:val="0"/>
        <w:spacing w:val="0"/>
        <w:sz w:val="31"/>
        <w:szCs w:val="31"/>
      </w:rPr>
    </w:lvl>
    <w:lvl w:ilvl="1">
      <w:start w:val="1"/>
      <w:numFmt w:val="lowerLetter"/>
      <w:lvlText w:val="%2."/>
      <w:lvlJc w:val="left"/>
      <w:pPr>
        <w:ind w:left="1500" w:hanging="420"/>
      </w:pPr>
      <w:rPr>
        <w:rFonts w:ascii="Times New Roman" w:hAnsi="Arial Unicode MS" w:cs="Times New Roman" w:hint="default"/>
        <w:caps w:val="0"/>
        <w:smallCaps w:val="0"/>
        <w:spacing w:val="0"/>
        <w:sz w:val="31"/>
        <w:szCs w:val="31"/>
      </w:rPr>
    </w:lvl>
    <w:lvl w:ilvl="2">
      <w:start w:val="1"/>
      <w:numFmt w:val="lowerRoman"/>
      <w:lvlText w:val="%3."/>
      <w:lvlJc w:val="left"/>
      <w:pPr>
        <w:ind w:left="2212" w:hanging="366"/>
      </w:pPr>
      <w:rPr>
        <w:rFonts w:ascii="Times New Roman" w:hAnsi="Arial Unicode MS" w:cs="Times New Roman" w:hint="default"/>
        <w:caps w:val="0"/>
        <w:smallCaps w:val="0"/>
        <w:spacing w:val="0"/>
        <w:sz w:val="31"/>
        <w:szCs w:val="31"/>
      </w:rPr>
    </w:lvl>
    <w:lvl w:ilvl="3">
      <w:start w:val="1"/>
      <w:numFmt w:val="decimal"/>
      <w:lvlText w:val="%4."/>
      <w:lvlJc w:val="left"/>
      <w:pPr>
        <w:ind w:left="2940" w:hanging="420"/>
      </w:pPr>
      <w:rPr>
        <w:rFonts w:ascii="Times New Roman" w:hAnsi="Arial Unicode MS" w:cs="Times New Roman" w:hint="default"/>
        <w:caps w:val="0"/>
        <w:smallCaps w:val="0"/>
        <w:spacing w:val="0"/>
        <w:sz w:val="31"/>
        <w:szCs w:val="31"/>
      </w:rPr>
    </w:lvl>
    <w:lvl w:ilvl="4">
      <w:start w:val="1"/>
      <w:numFmt w:val="lowerLetter"/>
      <w:lvlText w:val="%5."/>
      <w:lvlJc w:val="left"/>
      <w:pPr>
        <w:ind w:left="3660" w:hanging="420"/>
      </w:pPr>
      <w:rPr>
        <w:rFonts w:ascii="Times New Roman" w:hAnsi="Arial Unicode MS" w:cs="Times New Roman" w:hint="default"/>
        <w:caps w:val="0"/>
        <w:smallCaps w:val="0"/>
        <w:spacing w:val="0"/>
        <w:sz w:val="31"/>
        <w:szCs w:val="31"/>
      </w:rPr>
    </w:lvl>
    <w:lvl w:ilvl="5">
      <w:start w:val="1"/>
      <w:numFmt w:val="lowerRoman"/>
      <w:lvlText w:val="%6."/>
      <w:lvlJc w:val="left"/>
      <w:pPr>
        <w:ind w:left="4372" w:hanging="366"/>
      </w:pPr>
      <w:rPr>
        <w:rFonts w:ascii="Times New Roman" w:hAnsi="Arial Unicode MS" w:cs="Times New Roman" w:hint="default"/>
        <w:caps w:val="0"/>
        <w:smallCaps w:val="0"/>
        <w:spacing w:val="0"/>
        <w:sz w:val="31"/>
        <w:szCs w:val="31"/>
      </w:rPr>
    </w:lvl>
    <w:lvl w:ilvl="6">
      <w:start w:val="1"/>
      <w:numFmt w:val="decimal"/>
      <w:lvlText w:val="%7."/>
      <w:lvlJc w:val="left"/>
      <w:pPr>
        <w:ind w:left="5100" w:hanging="420"/>
      </w:pPr>
      <w:rPr>
        <w:rFonts w:ascii="Times New Roman" w:hAnsi="Arial Unicode MS" w:cs="Times New Roman" w:hint="default"/>
        <w:caps w:val="0"/>
        <w:smallCaps w:val="0"/>
        <w:spacing w:val="0"/>
        <w:sz w:val="31"/>
        <w:szCs w:val="31"/>
      </w:rPr>
    </w:lvl>
    <w:lvl w:ilvl="7">
      <w:start w:val="1"/>
      <w:numFmt w:val="lowerLetter"/>
      <w:lvlText w:val="%8."/>
      <w:lvlJc w:val="left"/>
      <w:pPr>
        <w:ind w:left="5820" w:hanging="420"/>
      </w:pPr>
      <w:rPr>
        <w:rFonts w:ascii="Times New Roman" w:hAnsi="Arial Unicode MS" w:cs="Times New Roman" w:hint="default"/>
        <w:caps w:val="0"/>
        <w:smallCaps w:val="0"/>
        <w:spacing w:val="0"/>
        <w:sz w:val="31"/>
        <w:szCs w:val="31"/>
      </w:rPr>
    </w:lvl>
    <w:lvl w:ilvl="8">
      <w:start w:val="1"/>
      <w:numFmt w:val="lowerRoman"/>
      <w:lvlText w:val="%9."/>
      <w:lvlJc w:val="left"/>
      <w:pPr>
        <w:ind w:left="6532" w:hanging="366"/>
      </w:pPr>
      <w:rPr>
        <w:rFonts w:ascii="Times New Roman" w:hAnsi="Arial Unicode MS" w:cs="Times New Roman" w:hint="default"/>
        <w:caps w:val="0"/>
        <w:smallCaps w:val="0"/>
        <w:spacing w:val="0"/>
        <w:sz w:val="31"/>
        <w:szCs w:val="31"/>
      </w:rPr>
    </w:lvl>
  </w:abstractNum>
  <w:abstractNum w:abstractNumId="1" w15:restartNumberingAfterBreak="0">
    <w:nsid w:val="5CA919BE"/>
    <w:multiLevelType w:val="multilevel"/>
    <w:tmpl w:val="633EDD48"/>
    <w:lvl w:ilvl="0">
      <w:start w:val="1"/>
      <w:numFmt w:val="lowerLetter"/>
      <w:lvlText w:val="%1."/>
      <w:lvlJc w:val="left"/>
      <w:pPr>
        <w:ind w:left="720" w:hanging="360"/>
      </w:pPr>
      <w:rPr>
        <w:rFonts w:ascii="Times New Roman" w:hAnsi="Arial Unicode MS" w:cs="Times New Roman" w:hint="default"/>
        <w:caps w:val="0"/>
        <w:smallCaps w:val="0"/>
        <w:spacing w:val="0"/>
      </w:rPr>
    </w:lvl>
    <w:lvl w:ilvl="1">
      <w:start w:val="1"/>
      <w:numFmt w:val="lowerLetter"/>
      <w:lvlText w:val="%2."/>
      <w:lvlJc w:val="left"/>
      <w:pPr>
        <w:ind w:left="1500" w:hanging="420"/>
      </w:pPr>
      <w:rPr>
        <w:rFonts w:ascii="Times New Roman" w:hAnsi="Arial Unicode MS" w:cs="Times New Roman" w:hint="default"/>
        <w:caps w:val="0"/>
        <w:smallCaps w:val="0"/>
        <w:spacing w:val="0"/>
      </w:rPr>
    </w:lvl>
    <w:lvl w:ilvl="2">
      <w:start w:val="1"/>
      <w:numFmt w:val="lowerRoman"/>
      <w:lvlText w:val="%3."/>
      <w:lvlJc w:val="left"/>
      <w:pPr>
        <w:ind w:left="2212" w:hanging="366"/>
      </w:pPr>
      <w:rPr>
        <w:rFonts w:ascii="Times New Roman" w:hAnsi="Arial Unicode MS" w:cs="Times New Roman" w:hint="default"/>
        <w:caps w:val="0"/>
        <w:smallCaps w:val="0"/>
        <w:spacing w:val="0"/>
      </w:rPr>
    </w:lvl>
    <w:lvl w:ilvl="3">
      <w:start w:val="1"/>
      <w:numFmt w:val="decimal"/>
      <w:lvlText w:val="%4."/>
      <w:lvlJc w:val="left"/>
      <w:pPr>
        <w:ind w:left="2940" w:hanging="420"/>
      </w:pPr>
      <w:rPr>
        <w:rFonts w:ascii="Times New Roman" w:hAnsi="Arial Unicode MS" w:cs="Times New Roman" w:hint="default"/>
        <w:caps w:val="0"/>
        <w:smallCaps w:val="0"/>
        <w:spacing w:val="0"/>
      </w:rPr>
    </w:lvl>
    <w:lvl w:ilvl="4">
      <w:start w:val="1"/>
      <w:numFmt w:val="lowerLetter"/>
      <w:lvlText w:val="%5."/>
      <w:lvlJc w:val="left"/>
      <w:pPr>
        <w:ind w:left="3660" w:hanging="420"/>
      </w:pPr>
      <w:rPr>
        <w:rFonts w:ascii="Times New Roman" w:hAnsi="Arial Unicode MS" w:cs="Times New Roman" w:hint="default"/>
        <w:caps w:val="0"/>
        <w:smallCaps w:val="0"/>
        <w:spacing w:val="0"/>
      </w:rPr>
    </w:lvl>
    <w:lvl w:ilvl="5">
      <w:start w:val="1"/>
      <w:numFmt w:val="lowerRoman"/>
      <w:lvlText w:val="%6."/>
      <w:lvlJc w:val="left"/>
      <w:pPr>
        <w:ind w:left="4372" w:hanging="366"/>
      </w:pPr>
      <w:rPr>
        <w:rFonts w:ascii="Times New Roman" w:hAnsi="Arial Unicode MS" w:cs="Times New Roman" w:hint="default"/>
        <w:caps w:val="0"/>
        <w:smallCaps w:val="0"/>
        <w:spacing w:val="0"/>
      </w:rPr>
    </w:lvl>
    <w:lvl w:ilvl="6">
      <w:start w:val="1"/>
      <w:numFmt w:val="decimal"/>
      <w:lvlText w:val="%7."/>
      <w:lvlJc w:val="left"/>
      <w:pPr>
        <w:ind w:left="5100" w:hanging="420"/>
      </w:pPr>
      <w:rPr>
        <w:rFonts w:ascii="Times New Roman" w:hAnsi="Arial Unicode MS" w:cs="Times New Roman" w:hint="default"/>
        <w:caps w:val="0"/>
        <w:smallCaps w:val="0"/>
        <w:spacing w:val="0"/>
      </w:rPr>
    </w:lvl>
    <w:lvl w:ilvl="7">
      <w:start w:val="1"/>
      <w:numFmt w:val="lowerLetter"/>
      <w:lvlText w:val="%8."/>
      <w:lvlJc w:val="left"/>
      <w:pPr>
        <w:ind w:left="5820" w:hanging="420"/>
      </w:pPr>
      <w:rPr>
        <w:rFonts w:ascii="Times New Roman" w:hAnsi="Arial Unicode MS" w:cs="Times New Roman" w:hint="default"/>
        <w:caps w:val="0"/>
        <w:smallCaps w:val="0"/>
        <w:spacing w:val="0"/>
      </w:rPr>
    </w:lvl>
    <w:lvl w:ilvl="8">
      <w:start w:val="1"/>
      <w:numFmt w:val="lowerRoman"/>
      <w:lvlText w:val="%9."/>
      <w:lvlJc w:val="left"/>
      <w:pPr>
        <w:ind w:left="6532" w:hanging="366"/>
      </w:pPr>
      <w:rPr>
        <w:rFonts w:ascii="Times New Roman" w:hAnsi="Arial Unicode MS" w:cs="Times New Roman" w:hint="default"/>
        <w:caps w:val="0"/>
        <w:smallCaps w:val="0"/>
        <w:spacing w:val="0"/>
      </w:rPr>
    </w:lvl>
  </w:abstractNum>
  <w:abstractNum w:abstractNumId="2" w15:restartNumberingAfterBreak="0">
    <w:nsid w:val="6BC112FE"/>
    <w:multiLevelType w:val="hybridMultilevel"/>
    <w:tmpl w:val="8A9A9B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766"/>
    <w:rsid w:val="0004727F"/>
    <w:rsid w:val="00052622"/>
    <w:rsid w:val="00073666"/>
    <w:rsid w:val="000E084F"/>
    <w:rsid w:val="000E5C29"/>
    <w:rsid w:val="0012203D"/>
    <w:rsid w:val="001304F6"/>
    <w:rsid w:val="00171EE0"/>
    <w:rsid w:val="00186C93"/>
    <w:rsid w:val="00190056"/>
    <w:rsid w:val="001B5B36"/>
    <w:rsid w:val="001C4A0C"/>
    <w:rsid w:val="00200713"/>
    <w:rsid w:val="002079FA"/>
    <w:rsid w:val="00213D97"/>
    <w:rsid w:val="002236EF"/>
    <w:rsid w:val="00234D49"/>
    <w:rsid w:val="00247402"/>
    <w:rsid w:val="002B2199"/>
    <w:rsid w:val="002D7B27"/>
    <w:rsid w:val="002E5346"/>
    <w:rsid w:val="00301B98"/>
    <w:rsid w:val="00317DB0"/>
    <w:rsid w:val="00317ECA"/>
    <w:rsid w:val="0034199D"/>
    <w:rsid w:val="00377206"/>
    <w:rsid w:val="00392F96"/>
    <w:rsid w:val="003B2656"/>
    <w:rsid w:val="003E099E"/>
    <w:rsid w:val="003F78EB"/>
    <w:rsid w:val="0040689A"/>
    <w:rsid w:val="004117B3"/>
    <w:rsid w:val="004326E0"/>
    <w:rsid w:val="00447953"/>
    <w:rsid w:val="00465715"/>
    <w:rsid w:val="004A2E2E"/>
    <w:rsid w:val="004C7DD7"/>
    <w:rsid w:val="004D4B39"/>
    <w:rsid w:val="004E50EF"/>
    <w:rsid w:val="00546B5F"/>
    <w:rsid w:val="00565767"/>
    <w:rsid w:val="00573C3F"/>
    <w:rsid w:val="00597ECA"/>
    <w:rsid w:val="005C1ED6"/>
    <w:rsid w:val="00635610"/>
    <w:rsid w:val="00673BEE"/>
    <w:rsid w:val="00685D1B"/>
    <w:rsid w:val="006A0CDB"/>
    <w:rsid w:val="006A365A"/>
    <w:rsid w:val="006D5658"/>
    <w:rsid w:val="006E71D2"/>
    <w:rsid w:val="006F1997"/>
    <w:rsid w:val="00740790"/>
    <w:rsid w:val="007578E9"/>
    <w:rsid w:val="00786A99"/>
    <w:rsid w:val="00787385"/>
    <w:rsid w:val="007D36FE"/>
    <w:rsid w:val="00801834"/>
    <w:rsid w:val="00801CA8"/>
    <w:rsid w:val="00806A88"/>
    <w:rsid w:val="00842EA7"/>
    <w:rsid w:val="00850291"/>
    <w:rsid w:val="00855FC8"/>
    <w:rsid w:val="00860E7E"/>
    <w:rsid w:val="008949E9"/>
    <w:rsid w:val="008D7815"/>
    <w:rsid w:val="008F1DAE"/>
    <w:rsid w:val="00987AB5"/>
    <w:rsid w:val="009A54BD"/>
    <w:rsid w:val="009B3958"/>
    <w:rsid w:val="009C435C"/>
    <w:rsid w:val="009E547E"/>
    <w:rsid w:val="00A0078B"/>
    <w:rsid w:val="00A23FD2"/>
    <w:rsid w:val="00A458B9"/>
    <w:rsid w:val="00A563B1"/>
    <w:rsid w:val="00AA7596"/>
    <w:rsid w:val="00AF4D68"/>
    <w:rsid w:val="00B05AE6"/>
    <w:rsid w:val="00B41E74"/>
    <w:rsid w:val="00B62B19"/>
    <w:rsid w:val="00B70D9F"/>
    <w:rsid w:val="00BA2947"/>
    <w:rsid w:val="00BD49DB"/>
    <w:rsid w:val="00BF6C65"/>
    <w:rsid w:val="00C13A1B"/>
    <w:rsid w:val="00C279B7"/>
    <w:rsid w:val="00C27E05"/>
    <w:rsid w:val="00C4318D"/>
    <w:rsid w:val="00C47F0C"/>
    <w:rsid w:val="00C5009E"/>
    <w:rsid w:val="00C5551F"/>
    <w:rsid w:val="00C72CA3"/>
    <w:rsid w:val="00C8755A"/>
    <w:rsid w:val="00CA72BF"/>
    <w:rsid w:val="00CC7A91"/>
    <w:rsid w:val="00CD187B"/>
    <w:rsid w:val="00CD5D13"/>
    <w:rsid w:val="00CE3A31"/>
    <w:rsid w:val="00D0483A"/>
    <w:rsid w:val="00D22DE8"/>
    <w:rsid w:val="00D8534D"/>
    <w:rsid w:val="00DB4415"/>
    <w:rsid w:val="00DD7E3F"/>
    <w:rsid w:val="00DF46BB"/>
    <w:rsid w:val="00E00766"/>
    <w:rsid w:val="00E00B64"/>
    <w:rsid w:val="00E03809"/>
    <w:rsid w:val="00E07E8C"/>
    <w:rsid w:val="00E212AC"/>
    <w:rsid w:val="00E33264"/>
    <w:rsid w:val="00E572BD"/>
    <w:rsid w:val="00E5780B"/>
    <w:rsid w:val="00E76ABB"/>
    <w:rsid w:val="00E93004"/>
    <w:rsid w:val="00EE531F"/>
    <w:rsid w:val="00F149C8"/>
    <w:rsid w:val="00F50A0F"/>
    <w:rsid w:val="00FD205F"/>
    <w:rsid w:val="00FF1857"/>
    <w:rsid w:val="00FF4FA6"/>
    <w:rsid w:val="00FF7D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D50A0B"/>
  <w15:chartTrackingRefBased/>
  <w15:docId w15:val="{2A81D73A-3326-4C1F-A306-2B842608C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paragraph" w:styleId="Heading2">
    <w:name w:val="heading 2"/>
    <w:basedOn w:val="Normal"/>
    <w:link w:val="Heading2Char"/>
    <w:uiPriority w:val="9"/>
    <w:qFormat/>
    <w:rsid w:val="001B5B36"/>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4326E0"/>
    <w:pPr>
      <w:bidi w:val="0"/>
      <w:spacing w:before="160" w:after="100" w:afterAutospacing="1" w:line="288" w:lineRule="auto"/>
    </w:pPr>
    <w:rPr>
      <w:rFonts w:ascii="Helvetica Neue" w:eastAsia="Times New Roman" w:hAnsi="Helvetica Neue" w:cs="Times New Roman"/>
      <w:color w:val="000000"/>
      <w:sz w:val="24"/>
      <w:szCs w:val="24"/>
    </w:rPr>
  </w:style>
  <w:style w:type="paragraph" w:styleId="ListParagraph">
    <w:name w:val="List Paragraph"/>
    <w:basedOn w:val="Normal"/>
    <w:uiPriority w:val="99"/>
    <w:qFormat/>
    <w:rsid w:val="004326E0"/>
    <w:pPr>
      <w:bidi w:val="0"/>
      <w:spacing w:before="100" w:beforeAutospacing="1" w:line="256" w:lineRule="auto"/>
      <w:ind w:left="720"/>
    </w:pPr>
    <w:rPr>
      <w:rFonts w:ascii="Calibri" w:eastAsia="Arial Unicode MS" w:hAnsi="Calibri" w:cs="Arial Unicode MS"/>
      <w:color w:val="000000"/>
    </w:rPr>
  </w:style>
  <w:style w:type="character" w:styleId="Hyperlink">
    <w:name w:val="Hyperlink"/>
    <w:basedOn w:val="DefaultParagraphFont"/>
    <w:uiPriority w:val="99"/>
    <w:semiHidden/>
    <w:unhideWhenUsed/>
    <w:rsid w:val="009B3958"/>
    <w:rPr>
      <w:color w:val="0000FF"/>
      <w:u w:val="single"/>
    </w:rPr>
  </w:style>
  <w:style w:type="character" w:customStyle="1" w:styleId="element-citation">
    <w:name w:val="element-citation"/>
    <w:basedOn w:val="DefaultParagraphFont"/>
    <w:rsid w:val="00A458B9"/>
  </w:style>
  <w:style w:type="character" w:customStyle="1" w:styleId="ref-journal">
    <w:name w:val="ref-journal"/>
    <w:basedOn w:val="DefaultParagraphFont"/>
    <w:rsid w:val="00A458B9"/>
  </w:style>
  <w:style w:type="character" w:styleId="Emphasis">
    <w:name w:val="Emphasis"/>
    <w:basedOn w:val="DefaultParagraphFont"/>
    <w:uiPriority w:val="20"/>
    <w:qFormat/>
    <w:rsid w:val="00A458B9"/>
    <w:rPr>
      <w:i/>
      <w:iCs/>
    </w:rPr>
  </w:style>
  <w:style w:type="character" w:customStyle="1" w:styleId="ref-vol">
    <w:name w:val="ref-vol"/>
    <w:basedOn w:val="DefaultParagraphFont"/>
    <w:rsid w:val="00A458B9"/>
  </w:style>
  <w:style w:type="character" w:customStyle="1" w:styleId="nowrap">
    <w:name w:val="nowrap"/>
    <w:basedOn w:val="DefaultParagraphFont"/>
    <w:rsid w:val="00A458B9"/>
  </w:style>
  <w:style w:type="character" w:customStyle="1" w:styleId="ref-lnk">
    <w:name w:val="ref-lnk"/>
    <w:basedOn w:val="DefaultParagraphFont"/>
    <w:rsid w:val="00C8755A"/>
  </w:style>
  <w:style w:type="character" w:customStyle="1" w:styleId="off-screen">
    <w:name w:val="off-screen"/>
    <w:basedOn w:val="DefaultParagraphFont"/>
    <w:rsid w:val="00C8755A"/>
  </w:style>
  <w:style w:type="character" w:customStyle="1" w:styleId="hgkelc">
    <w:name w:val="hgkelc"/>
    <w:basedOn w:val="DefaultParagraphFont"/>
    <w:rsid w:val="003E099E"/>
  </w:style>
  <w:style w:type="character" w:customStyle="1" w:styleId="Heading2Char">
    <w:name w:val="Heading 2 Char"/>
    <w:basedOn w:val="DefaultParagraphFont"/>
    <w:link w:val="Heading2"/>
    <w:uiPriority w:val="9"/>
    <w:rsid w:val="001B5B36"/>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9883">
      <w:bodyDiv w:val="1"/>
      <w:marLeft w:val="0"/>
      <w:marRight w:val="0"/>
      <w:marTop w:val="0"/>
      <w:marBottom w:val="0"/>
      <w:divBdr>
        <w:top w:val="none" w:sz="0" w:space="0" w:color="auto"/>
        <w:left w:val="none" w:sz="0" w:space="0" w:color="auto"/>
        <w:bottom w:val="none" w:sz="0" w:space="0" w:color="auto"/>
        <w:right w:val="none" w:sz="0" w:space="0" w:color="auto"/>
      </w:divBdr>
      <w:divsChild>
        <w:div w:id="1597517147">
          <w:marLeft w:val="0"/>
          <w:marRight w:val="0"/>
          <w:marTop w:val="0"/>
          <w:marBottom w:val="0"/>
          <w:divBdr>
            <w:top w:val="none" w:sz="0" w:space="0" w:color="auto"/>
            <w:left w:val="none" w:sz="0" w:space="0" w:color="auto"/>
            <w:bottom w:val="none" w:sz="0" w:space="0" w:color="auto"/>
            <w:right w:val="none" w:sz="0" w:space="0" w:color="auto"/>
          </w:divBdr>
        </w:div>
      </w:divsChild>
    </w:div>
    <w:div w:id="51196233">
      <w:bodyDiv w:val="1"/>
      <w:marLeft w:val="0"/>
      <w:marRight w:val="0"/>
      <w:marTop w:val="0"/>
      <w:marBottom w:val="0"/>
      <w:divBdr>
        <w:top w:val="none" w:sz="0" w:space="0" w:color="auto"/>
        <w:left w:val="none" w:sz="0" w:space="0" w:color="auto"/>
        <w:bottom w:val="none" w:sz="0" w:space="0" w:color="auto"/>
        <w:right w:val="none" w:sz="0" w:space="0" w:color="auto"/>
      </w:divBdr>
      <w:divsChild>
        <w:div w:id="644431242">
          <w:marLeft w:val="0"/>
          <w:marRight w:val="0"/>
          <w:marTop w:val="0"/>
          <w:marBottom w:val="0"/>
          <w:divBdr>
            <w:top w:val="none" w:sz="0" w:space="0" w:color="auto"/>
            <w:left w:val="none" w:sz="0" w:space="0" w:color="auto"/>
            <w:bottom w:val="none" w:sz="0" w:space="0" w:color="auto"/>
            <w:right w:val="none" w:sz="0" w:space="0" w:color="auto"/>
          </w:divBdr>
        </w:div>
      </w:divsChild>
    </w:div>
    <w:div w:id="67843715">
      <w:bodyDiv w:val="1"/>
      <w:marLeft w:val="0"/>
      <w:marRight w:val="0"/>
      <w:marTop w:val="0"/>
      <w:marBottom w:val="0"/>
      <w:divBdr>
        <w:top w:val="none" w:sz="0" w:space="0" w:color="auto"/>
        <w:left w:val="none" w:sz="0" w:space="0" w:color="auto"/>
        <w:bottom w:val="none" w:sz="0" w:space="0" w:color="auto"/>
        <w:right w:val="none" w:sz="0" w:space="0" w:color="auto"/>
      </w:divBdr>
    </w:div>
    <w:div w:id="97408840">
      <w:bodyDiv w:val="1"/>
      <w:marLeft w:val="0"/>
      <w:marRight w:val="0"/>
      <w:marTop w:val="0"/>
      <w:marBottom w:val="0"/>
      <w:divBdr>
        <w:top w:val="none" w:sz="0" w:space="0" w:color="auto"/>
        <w:left w:val="none" w:sz="0" w:space="0" w:color="auto"/>
        <w:bottom w:val="none" w:sz="0" w:space="0" w:color="auto"/>
        <w:right w:val="none" w:sz="0" w:space="0" w:color="auto"/>
      </w:divBdr>
      <w:divsChild>
        <w:div w:id="904024620">
          <w:marLeft w:val="0"/>
          <w:marRight w:val="0"/>
          <w:marTop w:val="0"/>
          <w:marBottom w:val="0"/>
          <w:divBdr>
            <w:top w:val="none" w:sz="0" w:space="0" w:color="auto"/>
            <w:left w:val="none" w:sz="0" w:space="0" w:color="auto"/>
            <w:bottom w:val="none" w:sz="0" w:space="0" w:color="auto"/>
            <w:right w:val="none" w:sz="0" w:space="0" w:color="auto"/>
          </w:divBdr>
        </w:div>
      </w:divsChild>
    </w:div>
    <w:div w:id="121657844">
      <w:bodyDiv w:val="1"/>
      <w:marLeft w:val="0"/>
      <w:marRight w:val="0"/>
      <w:marTop w:val="0"/>
      <w:marBottom w:val="0"/>
      <w:divBdr>
        <w:top w:val="none" w:sz="0" w:space="0" w:color="auto"/>
        <w:left w:val="none" w:sz="0" w:space="0" w:color="auto"/>
        <w:bottom w:val="none" w:sz="0" w:space="0" w:color="auto"/>
        <w:right w:val="none" w:sz="0" w:space="0" w:color="auto"/>
      </w:divBdr>
      <w:divsChild>
        <w:div w:id="285352469">
          <w:marLeft w:val="0"/>
          <w:marRight w:val="0"/>
          <w:marTop w:val="0"/>
          <w:marBottom w:val="0"/>
          <w:divBdr>
            <w:top w:val="none" w:sz="0" w:space="0" w:color="auto"/>
            <w:left w:val="none" w:sz="0" w:space="0" w:color="auto"/>
            <w:bottom w:val="none" w:sz="0" w:space="0" w:color="auto"/>
            <w:right w:val="none" w:sz="0" w:space="0" w:color="auto"/>
          </w:divBdr>
        </w:div>
      </w:divsChild>
    </w:div>
    <w:div w:id="136730456">
      <w:bodyDiv w:val="1"/>
      <w:marLeft w:val="0"/>
      <w:marRight w:val="0"/>
      <w:marTop w:val="0"/>
      <w:marBottom w:val="0"/>
      <w:divBdr>
        <w:top w:val="none" w:sz="0" w:space="0" w:color="auto"/>
        <w:left w:val="none" w:sz="0" w:space="0" w:color="auto"/>
        <w:bottom w:val="none" w:sz="0" w:space="0" w:color="auto"/>
        <w:right w:val="none" w:sz="0" w:space="0" w:color="auto"/>
      </w:divBdr>
      <w:divsChild>
        <w:div w:id="1027878221">
          <w:marLeft w:val="0"/>
          <w:marRight w:val="0"/>
          <w:marTop w:val="0"/>
          <w:marBottom w:val="0"/>
          <w:divBdr>
            <w:top w:val="none" w:sz="0" w:space="0" w:color="auto"/>
            <w:left w:val="none" w:sz="0" w:space="0" w:color="auto"/>
            <w:bottom w:val="none" w:sz="0" w:space="0" w:color="auto"/>
            <w:right w:val="none" w:sz="0" w:space="0" w:color="auto"/>
          </w:divBdr>
        </w:div>
      </w:divsChild>
    </w:div>
    <w:div w:id="192696070">
      <w:bodyDiv w:val="1"/>
      <w:marLeft w:val="0"/>
      <w:marRight w:val="0"/>
      <w:marTop w:val="0"/>
      <w:marBottom w:val="0"/>
      <w:divBdr>
        <w:top w:val="none" w:sz="0" w:space="0" w:color="auto"/>
        <w:left w:val="none" w:sz="0" w:space="0" w:color="auto"/>
        <w:bottom w:val="none" w:sz="0" w:space="0" w:color="auto"/>
        <w:right w:val="none" w:sz="0" w:space="0" w:color="auto"/>
      </w:divBdr>
      <w:divsChild>
        <w:div w:id="413472680">
          <w:marLeft w:val="0"/>
          <w:marRight w:val="0"/>
          <w:marTop w:val="0"/>
          <w:marBottom w:val="0"/>
          <w:divBdr>
            <w:top w:val="none" w:sz="0" w:space="0" w:color="auto"/>
            <w:left w:val="none" w:sz="0" w:space="0" w:color="auto"/>
            <w:bottom w:val="none" w:sz="0" w:space="0" w:color="auto"/>
            <w:right w:val="none" w:sz="0" w:space="0" w:color="auto"/>
          </w:divBdr>
        </w:div>
      </w:divsChild>
    </w:div>
    <w:div w:id="246811425">
      <w:bodyDiv w:val="1"/>
      <w:marLeft w:val="0"/>
      <w:marRight w:val="0"/>
      <w:marTop w:val="0"/>
      <w:marBottom w:val="0"/>
      <w:divBdr>
        <w:top w:val="none" w:sz="0" w:space="0" w:color="auto"/>
        <w:left w:val="none" w:sz="0" w:space="0" w:color="auto"/>
        <w:bottom w:val="none" w:sz="0" w:space="0" w:color="auto"/>
        <w:right w:val="none" w:sz="0" w:space="0" w:color="auto"/>
      </w:divBdr>
      <w:divsChild>
        <w:div w:id="316687008">
          <w:marLeft w:val="0"/>
          <w:marRight w:val="0"/>
          <w:marTop w:val="0"/>
          <w:marBottom w:val="0"/>
          <w:divBdr>
            <w:top w:val="none" w:sz="0" w:space="0" w:color="auto"/>
            <w:left w:val="none" w:sz="0" w:space="0" w:color="auto"/>
            <w:bottom w:val="none" w:sz="0" w:space="0" w:color="auto"/>
            <w:right w:val="none" w:sz="0" w:space="0" w:color="auto"/>
          </w:divBdr>
        </w:div>
      </w:divsChild>
    </w:div>
    <w:div w:id="430710894">
      <w:bodyDiv w:val="1"/>
      <w:marLeft w:val="0"/>
      <w:marRight w:val="0"/>
      <w:marTop w:val="0"/>
      <w:marBottom w:val="0"/>
      <w:divBdr>
        <w:top w:val="none" w:sz="0" w:space="0" w:color="auto"/>
        <w:left w:val="none" w:sz="0" w:space="0" w:color="auto"/>
        <w:bottom w:val="none" w:sz="0" w:space="0" w:color="auto"/>
        <w:right w:val="none" w:sz="0" w:space="0" w:color="auto"/>
      </w:divBdr>
      <w:divsChild>
        <w:div w:id="1904558902">
          <w:marLeft w:val="0"/>
          <w:marRight w:val="0"/>
          <w:marTop w:val="0"/>
          <w:marBottom w:val="0"/>
          <w:divBdr>
            <w:top w:val="none" w:sz="0" w:space="0" w:color="auto"/>
            <w:left w:val="none" w:sz="0" w:space="0" w:color="auto"/>
            <w:bottom w:val="none" w:sz="0" w:space="0" w:color="auto"/>
            <w:right w:val="none" w:sz="0" w:space="0" w:color="auto"/>
          </w:divBdr>
        </w:div>
      </w:divsChild>
    </w:div>
    <w:div w:id="597521206">
      <w:bodyDiv w:val="1"/>
      <w:marLeft w:val="0"/>
      <w:marRight w:val="0"/>
      <w:marTop w:val="0"/>
      <w:marBottom w:val="0"/>
      <w:divBdr>
        <w:top w:val="none" w:sz="0" w:space="0" w:color="auto"/>
        <w:left w:val="none" w:sz="0" w:space="0" w:color="auto"/>
        <w:bottom w:val="none" w:sz="0" w:space="0" w:color="auto"/>
        <w:right w:val="none" w:sz="0" w:space="0" w:color="auto"/>
      </w:divBdr>
      <w:divsChild>
        <w:div w:id="893388297">
          <w:marLeft w:val="0"/>
          <w:marRight w:val="0"/>
          <w:marTop w:val="0"/>
          <w:marBottom w:val="0"/>
          <w:divBdr>
            <w:top w:val="none" w:sz="0" w:space="0" w:color="auto"/>
            <w:left w:val="none" w:sz="0" w:space="0" w:color="auto"/>
            <w:bottom w:val="none" w:sz="0" w:space="0" w:color="auto"/>
            <w:right w:val="none" w:sz="0" w:space="0" w:color="auto"/>
          </w:divBdr>
        </w:div>
      </w:divsChild>
    </w:div>
    <w:div w:id="619648436">
      <w:bodyDiv w:val="1"/>
      <w:marLeft w:val="0"/>
      <w:marRight w:val="0"/>
      <w:marTop w:val="0"/>
      <w:marBottom w:val="0"/>
      <w:divBdr>
        <w:top w:val="none" w:sz="0" w:space="0" w:color="auto"/>
        <w:left w:val="none" w:sz="0" w:space="0" w:color="auto"/>
        <w:bottom w:val="none" w:sz="0" w:space="0" w:color="auto"/>
        <w:right w:val="none" w:sz="0" w:space="0" w:color="auto"/>
      </w:divBdr>
      <w:divsChild>
        <w:div w:id="2121101891">
          <w:marLeft w:val="0"/>
          <w:marRight w:val="0"/>
          <w:marTop w:val="0"/>
          <w:marBottom w:val="0"/>
          <w:divBdr>
            <w:top w:val="none" w:sz="0" w:space="0" w:color="auto"/>
            <w:left w:val="none" w:sz="0" w:space="0" w:color="auto"/>
            <w:bottom w:val="none" w:sz="0" w:space="0" w:color="auto"/>
            <w:right w:val="none" w:sz="0" w:space="0" w:color="auto"/>
          </w:divBdr>
        </w:div>
      </w:divsChild>
    </w:div>
    <w:div w:id="685249884">
      <w:bodyDiv w:val="1"/>
      <w:marLeft w:val="0"/>
      <w:marRight w:val="0"/>
      <w:marTop w:val="0"/>
      <w:marBottom w:val="0"/>
      <w:divBdr>
        <w:top w:val="none" w:sz="0" w:space="0" w:color="auto"/>
        <w:left w:val="none" w:sz="0" w:space="0" w:color="auto"/>
        <w:bottom w:val="none" w:sz="0" w:space="0" w:color="auto"/>
        <w:right w:val="none" w:sz="0" w:space="0" w:color="auto"/>
      </w:divBdr>
      <w:divsChild>
        <w:div w:id="92550879">
          <w:marLeft w:val="0"/>
          <w:marRight w:val="0"/>
          <w:marTop w:val="0"/>
          <w:marBottom w:val="0"/>
          <w:divBdr>
            <w:top w:val="none" w:sz="0" w:space="0" w:color="auto"/>
            <w:left w:val="none" w:sz="0" w:space="0" w:color="auto"/>
            <w:bottom w:val="none" w:sz="0" w:space="0" w:color="auto"/>
            <w:right w:val="none" w:sz="0" w:space="0" w:color="auto"/>
          </w:divBdr>
        </w:div>
      </w:divsChild>
    </w:div>
    <w:div w:id="695690084">
      <w:bodyDiv w:val="1"/>
      <w:marLeft w:val="0"/>
      <w:marRight w:val="0"/>
      <w:marTop w:val="0"/>
      <w:marBottom w:val="0"/>
      <w:divBdr>
        <w:top w:val="none" w:sz="0" w:space="0" w:color="auto"/>
        <w:left w:val="none" w:sz="0" w:space="0" w:color="auto"/>
        <w:bottom w:val="none" w:sz="0" w:space="0" w:color="auto"/>
        <w:right w:val="none" w:sz="0" w:space="0" w:color="auto"/>
      </w:divBdr>
      <w:divsChild>
        <w:div w:id="1219170179">
          <w:marLeft w:val="0"/>
          <w:marRight w:val="0"/>
          <w:marTop w:val="0"/>
          <w:marBottom w:val="0"/>
          <w:divBdr>
            <w:top w:val="none" w:sz="0" w:space="0" w:color="auto"/>
            <w:left w:val="none" w:sz="0" w:space="0" w:color="auto"/>
            <w:bottom w:val="none" w:sz="0" w:space="0" w:color="auto"/>
            <w:right w:val="none" w:sz="0" w:space="0" w:color="auto"/>
          </w:divBdr>
        </w:div>
      </w:divsChild>
    </w:div>
    <w:div w:id="726759894">
      <w:bodyDiv w:val="1"/>
      <w:marLeft w:val="0"/>
      <w:marRight w:val="0"/>
      <w:marTop w:val="0"/>
      <w:marBottom w:val="0"/>
      <w:divBdr>
        <w:top w:val="none" w:sz="0" w:space="0" w:color="auto"/>
        <w:left w:val="none" w:sz="0" w:space="0" w:color="auto"/>
        <w:bottom w:val="none" w:sz="0" w:space="0" w:color="auto"/>
        <w:right w:val="none" w:sz="0" w:space="0" w:color="auto"/>
      </w:divBdr>
    </w:div>
    <w:div w:id="745420249">
      <w:bodyDiv w:val="1"/>
      <w:marLeft w:val="0"/>
      <w:marRight w:val="0"/>
      <w:marTop w:val="0"/>
      <w:marBottom w:val="0"/>
      <w:divBdr>
        <w:top w:val="none" w:sz="0" w:space="0" w:color="auto"/>
        <w:left w:val="none" w:sz="0" w:space="0" w:color="auto"/>
        <w:bottom w:val="none" w:sz="0" w:space="0" w:color="auto"/>
        <w:right w:val="none" w:sz="0" w:space="0" w:color="auto"/>
      </w:divBdr>
      <w:divsChild>
        <w:div w:id="657419910">
          <w:marLeft w:val="0"/>
          <w:marRight w:val="0"/>
          <w:marTop w:val="0"/>
          <w:marBottom w:val="0"/>
          <w:divBdr>
            <w:top w:val="none" w:sz="0" w:space="0" w:color="auto"/>
            <w:left w:val="none" w:sz="0" w:space="0" w:color="auto"/>
            <w:bottom w:val="none" w:sz="0" w:space="0" w:color="auto"/>
            <w:right w:val="none" w:sz="0" w:space="0" w:color="auto"/>
          </w:divBdr>
        </w:div>
      </w:divsChild>
    </w:div>
    <w:div w:id="817461326">
      <w:bodyDiv w:val="1"/>
      <w:marLeft w:val="0"/>
      <w:marRight w:val="0"/>
      <w:marTop w:val="0"/>
      <w:marBottom w:val="0"/>
      <w:divBdr>
        <w:top w:val="none" w:sz="0" w:space="0" w:color="auto"/>
        <w:left w:val="none" w:sz="0" w:space="0" w:color="auto"/>
        <w:bottom w:val="none" w:sz="0" w:space="0" w:color="auto"/>
        <w:right w:val="none" w:sz="0" w:space="0" w:color="auto"/>
      </w:divBdr>
    </w:div>
    <w:div w:id="900747260">
      <w:bodyDiv w:val="1"/>
      <w:marLeft w:val="0"/>
      <w:marRight w:val="0"/>
      <w:marTop w:val="0"/>
      <w:marBottom w:val="0"/>
      <w:divBdr>
        <w:top w:val="none" w:sz="0" w:space="0" w:color="auto"/>
        <w:left w:val="none" w:sz="0" w:space="0" w:color="auto"/>
        <w:bottom w:val="none" w:sz="0" w:space="0" w:color="auto"/>
        <w:right w:val="none" w:sz="0" w:space="0" w:color="auto"/>
      </w:divBdr>
      <w:divsChild>
        <w:div w:id="1510637518">
          <w:marLeft w:val="0"/>
          <w:marRight w:val="0"/>
          <w:marTop w:val="0"/>
          <w:marBottom w:val="0"/>
          <w:divBdr>
            <w:top w:val="none" w:sz="0" w:space="0" w:color="auto"/>
            <w:left w:val="none" w:sz="0" w:space="0" w:color="auto"/>
            <w:bottom w:val="none" w:sz="0" w:space="0" w:color="auto"/>
            <w:right w:val="none" w:sz="0" w:space="0" w:color="auto"/>
          </w:divBdr>
        </w:div>
      </w:divsChild>
    </w:div>
    <w:div w:id="935747426">
      <w:bodyDiv w:val="1"/>
      <w:marLeft w:val="0"/>
      <w:marRight w:val="0"/>
      <w:marTop w:val="0"/>
      <w:marBottom w:val="0"/>
      <w:divBdr>
        <w:top w:val="none" w:sz="0" w:space="0" w:color="auto"/>
        <w:left w:val="none" w:sz="0" w:space="0" w:color="auto"/>
        <w:bottom w:val="none" w:sz="0" w:space="0" w:color="auto"/>
        <w:right w:val="none" w:sz="0" w:space="0" w:color="auto"/>
      </w:divBdr>
      <w:divsChild>
        <w:div w:id="921917839">
          <w:marLeft w:val="0"/>
          <w:marRight w:val="0"/>
          <w:marTop w:val="0"/>
          <w:marBottom w:val="0"/>
          <w:divBdr>
            <w:top w:val="none" w:sz="0" w:space="0" w:color="auto"/>
            <w:left w:val="none" w:sz="0" w:space="0" w:color="auto"/>
            <w:bottom w:val="none" w:sz="0" w:space="0" w:color="auto"/>
            <w:right w:val="none" w:sz="0" w:space="0" w:color="auto"/>
          </w:divBdr>
        </w:div>
        <w:div w:id="1711686736">
          <w:marLeft w:val="0"/>
          <w:marRight w:val="0"/>
          <w:marTop w:val="0"/>
          <w:marBottom w:val="0"/>
          <w:divBdr>
            <w:top w:val="none" w:sz="0" w:space="0" w:color="auto"/>
            <w:left w:val="none" w:sz="0" w:space="0" w:color="auto"/>
            <w:bottom w:val="none" w:sz="0" w:space="0" w:color="auto"/>
            <w:right w:val="none" w:sz="0" w:space="0" w:color="auto"/>
          </w:divBdr>
        </w:div>
        <w:div w:id="1457260735">
          <w:marLeft w:val="0"/>
          <w:marRight w:val="0"/>
          <w:marTop w:val="0"/>
          <w:marBottom w:val="0"/>
          <w:divBdr>
            <w:top w:val="none" w:sz="0" w:space="0" w:color="auto"/>
            <w:left w:val="none" w:sz="0" w:space="0" w:color="auto"/>
            <w:bottom w:val="none" w:sz="0" w:space="0" w:color="auto"/>
            <w:right w:val="none" w:sz="0" w:space="0" w:color="auto"/>
          </w:divBdr>
        </w:div>
        <w:div w:id="507254884">
          <w:marLeft w:val="0"/>
          <w:marRight w:val="0"/>
          <w:marTop w:val="0"/>
          <w:marBottom w:val="0"/>
          <w:divBdr>
            <w:top w:val="none" w:sz="0" w:space="0" w:color="auto"/>
            <w:left w:val="none" w:sz="0" w:space="0" w:color="auto"/>
            <w:bottom w:val="none" w:sz="0" w:space="0" w:color="auto"/>
            <w:right w:val="none" w:sz="0" w:space="0" w:color="auto"/>
          </w:divBdr>
        </w:div>
      </w:divsChild>
    </w:div>
    <w:div w:id="946738123">
      <w:bodyDiv w:val="1"/>
      <w:marLeft w:val="0"/>
      <w:marRight w:val="0"/>
      <w:marTop w:val="0"/>
      <w:marBottom w:val="0"/>
      <w:divBdr>
        <w:top w:val="none" w:sz="0" w:space="0" w:color="auto"/>
        <w:left w:val="none" w:sz="0" w:space="0" w:color="auto"/>
        <w:bottom w:val="none" w:sz="0" w:space="0" w:color="auto"/>
        <w:right w:val="none" w:sz="0" w:space="0" w:color="auto"/>
      </w:divBdr>
      <w:divsChild>
        <w:div w:id="849100682">
          <w:marLeft w:val="0"/>
          <w:marRight w:val="0"/>
          <w:marTop w:val="0"/>
          <w:marBottom w:val="0"/>
          <w:divBdr>
            <w:top w:val="none" w:sz="0" w:space="0" w:color="auto"/>
            <w:left w:val="none" w:sz="0" w:space="0" w:color="auto"/>
            <w:bottom w:val="none" w:sz="0" w:space="0" w:color="auto"/>
            <w:right w:val="none" w:sz="0" w:space="0" w:color="auto"/>
          </w:divBdr>
        </w:div>
      </w:divsChild>
    </w:div>
    <w:div w:id="1077901048">
      <w:bodyDiv w:val="1"/>
      <w:marLeft w:val="0"/>
      <w:marRight w:val="0"/>
      <w:marTop w:val="0"/>
      <w:marBottom w:val="0"/>
      <w:divBdr>
        <w:top w:val="none" w:sz="0" w:space="0" w:color="auto"/>
        <w:left w:val="none" w:sz="0" w:space="0" w:color="auto"/>
        <w:bottom w:val="none" w:sz="0" w:space="0" w:color="auto"/>
        <w:right w:val="none" w:sz="0" w:space="0" w:color="auto"/>
      </w:divBdr>
    </w:div>
    <w:div w:id="1165364435">
      <w:bodyDiv w:val="1"/>
      <w:marLeft w:val="0"/>
      <w:marRight w:val="0"/>
      <w:marTop w:val="0"/>
      <w:marBottom w:val="0"/>
      <w:divBdr>
        <w:top w:val="none" w:sz="0" w:space="0" w:color="auto"/>
        <w:left w:val="none" w:sz="0" w:space="0" w:color="auto"/>
        <w:bottom w:val="none" w:sz="0" w:space="0" w:color="auto"/>
        <w:right w:val="none" w:sz="0" w:space="0" w:color="auto"/>
      </w:divBdr>
      <w:divsChild>
        <w:div w:id="2081974221">
          <w:marLeft w:val="0"/>
          <w:marRight w:val="0"/>
          <w:marTop w:val="0"/>
          <w:marBottom w:val="0"/>
          <w:divBdr>
            <w:top w:val="none" w:sz="0" w:space="0" w:color="auto"/>
            <w:left w:val="none" w:sz="0" w:space="0" w:color="auto"/>
            <w:bottom w:val="none" w:sz="0" w:space="0" w:color="auto"/>
            <w:right w:val="none" w:sz="0" w:space="0" w:color="auto"/>
          </w:divBdr>
        </w:div>
      </w:divsChild>
    </w:div>
    <w:div w:id="1495991085">
      <w:bodyDiv w:val="1"/>
      <w:marLeft w:val="0"/>
      <w:marRight w:val="0"/>
      <w:marTop w:val="0"/>
      <w:marBottom w:val="0"/>
      <w:divBdr>
        <w:top w:val="none" w:sz="0" w:space="0" w:color="auto"/>
        <w:left w:val="none" w:sz="0" w:space="0" w:color="auto"/>
        <w:bottom w:val="none" w:sz="0" w:space="0" w:color="auto"/>
        <w:right w:val="none" w:sz="0" w:space="0" w:color="auto"/>
      </w:divBdr>
    </w:div>
    <w:div w:id="1517309353">
      <w:bodyDiv w:val="1"/>
      <w:marLeft w:val="0"/>
      <w:marRight w:val="0"/>
      <w:marTop w:val="0"/>
      <w:marBottom w:val="0"/>
      <w:divBdr>
        <w:top w:val="none" w:sz="0" w:space="0" w:color="auto"/>
        <w:left w:val="none" w:sz="0" w:space="0" w:color="auto"/>
        <w:bottom w:val="none" w:sz="0" w:space="0" w:color="auto"/>
        <w:right w:val="none" w:sz="0" w:space="0" w:color="auto"/>
      </w:divBdr>
      <w:divsChild>
        <w:div w:id="1029332540">
          <w:marLeft w:val="0"/>
          <w:marRight w:val="0"/>
          <w:marTop w:val="0"/>
          <w:marBottom w:val="0"/>
          <w:divBdr>
            <w:top w:val="none" w:sz="0" w:space="0" w:color="auto"/>
            <w:left w:val="none" w:sz="0" w:space="0" w:color="auto"/>
            <w:bottom w:val="none" w:sz="0" w:space="0" w:color="auto"/>
            <w:right w:val="none" w:sz="0" w:space="0" w:color="auto"/>
          </w:divBdr>
        </w:div>
      </w:divsChild>
    </w:div>
    <w:div w:id="1549878137">
      <w:bodyDiv w:val="1"/>
      <w:marLeft w:val="0"/>
      <w:marRight w:val="0"/>
      <w:marTop w:val="0"/>
      <w:marBottom w:val="0"/>
      <w:divBdr>
        <w:top w:val="none" w:sz="0" w:space="0" w:color="auto"/>
        <w:left w:val="none" w:sz="0" w:space="0" w:color="auto"/>
        <w:bottom w:val="none" w:sz="0" w:space="0" w:color="auto"/>
        <w:right w:val="none" w:sz="0" w:space="0" w:color="auto"/>
      </w:divBdr>
      <w:divsChild>
        <w:div w:id="2081558925">
          <w:marLeft w:val="0"/>
          <w:marRight w:val="0"/>
          <w:marTop w:val="0"/>
          <w:marBottom w:val="0"/>
          <w:divBdr>
            <w:top w:val="none" w:sz="0" w:space="0" w:color="auto"/>
            <w:left w:val="none" w:sz="0" w:space="0" w:color="auto"/>
            <w:bottom w:val="none" w:sz="0" w:space="0" w:color="auto"/>
            <w:right w:val="none" w:sz="0" w:space="0" w:color="auto"/>
          </w:divBdr>
        </w:div>
      </w:divsChild>
    </w:div>
    <w:div w:id="1633443871">
      <w:bodyDiv w:val="1"/>
      <w:marLeft w:val="0"/>
      <w:marRight w:val="0"/>
      <w:marTop w:val="0"/>
      <w:marBottom w:val="0"/>
      <w:divBdr>
        <w:top w:val="none" w:sz="0" w:space="0" w:color="auto"/>
        <w:left w:val="none" w:sz="0" w:space="0" w:color="auto"/>
        <w:bottom w:val="none" w:sz="0" w:space="0" w:color="auto"/>
        <w:right w:val="none" w:sz="0" w:space="0" w:color="auto"/>
      </w:divBdr>
      <w:divsChild>
        <w:div w:id="1573657064">
          <w:marLeft w:val="0"/>
          <w:marRight w:val="0"/>
          <w:marTop w:val="0"/>
          <w:marBottom w:val="0"/>
          <w:divBdr>
            <w:top w:val="none" w:sz="0" w:space="0" w:color="auto"/>
            <w:left w:val="none" w:sz="0" w:space="0" w:color="auto"/>
            <w:bottom w:val="none" w:sz="0" w:space="0" w:color="auto"/>
            <w:right w:val="none" w:sz="0" w:space="0" w:color="auto"/>
          </w:divBdr>
        </w:div>
      </w:divsChild>
    </w:div>
    <w:div w:id="1667826359">
      <w:bodyDiv w:val="1"/>
      <w:marLeft w:val="0"/>
      <w:marRight w:val="0"/>
      <w:marTop w:val="0"/>
      <w:marBottom w:val="0"/>
      <w:divBdr>
        <w:top w:val="none" w:sz="0" w:space="0" w:color="auto"/>
        <w:left w:val="none" w:sz="0" w:space="0" w:color="auto"/>
        <w:bottom w:val="none" w:sz="0" w:space="0" w:color="auto"/>
        <w:right w:val="none" w:sz="0" w:space="0" w:color="auto"/>
      </w:divBdr>
      <w:divsChild>
        <w:div w:id="1011838482">
          <w:marLeft w:val="0"/>
          <w:marRight w:val="0"/>
          <w:marTop w:val="0"/>
          <w:marBottom w:val="0"/>
          <w:divBdr>
            <w:top w:val="none" w:sz="0" w:space="0" w:color="auto"/>
            <w:left w:val="none" w:sz="0" w:space="0" w:color="auto"/>
            <w:bottom w:val="none" w:sz="0" w:space="0" w:color="auto"/>
            <w:right w:val="none" w:sz="0" w:space="0" w:color="auto"/>
          </w:divBdr>
        </w:div>
      </w:divsChild>
    </w:div>
    <w:div w:id="1689257783">
      <w:bodyDiv w:val="1"/>
      <w:marLeft w:val="0"/>
      <w:marRight w:val="0"/>
      <w:marTop w:val="0"/>
      <w:marBottom w:val="0"/>
      <w:divBdr>
        <w:top w:val="none" w:sz="0" w:space="0" w:color="auto"/>
        <w:left w:val="none" w:sz="0" w:space="0" w:color="auto"/>
        <w:bottom w:val="none" w:sz="0" w:space="0" w:color="auto"/>
        <w:right w:val="none" w:sz="0" w:space="0" w:color="auto"/>
      </w:divBdr>
    </w:div>
    <w:div w:id="1694067053">
      <w:bodyDiv w:val="1"/>
      <w:marLeft w:val="0"/>
      <w:marRight w:val="0"/>
      <w:marTop w:val="0"/>
      <w:marBottom w:val="0"/>
      <w:divBdr>
        <w:top w:val="none" w:sz="0" w:space="0" w:color="auto"/>
        <w:left w:val="none" w:sz="0" w:space="0" w:color="auto"/>
        <w:bottom w:val="none" w:sz="0" w:space="0" w:color="auto"/>
        <w:right w:val="none" w:sz="0" w:space="0" w:color="auto"/>
      </w:divBdr>
    </w:div>
    <w:div w:id="1697391268">
      <w:bodyDiv w:val="1"/>
      <w:marLeft w:val="0"/>
      <w:marRight w:val="0"/>
      <w:marTop w:val="0"/>
      <w:marBottom w:val="0"/>
      <w:divBdr>
        <w:top w:val="none" w:sz="0" w:space="0" w:color="auto"/>
        <w:left w:val="none" w:sz="0" w:space="0" w:color="auto"/>
        <w:bottom w:val="none" w:sz="0" w:space="0" w:color="auto"/>
        <w:right w:val="none" w:sz="0" w:space="0" w:color="auto"/>
      </w:divBdr>
      <w:divsChild>
        <w:div w:id="1942568673">
          <w:marLeft w:val="0"/>
          <w:marRight w:val="0"/>
          <w:marTop w:val="0"/>
          <w:marBottom w:val="0"/>
          <w:divBdr>
            <w:top w:val="none" w:sz="0" w:space="0" w:color="auto"/>
            <w:left w:val="none" w:sz="0" w:space="0" w:color="auto"/>
            <w:bottom w:val="none" w:sz="0" w:space="0" w:color="auto"/>
            <w:right w:val="none" w:sz="0" w:space="0" w:color="auto"/>
          </w:divBdr>
        </w:div>
      </w:divsChild>
    </w:div>
    <w:div w:id="1722903208">
      <w:bodyDiv w:val="1"/>
      <w:marLeft w:val="0"/>
      <w:marRight w:val="0"/>
      <w:marTop w:val="0"/>
      <w:marBottom w:val="0"/>
      <w:divBdr>
        <w:top w:val="none" w:sz="0" w:space="0" w:color="auto"/>
        <w:left w:val="none" w:sz="0" w:space="0" w:color="auto"/>
        <w:bottom w:val="none" w:sz="0" w:space="0" w:color="auto"/>
        <w:right w:val="none" w:sz="0" w:space="0" w:color="auto"/>
      </w:divBdr>
      <w:divsChild>
        <w:div w:id="1120881532">
          <w:marLeft w:val="0"/>
          <w:marRight w:val="0"/>
          <w:marTop w:val="0"/>
          <w:marBottom w:val="0"/>
          <w:divBdr>
            <w:top w:val="none" w:sz="0" w:space="0" w:color="auto"/>
            <w:left w:val="none" w:sz="0" w:space="0" w:color="auto"/>
            <w:bottom w:val="none" w:sz="0" w:space="0" w:color="auto"/>
            <w:right w:val="none" w:sz="0" w:space="0" w:color="auto"/>
          </w:divBdr>
        </w:div>
      </w:divsChild>
    </w:div>
    <w:div w:id="1787656958">
      <w:bodyDiv w:val="1"/>
      <w:marLeft w:val="0"/>
      <w:marRight w:val="0"/>
      <w:marTop w:val="0"/>
      <w:marBottom w:val="0"/>
      <w:divBdr>
        <w:top w:val="none" w:sz="0" w:space="0" w:color="auto"/>
        <w:left w:val="none" w:sz="0" w:space="0" w:color="auto"/>
        <w:bottom w:val="none" w:sz="0" w:space="0" w:color="auto"/>
        <w:right w:val="none" w:sz="0" w:space="0" w:color="auto"/>
      </w:divBdr>
      <w:divsChild>
        <w:div w:id="251283624">
          <w:marLeft w:val="0"/>
          <w:marRight w:val="0"/>
          <w:marTop w:val="0"/>
          <w:marBottom w:val="0"/>
          <w:divBdr>
            <w:top w:val="none" w:sz="0" w:space="0" w:color="auto"/>
            <w:left w:val="none" w:sz="0" w:space="0" w:color="auto"/>
            <w:bottom w:val="none" w:sz="0" w:space="0" w:color="auto"/>
            <w:right w:val="none" w:sz="0" w:space="0" w:color="auto"/>
          </w:divBdr>
        </w:div>
      </w:divsChild>
    </w:div>
    <w:div w:id="1831172403">
      <w:bodyDiv w:val="1"/>
      <w:marLeft w:val="0"/>
      <w:marRight w:val="0"/>
      <w:marTop w:val="0"/>
      <w:marBottom w:val="0"/>
      <w:divBdr>
        <w:top w:val="none" w:sz="0" w:space="0" w:color="auto"/>
        <w:left w:val="none" w:sz="0" w:space="0" w:color="auto"/>
        <w:bottom w:val="none" w:sz="0" w:space="0" w:color="auto"/>
        <w:right w:val="none" w:sz="0" w:space="0" w:color="auto"/>
      </w:divBdr>
      <w:divsChild>
        <w:div w:id="1015115740">
          <w:marLeft w:val="0"/>
          <w:marRight w:val="0"/>
          <w:marTop w:val="0"/>
          <w:marBottom w:val="0"/>
          <w:divBdr>
            <w:top w:val="none" w:sz="0" w:space="0" w:color="auto"/>
            <w:left w:val="none" w:sz="0" w:space="0" w:color="auto"/>
            <w:bottom w:val="none" w:sz="0" w:space="0" w:color="auto"/>
            <w:right w:val="none" w:sz="0" w:space="0" w:color="auto"/>
          </w:divBdr>
        </w:div>
      </w:divsChild>
    </w:div>
    <w:div w:id="1838377646">
      <w:bodyDiv w:val="1"/>
      <w:marLeft w:val="0"/>
      <w:marRight w:val="0"/>
      <w:marTop w:val="0"/>
      <w:marBottom w:val="0"/>
      <w:divBdr>
        <w:top w:val="none" w:sz="0" w:space="0" w:color="auto"/>
        <w:left w:val="none" w:sz="0" w:space="0" w:color="auto"/>
        <w:bottom w:val="none" w:sz="0" w:space="0" w:color="auto"/>
        <w:right w:val="none" w:sz="0" w:space="0" w:color="auto"/>
      </w:divBdr>
    </w:div>
    <w:div w:id="1866677077">
      <w:bodyDiv w:val="1"/>
      <w:marLeft w:val="0"/>
      <w:marRight w:val="0"/>
      <w:marTop w:val="0"/>
      <w:marBottom w:val="0"/>
      <w:divBdr>
        <w:top w:val="none" w:sz="0" w:space="0" w:color="auto"/>
        <w:left w:val="none" w:sz="0" w:space="0" w:color="auto"/>
        <w:bottom w:val="none" w:sz="0" w:space="0" w:color="auto"/>
        <w:right w:val="none" w:sz="0" w:space="0" w:color="auto"/>
      </w:divBdr>
    </w:div>
    <w:div w:id="1884713412">
      <w:bodyDiv w:val="1"/>
      <w:marLeft w:val="0"/>
      <w:marRight w:val="0"/>
      <w:marTop w:val="0"/>
      <w:marBottom w:val="0"/>
      <w:divBdr>
        <w:top w:val="none" w:sz="0" w:space="0" w:color="auto"/>
        <w:left w:val="none" w:sz="0" w:space="0" w:color="auto"/>
        <w:bottom w:val="none" w:sz="0" w:space="0" w:color="auto"/>
        <w:right w:val="none" w:sz="0" w:space="0" w:color="auto"/>
      </w:divBdr>
      <w:divsChild>
        <w:div w:id="772939274">
          <w:marLeft w:val="0"/>
          <w:marRight w:val="0"/>
          <w:marTop w:val="0"/>
          <w:marBottom w:val="0"/>
          <w:divBdr>
            <w:top w:val="none" w:sz="0" w:space="0" w:color="auto"/>
            <w:left w:val="none" w:sz="0" w:space="0" w:color="auto"/>
            <w:bottom w:val="none" w:sz="0" w:space="0" w:color="auto"/>
            <w:right w:val="none" w:sz="0" w:space="0" w:color="auto"/>
          </w:divBdr>
        </w:div>
      </w:divsChild>
    </w:div>
    <w:div w:id="1931966139">
      <w:bodyDiv w:val="1"/>
      <w:marLeft w:val="0"/>
      <w:marRight w:val="0"/>
      <w:marTop w:val="0"/>
      <w:marBottom w:val="0"/>
      <w:divBdr>
        <w:top w:val="none" w:sz="0" w:space="0" w:color="auto"/>
        <w:left w:val="none" w:sz="0" w:space="0" w:color="auto"/>
        <w:bottom w:val="none" w:sz="0" w:space="0" w:color="auto"/>
        <w:right w:val="none" w:sz="0" w:space="0" w:color="auto"/>
      </w:divBdr>
      <w:divsChild>
        <w:div w:id="370541608">
          <w:marLeft w:val="0"/>
          <w:marRight w:val="0"/>
          <w:marTop w:val="0"/>
          <w:marBottom w:val="0"/>
          <w:divBdr>
            <w:top w:val="none" w:sz="0" w:space="0" w:color="auto"/>
            <w:left w:val="none" w:sz="0" w:space="0" w:color="auto"/>
            <w:bottom w:val="none" w:sz="0" w:space="0" w:color="auto"/>
            <w:right w:val="none" w:sz="0" w:space="0" w:color="auto"/>
          </w:divBdr>
        </w:div>
        <w:div w:id="2094037875">
          <w:marLeft w:val="0"/>
          <w:marRight w:val="0"/>
          <w:marTop w:val="0"/>
          <w:marBottom w:val="0"/>
          <w:divBdr>
            <w:top w:val="none" w:sz="0" w:space="0" w:color="auto"/>
            <w:left w:val="none" w:sz="0" w:space="0" w:color="auto"/>
            <w:bottom w:val="none" w:sz="0" w:space="0" w:color="auto"/>
            <w:right w:val="none" w:sz="0" w:space="0" w:color="auto"/>
          </w:divBdr>
        </w:div>
        <w:div w:id="322048444">
          <w:marLeft w:val="0"/>
          <w:marRight w:val="0"/>
          <w:marTop w:val="0"/>
          <w:marBottom w:val="0"/>
          <w:divBdr>
            <w:top w:val="none" w:sz="0" w:space="0" w:color="auto"/>
            <w:left w:val="none" w:sz="0" w:space="0" w:color="auto"/>
            <w:bottom w:val="none" w:sz="0" w:space="0" w:color="auto"/>
            <w:right w:val="none" w:sz="0" w:space="0" w:color="auto"/>
          </w:divBdr>
        </w:div>
      </w:divsChild>
    </w:div>
    <w:div w:id="1981760970">
      <w:bodyDiv w:val="1"/>
      <w:marLeft w:val="0"/>
      <w:marRight w:val="0"/>
      <w:marTop w:val="0"/>
      <w:marBottom w:val="0"/>
      <w:divBdr>
        <w:top w:val="none" w:sz="0" w:space="0" w:color="auto"/>
        <w:left w:val="none" w:sz="0" w:space="0" w:color="auto"/>
        <w:bottom w:val="none" w:sz="0" w:space="0" w:color="auto"/>
        <w:right w:val="none" w:sz="0" w:space="0" w:color="auto"/>
      </w:divBdr>
    </w:div>
    <w:div w:id="2107800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Sheet2!$A$1:$A$10</c:f>
              <c:strCache>
                <c:ptCount val="10"/>
                <c:pt idx="0">
                  <c:v>DM</c:v>
                </c:pt>
                <c:pt idx="1">
                  <c:v>Dyslipdemia</c:v>
                </c:pt>
                <c:pt idx="2">
                  <c:v>HTN</c:v>
                </c:pt>
                <c:pt idx="3">
                  <c:v>Hypothyroidism</c:v>
                </c:pt>
                <c:pt idx="4">
                  <c:v>Sleep apnea</c:v>
                </c:pt>
                <c:pt idx="5">
                  <c:v>Depression</c:v>
                </c:pt>
                <c:pt idx="6">
                  <c:v>CVS disease</c:v>
                </c:pt>
                <c:pt idx="7">
                  <c:v>Neoplasm</c:v>
                </c:pt>
                <c:pt idx="8">
                  <c:v>Trauma</c:v>
                </c:pt>
                <c:pt idx="9">
                  <c:v>Previous surgery</c:v>
                </c:pt>
              </c:strCache>
            </c:strRef>
          </c:cat>
          <c:val>
            <c:numRef>
              <c:f>Sheet2!$B$1:$B$10</c:f>
              <c:numCache>
                <c:formatCode>###0.0%</c:formatCode>
                <c:ptCount val="10"/>
                <c:pt idx="0">
                  <c:v>0.32142857142857145</c:v>
                </c:pt>
                <c:pt idx="1">
                  <c:v>0.25</c:v>
                </c:pt>
                <c:pt idx="2">
                  <c:v>0.21428571428571427</c:v>
                </c:pt>
                <c:pt idx="3">
                  <c:v>0.14285714285714285</c:v>
                </c:pt>
                <c:pt idx="4">
                  <c:v>0.10714285714285714</c:v>
                </c:pt>
                <c:pt idx="5">
                  <c:v>7.1428571428571425E-2</c:v>
                </c:pt>
                <c:pt idx="6">
                  <c:v>7.1428571428571425E-2</c:v>
                </c:pt>
                <c:pt idx="7">
                  <c:v>7.1428571428571425E-2</c:v>
                </c:pt>
                <c:pt idx="8">
                  <c:v>0.17857142857142858</c:v>
                </c:pt>
                <c:pt idx="9">
                  <c:v>0.25</c:v>
                </c:pt>
              </c:numCache>
            </c:numRef>
          </c:val>
          <c:extLst>
            <c:ext xmlns:c16="http://schemas.microsoft.com/office/drawing/2014/chart" uri="{C3380CC4-5D6E-409C-BE32-E72D297353CC}">
              <c16:uniqueId val="{00000000-6FCE-4BE7-8929-70C8C1A3A4B0}"/>
            </c:ext>
          </c:extLst>
        </c:ser>
        <c:dLbls>
          <c:showLegendKey val="0"/>
          <c:showVal val="0"/>
          <c:showCatName val="0"/>
          <c:showSerName val="0"/>
          <c:showPercent val="0"/>
          <c:showBubbleSize val="0"/>
        </c:dLbls>
        <c:gapWidth val="159"/>
        <c:overlap val="-35"/>
        <c:axId val="1821590143"/>
        <c:axId val="483858943"/>
      </c:barChart>
      <c:catAx>
        <c:axId val="1821590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n-US"/>
          </a:p>
        </c:txPr>
        <c:crossAx val="483858943"/>
        <c:crosses val="autoZero"/>
        <c:auto val="1"/>
        <c:lblAlgn val="ctr"/>
        <c:lblOffset val="100"/>
        <c:noMultiLvlLbl val="0"/>
      </c:catAx>
      <c:valAx>
        <c:axId val="483858943"/>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1590143"/>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20</Pages>
  <Words>3983</Words>
  <Characters>21114</Characters>
  <Application>Microsoft Office Word</Application>
  <DocSecurity>0</DocSecurity>
  <Lines>1111</Lines>
  <Paragraphs>760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shehata Farag shehata Megahed</dc:creator>
  <cp:keywords/>
  <dc:description/>
  <cp:lastModifiedBy>shehata Megahed</cp:lastModifiedBy>
  <cp:revision>111</cp:revision>
  <dcterms:created xsi:type="dcterms:W3CDTF">2023-10-30T09:58:00Z</dcterms:created>
  <dcterms:modified xsi:type="dcterms:W3CDTF">2023-11-01T13:10:00Z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eab519a3-454b-437f-bc6c-e5954a2933d4</vt:lpwstr>
  </property>
</Properties>
</file>