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522CC5" w:rsidP="00494130">
      <w:pPr>
        <w:pStyle w:val="Ttulo1"/>
        <w:spacing w:before="170"/>
        <w:ind w:left="0"/>
      </w:pPr>
      <w:r>
        <w:rPr>
          <w:color w:val="337AB7"/>
        </w:rPr>
        <w:t xml:space="preserve">AUDITORY EVALUATION </w:t>
      </w:r>
      <w:proofErr w:type="gramStart"/>
      <w:r>
        <w:rPr>
          <w:color w:val="337AB7"/>
        </w:rPr>
        <w:t xml:space="preserve">OF </w:t>
      </w:r>
      <w:r w:rsidR="00F54C96">
        <w:rPr>
          <w:color w:val="337AB7"/>
        </w:rPr>
        <w:t xml:space="preserve"> TINNITUS</w:t>
      </w:r>
      <w:proofErr w:type="gramEnd"/>
      <w:r w:rsidR="00F54C96">
        <w:rPr>
          <w:color w:val="337AB7"/>
        </w:rPr>
        <w:t xml:space="preserve"> </w:t>
      </w:r>
    </w:p>
    <w:p w:rsidR="005973B9" w:rsidRDefault="00F54C96" w:rsidP="005973B9">
      <w:pPr>
        <w:pStyle w:val="Textoindependiente"/>
        <w:spacing w:before="73" w:line="198" w:lineRule="exact"/>
        <w:ind w:left="100" w:right="5987"/>
        <w:rPr>
          <w:rFonts w:ascii="Arial"/>
        </w:rPr>
      </w:pPr>
      <w:r>
        <w:rPr>
          <w:rFonts w:ascii="Arial"/>
        </w:rPr>
        <w:t xml:space="preserve">Jacqueline </w:t>
      </w:r>
      <w:r w:rsidR="00522CC5">
        <w:rPr>
          <w:rFonts w:ascii="Arial"/>
        </w:rPr>
        <w:t xml:space="preserve">Cuellar Mg Audiology. </w:t>
      </w:r>
      <w:proofErr w:type="gramStart"/>
      <w:r w:rsidR="00522CC5">
        <w:rPr>
          <w:rFonts w:ascii="Arial"/>
        </w:rPr>
        <w:t xml:space="preserve">Ecoaudio </w:t>
      </w:r>
      <w:r w:rsidR="00481657">
        <w:rPr>
          <w:rFonts w:ascii="Arial"/>
        </w:rPr>
        <w:t xml:space="preserve"> </w:t>
      </w:r>
      <w:r>
        <w:rPr>
          <w:rFonts w:ascii="Arial"/>
        </w:rPr>
        <w:t>Ear</w:t>
      </w:r>
      <w:proofErr w:type="gramEnd"/>
      <w:r>
        <w:rPr>
          <w:rFonts w:ascii="Arial"/>
        </w:rPr>
        <w:t xml:space="preserve"> </w:t>
      </w:r>
      <w:r w:rsidR="00522CC5">
        <w:rPr>
          <w:rFonts w:ascii="Arial"/>
        </w:rPr>
        <w:t xml:space="preserve">Clinic. </w:t>
      </w:r>
      <w:r>
        <w:rPr>
          <w:rFonts w:ascii="Arial"/>
        </w:rPr>
        <w:t xml:space="preserve">Colombia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r w:rsidR="00404E5B">
        <w:rPr>
          <w:color w:val="BF5A14"/>
        </w:rPr>
        <w:t xml:space="preserve"> (300 word limit)</w:t>
      </w:r>
    </w:p>
    <w:p w:rsidR="00481657" w:rsidRPr="00481657" w:rsidRDefault="00481657" w:rsidP="00481657">
      <w:pPr>
        <w:pStyle w:val="Ttulo3"/>
        <w:spacing w:before="74"/>
        <w:rPr>
          <w:rFonts w:ascii="Tw Cen MT" w:eastAsia="Tw Cen MT" w:hAnsi="Tw Cen MT" w:cs="Tw Cen MT"/>
          <w:b w:val="0"/>
          <w:bCs w:val="0"/>
          <w:sz w:val="18"/>
          <w:szCs w:val="18"/>
        </w:rPr>
      </w:pPr>
      <w:r w:rsidRPr="00481657">
        <w:rPr>
          <w:rFonts w:ascii="Tw Cen MT" w:eastAsia="Tw Cen MT" w:hAnsi="Tw Cen MT" w:cs="Tw Cen MT"/>
          <w:b w:val="0"/>
          <w:bCs w:val="0"/>
          <w:sz w:val="18"/>
          <w:szCs w:val="18"/>
        </w:rPr>
        <w:t>AUDITORY EVALUATION OF TINNITUS</w:t>
      </w:r>
    </w:p>
    <w:p w:rsidR="00481657" w:rsidRPr="00481657" w:rsidRDefault="00481657" w:rsidP="00481657">
      <w:pPr>
        <w:pStyle w:val="Ttulo3"/>
        <w:spacing w:before="74"/>
        <w:rPr>
          <w:rFonts w:ascii="Tw Cen MT" w:eastAsia="Tw Cen MT" w:hAnsi="Tw Cen MT" w:cs="Tw Cen MT"/>
          <w:b w:val="0"/>
          <w:bCs w:val="0"/>
          <w:sz w:val="18"/>
          <w:szCs w:val="18"/>
        </w:rPr>
      </w:pPr>
      <w:r w:rsidRPr="00481657">
        <w:rPr>
          <w:rFonts w:ascii="Tw Cen MT" w:eastAsia="Tw Cen MT" w:hAnsi="Tw Cen MT" w:cs="Tw Cen MT"/>
          <w:b w:val="0"/>
          <w:bCs w:val="0"/>
          <w:sz w:val="18"/>
          <w:szCs w:val="18"/>
        </w:rPr>
        <w:t>Tinnitus is a very frequent condition and an unsolved problem in the population's hearing health. Traditionally it has been defined as the perception of sound in the absence of an external sound stimulus, which is not a disease in itself, but a symptom that can respond to various causes, which is not necessarily associated with hearing loss, since they can also occur in patients with normal hearing thresholds</w:t>
      </w:r>
    </w:p>
    <w:p w:rsidR="00481657" w:rsidRPr="00481657" w:rsidRDefault="00481657" w:rsidP="00481657">
      <w:pPr>
        <w:pStyle w:val="Ttulo3"/>
        <w:spacing w:before="74"/>
        <w:rPr>
          <w:rFonts w:ascii="Tw Cen MT" w:eastAsia="Tw Cen MT" w:hAnsi="Tw Cen MT" w:cs="Tw Cen MT"/>
          <w:b w:val="0"/>
          <w:bCs w:val="0"/>
          <w:sz w:val="18"/>
          <w:szCs w:val="18"/>
        </w:rPr>
      </w:pPr>
      <w:r w:rsidRPr="00481657">
        <w:rPr>
          <w:rFonts w:ascii="Tw Cen MT" w:eastAsia="Tw Cen MT" w:hAnsi="Tw Cen MT" w:cs="Tw Cen MT"/>
          <w:b w:val="0"/>
          <w:bCs w:val="0"/>
          <w:sz w:val="18"/>
          <w:szCs w:val="18"/>
        </w:rPr>
        <w:t>Other symptoms such as the feeling of loss of control over your tinnitus or your life have also been studied. A psychological state of anxiety or emotional stress can exacerbate tinnitus and cause your perception to be magnified, while at the same time, this magnification would increase the state of anxiety, creating a vicious tinnitus-stress cycle.</w:t>
      </w:r>
    </w:p>
    <w:p w:rsidR="00481657" w:rsidRPr="00481657" w:rsidRDefault="00481657" w:rsidP="00481657">
      <w:pPr>
        <w:pStyle w:val="Ttulo3"/>
        <w:spacing w:before="74"/>
        <w:rPr>
          <w:rFonts w:ascii="Tw Cen MT" w:eastAsia="Tw Cen MT" w:hAnsi="Tw Cen MT" w:cs="Tw Cen MT"/>
          <w:b w:val="0"/>
          <w:bCs w:val="0"/>
          <w:sz w:val="18"/>
          <w:szCs w:val="18"/>
        </w:rPr>
      </w:pPr>
      <w:r w:rsidRPr="00481657">
        <w:rPr>
          <w:rFonts w:ascii="Tw Cen MT" w:eastAsia="Tw Cen MT" w:hAnsi="Tw Cen MT" w:cs="Tw Cen MT"/>
          <w:b w:val="0"/>
          <w:bCs w:val="0"/>
          <w:sz w:val="18"/>
          <w:szCs w:val="18"/>
        </w:rPr>
        <w:t xml:space="preserve">Some authors have suggested that the intensity or tone of a patient's tinnitus does not correlate with the perception of its severity, </w:t>
      </w:r>
      <w:r w:rsidR="0001076F" w:rsidRPr="00481657">
        <w:rPr>
          <w:rFonts w:ascii="Tw Cen MT" w:eastAsia="Tw Cen MT" w:hAnsi="Tw Cen MT" w:cs="Tw Cen MT"/>
          <w:b w:val="0"/>
          <w:bCs w:val="0"/>
          <w:sz w:val="18"/>
          <w:szCs w:val="18"/>
        </w:rPr>
        <w:t>the</w:t>
      </w:r>
      <w:r w:rsidRPr="00481657">
        <w:rPr>
          <w:rFonts w:ascii="Tw Cen MT" w:eastAsia="Tw Cen MT" w:hAnsi="Tw Cen MT" w:cs="Tw Cen MT"/>
          <w:b w:val="0"/>
          <w:bCs w:val="0"/>
          <w:sz w:val="18"/>
          <w:szCs w:val="18"/>
        </w:rPr>
        <w:t xml:space="preserve"> measurement of the different parameters of tinnitus, (intensity,</w:t>
      </w:r>
      <w:r w:rsidR="00DB165C">
        <w:rPr>
          <w:rFonts w:ascii="Tw Cen MT" w:eastAsia="Tw Cen MT" w:hAnsi="Tw Cen MT" w:cs="Tw Cen MT"/>
          <w:b w:val="0"/>
          <w:bCs w:val="0"/>
          <w:sz w:val="18"/>
          <w:szCs w:val="18"/>
        </w:rPr>
        <w:t xml:space="preserve"> </w:t>
      </w:r>
      <w:proofErr w:type="gramStart"/>
      <w:r w:rsidR="00DB165C">
        <w:rPr>
          <w:rFonts w:ascii="Tw Cen MT" w:eastAsia="Tw Cen MT" w:hAnsi="Tw Cen MT" w:cs="Tw Cen MT"/>
          <w:b w:val="0"/>
          <w:bCs w:val="0"/>
          <w:sz w:val="18"/>
          <w:szCs w:val="18"/>
        </w:rPr>
        <w:t xml:space="preserve">pitch </w:t>
      </w:r>
      <w:r w:rsidRPr="00481657">
        <w:rPr>
          <w:rFonts w:ascii="Tw Cen MT" w:eastAsia="Tw Cen MT" w:hAnsi="Tw Cen MT" w:cs="Tw Cen MT"/>
          <w:b w:val="0"/>
          <w:bCs w:val="0"/>
          <w:sz w:val="18"/>
          <w:szCs w:val="18"/>
        </w:rPr>
        <w:t>)</w:t>
      </w:r>
      <w:proofErr w:type="gramEnd"/>
      <w:r w:rsidRPr="00481657">
        <w:rPr>
          <w:rFonts w:ascii="Tw Cen MT" w:eastAsia="Tw Cen MT" w:hAnsi="Tw Cen MT" w:cs="Tw Cen MT"/>
          <w:b w:val="0"/>
          <w:bCs w:val="0"/>
          <w:sz w:val="18"/>
          <w:szCs w:val="18"/>
        </w:rPr>
        <w:t xml:space="preserve"> by means of comparison techniques with external sounds, it does not allow us to approximate the degree of severity referred to by the patient. There are some fundamental components in </w:t>
      </w:r>
      <w:r w:rsidR="0001076F" w:rsidRPr="00481657">
        <w:rPr>
          <w:rFonts w:ascii="Tw Cen MT" w:eastAsia="Tw Cen MT" w:hAnsi="Tw Cen MT" w:cs="Tw Cen MT"/>
          <w:b w:val="0"/>
          <w:bCs w:val="0"/>
          <w:sz w:val="18"/>
          <w:szCs w:val="18"/>
        </w:rPr>
        <w:t>perception, which</w:t>
      </w:r>
      <w:r w:rsidRPr="00481657">
        <w:rPr>
          <w:rFonts w:ascii="Tw Cen MT" w:eastAsia="Tw Cen MT" w:hAnsi="Tw Cen MT" w:cs="Tw Cen MT"/>
          <w:b w:val="0"/>
          <w:bCs w:val="0"/>
          <w:sz w:val="18"/>
          <w:szCs w:val="18"/>
        </w:rPr>
        <w:t xml:space="preserve"> are the so-called psychological aspects of tinnitus. These are responsible for its amplification at the subcortical level.</w:t>
      </w:r>
    </w:p>
    <w:p w:rsidR="00481657" w:rsidRPr="00481657" w:rsidRDefault="00481657" w:rsidP="00481657">
      <w:pPr>
        <w:pStyle w:val="Ttulo3"/>
        <w:spacing w:before="74"/>
        <w:rPr>
          <w:rFonts w:ascii="Tw Cen MT" w:eastAsia="Tw Cen MT" w:hAnsi="Tw Cen MT" w:cs="Tw Cen MT"/>
          <w:b w:val="0"/>
          <w:bCs w:val="0"/>
          <w:sz w:val="18"/>
          <w:szCs w:val="18"/>
        </w:rPr>
      </w:pPr>
      <w:r w:rsidRPr="00481657">
        <w:rPr>
          <w:rFonts w:ascii="Tw Cen MT" w:eastAsia="Tw Cen MT" w:hAnsi="Tw Cen MT" w:cs="Tw Cen MT"/>
          <w:b w:val="0"/>
          <w:bCs w:val="0"/>
          <w:sz w:val="18"/>
          <w:szCs w:val="18"/>
        </w:rPr>
        <w:t>The detection, diagnosis and treatment of tinnitus have been complex, due to the subjectivity of its measurement. As there is no clear and objective tool available in the audiological consultation, the decisions for its intervention are limited. It is also important to mention that the determination of the self-perception of tinnitus is relevant for the decision of the possible treatment</w:t>
      </w:r>
    </w:p>
    <w:p w:rsidR="00481657" w:rsidRDefault="00481657" w:rsidP="00481657">
      <w:pPr>
        <w:pStyle w:val="Ttulo3"/>
        <w:spacing w:before="74"/>
        <w:rPr>
          <w:rFonts w:ascii="Tw Cen MT" w:eastAsia="Tw Cen MT" w:hAnsi="Tw Cen MT" w:cs="Tw Cen MT"/>
          <w:b w:val="0"/>
          <w:bCs w:val="0"/>
          <w:sz w:val="18"/>
          <w:szCs w:val="18"/>
        </w:rPr>
      </w:pPr>
      <w:r w:rsidRPr="00481657">
        <w:rPr>
          <w:rFonts w:ascii="Tw Cen MT" w:eastAsia="Tw Cen MT" w:hAnsi="Tw Cen MT" w:cs="Tw Cen MT"/>
          <w:b w:val="0"/>
          <w:bCs w:val="0"/>
          <w:sz w:val="18"/>
          <w:szCs w:val="18"/>
        </w:rPr>
        <w:t>This study was carried out with a descriptive cross-sectional design and with a comparative method. The objective of the study was to determine the incorporation of the evaluation of the self-perception of tinnitus provided by the self-evaluation questionnaires in the clinical evaluation protocol of tinnitus.</w:t>
      </w:r>
    </w:p>
    <w:p w:rsidR="00481657" w:rsidRDefault="00481657" w:rsidP="00481657">
      <w:pPr>
        <w:pStyle w:val="Ttulo3"/>
        <w:spacing w:before="74"/>
        <w:rPr>
          <w:rFonts w:ascii="Tw Cen MT" w:eastAsia="Tw Cen MT" w:hAnsi="Tw Cen MT" w:cs="Tw Cen MT"/>
          <w:b w:val="0"/>
          <w:bCs w:val="0"/>
          <w:sz w:val="18"/>
          <w:szCs w:val="18"/>
        </w:rPr>
      </w:pPr>
      <w:r>
        <w:rPr>
          <w:noProof/>
          <w:lang w:val="es-CO" w:eastAsia="es-CO"/>
        </w:rPr>
        <w:drawing>
          <wp:anchor distT="0" distB="0" distL="114300" distR="114300" simplePos="0" relativeHeight="251659264" behindDoc="1" locked="0" layoutInCell="1" allowOverlap="1">
            <wp:simplePos x="0" y="0"/>
            <wp:positionH relativeFrom="column">
              <wp:posOffset>796925</wp:posOffset>
            </wp:positionH>
            <wp:positionV relativeFrom="paragraph">
              <wp:posOffset>55880</wp:posOffset>
            </wp:positionV>
            <wp:extent cx="2286000" cy="1790065"/>
            <wp:effectExtent l="0" t="0" r="0" b="635"/>
            <wp:wrapSquare wrapText="bothSides"/>
            <wp:docPr id="1" name="Imagen 1" descr="https://www.saera.eu/wp-content/uploads/2020/09/Figura1_Jacque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aera.eu/wp-content/uploads/2020/09/Figura1_Jacquelin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17900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81657" w:rsidRDefault="00481657" w:rsidP="00481657">
      <w:pPr>
        <w:pStyle w:val="Ttulo3"/>
        <w:spacing w:before="74"/>
        <w:rPr>
          <w:b w:val="0"/>
        </w:rPr>
      </w:pPr>
      <w:r>
        <w:rPr>
          <w:color w:val="BF5A14"/>
        </w:rPr>
        <w:t>Image</w:t>
      </w:r>
      <w:r>
        <w:rPr>
          <w:b w:val="0"/>
        </w:rPr>
        <w:t xml:space="preserve"> </w:t>
      </w:r>
    </w:p>
    <w:p w:rsidR="00481657" w:rsidRDefault="00481657" w:rsidP="00481657">
      <w:pPr>
        <w:spacing w:line="204" w:lineRule="exact"/>
        <w:rPr>
          <w:rFonts w:ascii="Arial"/>
          <w:b/>
          <w:color w:val="BF5A14"/>
          <w:sz w:val="20"/>
        </w:rPr>
      </w:pPr>
    </w:p>
    <w:p w:rsidR="00481657" w:rsidRDefault="00481657" w:rsidP="00481657">
      <w:pPr>
        <w:spacing w:line="204" w:lineRule="exact"/>
        <w:rPr>
          <w:rFonts w:ascii="Arial"/>
          <w:b/>
          <w:color w:val="BF5A14"/>
          <w:sz w:val="20"/>
        </w:rPr>
      </w:pPr>
    </w:p>
    <w:p w:rsidR="00481657" w:rsidRDefault="00481657" w:rsidP="00481657">
      <w:pPr>
        <w:spacing w:line="204" w:lineRule="exact"/>
        <w:rPr>
          <w:rFonts w:ascii="Arial"/>
          <w:b/>
          <w:color w:val="BF5A14"/>
          <w:sz w:val="20"/>
        </w:rPr>
      </w:pPr>
    </w:p>
    <w:p w:rsidR="00481657" w:rsidRDefault="00481657" w:rsidP="00481657">
      <w:pPr>
        <w:spacing w:line="204" w:lineRule="exact"/>
        <w:rPr>
          <w:rFonts w:ascii="Arial"/>
          <w:b/>
          <w:color w:val="BF5A14"/>
          <w:sz w:val="20"/>
        </w:rPr>
      </w:pPr>
    </w:p>
    <w:p w:rsidR="00481657" w:rsidRDefault="00481657" w:rsidP="00481657">
      <w:pPr>
        <w:spacing w:line="204" w:lineRule="exact"/>
        <w:rPr>
          <w:rFonts w:ascii="Arial"/>
          <w:b/>
          <w:color w:val="BF5A14"/>
          <w:sz w:val="20"/>
        </w:rPr>
      </w:pPr>
    </w:p>
    <w:p w:rsidR="00481657" w:rsidRDefault="00481657" w:rsidP="00481657">
      <w:pPr>
        <w:spacing w:line="204" w:lineRule="exact"/>
        <w:rPr>
          <w:rFonts w:ascii="Arial"/>
          <w:b/>
          <w:color w:val="BF5A14"/>
          <w:sz w:val="20"/>
        </w:rPr>
      </w:pPr>
    </w:p>
    <w:p w:rsidR="00481657" w:rsidRDefault="00481657" w:rsidP="00481657">
      <w:pPr>
        <w:spacing w:line="204" w:lineRule="exact"/>
        <w:rPr>
          <w:rFonts w:ascii="Arial"/>
          <w:b/>
          <w:color w:val="BF5A14"/>
          <w:sz w:val="20"/>
        </w:rPr>
      </w:pPr>
    </w:p>
    <w:p w:rsidR="00481657" w:rsidRDefault="00481657" w:rsidP="00481657">
      <w:pPr>
        <w:spacing w:line="204" w:lineRule="exact"/>
        <w:rPr>
          <w:rFonts w:ascii="Arial"/>
          <w:b/>
          <w:color w:val="BF5A14"/>
          <w:sz w:val="20"/>
        </w:rPr>
      </w:pPr>
    </w:p>
    <w:p w:rsidR="00481657" w:rsidRDefault="00481657" w:rsidP="00481657">
      <w:pPr>
        <w:spacing w:line="204" w:lineRule="exact"/>
        <w:rPr>
          <w:rFonts w:ascii="Arial"/>
          <w:b/>
          <w:color w:val="BF5A14"/>
          <w:sz w:val="20"/>
        </w:rPr>
      </w:pPr>
    </w:p>
    <w:p w:rsidR="00481657" w:rsidRDefault="00481657" w:rsidP="00481657">
      <w:pPr>
        <w:spacing w:line="204" w:lineRule="exact"/>
        <w:rPr>
          <w:rFonts w:ascii="Arial"/>
          <w:b/>
          <w:color w:val="BF5A14"/>
          <w:sz w:val="20"/>
        </w:rPr>
      </w:pPr>
    </w:p>
    <w:p w:rsidR="00481657" w:rsidRDefault="00481657" w:rsidP="00481657">
      <w:pPr>
        <w:spacing w:line="204" w:lineRule="exact"/>
        <w:rPr>
          <w:rFonts w:ascii="Arial"/>
          <w:b/>
          <w:color w:val="BF5A14"/>
          <w:sz w:val="20"/>
        </w:rPr>
      </w:pPr>
    </w:p>
    <w:p w:rsidR="00481657" w:rsidRDefault="00481657" w:rsidP="00481657">
      <w:pPr>
        <w:spacing w:line="204" w:lineRule="exact"/>
        <w:rPr>
          <w:rFonts w:ascii="Arial"/>
          <w:b/>
          <w:color w:val="BF5A14"/>
          <w:sz w:val="20"/>
        </w:rPr>
      </w:pPr>
    </w:p>
    <w:p w:rsidR="00481657" w:rsidRPr="00DB165C" w:rsidRDefault="00DB165C" w:rsidP="00481657">
      <w:pPr>
        <w:spacing w:line="204" w:lineRule="exact"/>
        <w:rPr>
          <w:rFonts w:ascii="Arial"/>
          <w:sz w:val="20"/>
        </w:rPr>
      </w:pPr>
      <w:r w:rsidRPr="00DB165C">
        <w:rPr>
          <w:rFonts w:ascii="Arial"/>
          <w:sz w:val="20"/>
        </w:rPr>
        <w:t>Epidemiological distribution</w:t>
      </w:r>
    </w:p>
    <w:p w:rsidR="00481657" w:rsidRDefault="00481657" w:rsidP="00481657">
      <w:pPr>
        <w:spacing w:line="204" w:lineRule="exact"/>
        <w:rPr>
          <w:rFonts w:ascii="Arial"/>
          <w:b/>
          <w:color w:val="BF5A14"/>
          <w:sz w:val="20"/>
        </w:rPr>
      </w:pPr>
    </w:p>
    <w:p w:rsidR="00481657" w:rsidRDefault="00481657" w:rsidP="00481657">
      <w:pPr>
        <w:spacing w:line="204" w:lineRule="exact"/>
        <w:rPr>
          <w:rFonts w:ascii="Arial"/>
          <w:b/>
          <w:color w:val="BF5A14"/>
          <w:sz w:val="20"/>
        </w:rPr>
      </w:pPr>
    </w:p>
    <w:p w:rsidR="00481657" w:rsidRDefault="00481657" w:rsidP="00481657">
      <w:pPr>
        <w:spacing w:line="204" w:lineRule="exact"/>
        <w:rPr>
          <w:rFonts w:ascii="Arial"/>
          <w:b/>
          <w:sz w:val="20"/>
        </w:rPr>
      </w:pPr>
      <w:r>
        <w:rPr>
          <w:rFonts w:ascii="Arial"/>
          <w:b/>
          <w:color w:val="BF5A14"/>
          <w:sz w:val="20"/>
        </w:rPr>
        <w:t>Publications (minimum 5)</w:t>
      </w:r>
    </w:p>
    <w:p w:rsidR="00481657" w:rsidRPr="00522CC5" w:rsidRDefault="00481657" w:rsidP="0001076F">
      <w:pPr>
        <w:pStyle w:val="NormalWeb"/>
        <w:numPr>
          <w:ilvl w:val="0"/>
          <w:numId w:val="4"/>
        </w:numPr>
        <w:shd w:val="clear" w:color="auto" w:fill="FFFFFF"/>
        <w:spacing w:before="0" w:beforeAutospacing="0" w:after="360" w:afterAutospacing="0"/>
        <w:ind w:left="357" w:firstLine="0"/>
        <w:contextualSpacing/>
        <w:jc w:val="both"/>
        <w:rPr>
          <w:rFonts w:ascii="Tw Cen MT" w:hAnsi="Tw Cen MT" w:cs="Arial"/>
          <w:color w:val="111111"/>
          <w:sz w:val="18"/>
          <w:szCs w:val="18"/>
        </w:rPr>
      </w:pPr>
      <w:proofErr w:type="spellStart"/>
      <w:r w:rsidRPr="00522CC5">
        <w:rPr>
          <w:rFonts w:ascii="Tw Cen MT" w:hAnsi="Tw Cen MT" w:cs="Arial"/>
          <w:color w:val="111111"/>
          <w:sz w:val="18"/>
          <w:szCs w:val="18"/>
        </w:rPr>
        <w:t>Baguley</w:t>
      </w:r>
      <w:proofErr w:type="spellEnd"/>
      <w:r w:rsidRPr="00522CC5">
        <w:rPr>
          <w:rFonts w:ascii="Tw Cen MT" w:hAnsi="Tw Cen MT" w:cs="Arial"/>
          <w:color w:val="111111"/>
          <w:sz w:val="18"/>
          <w:szCs w:val="18"/>
        </w:rPr>
        <w:t xml:space="preserve">, D.M. (2002) </w:t>
      </w:r>
      <w:proofErr w:type="spellStart"/>
      <w:r w:rsidRPr="00522CC5">
        <w:rPr>
          <w:rFonts w:ascii="Tw Cen MT" w:hAnsi="Tw Cen MT" w:cs="Arial"/>
          <w:color w:val="111111"/>
          <w:sz w:val="18"/>
          <w:szCs w:val="18"/>
        </w:rPr>
        <w:t>Mechanisms</w:t>
      </w:r>
      <w:proofErr w:type="spellEnd"/>
      <w:r w:rsidRPr="00522CC5">
        <w:rPr>
          <w:rFonts w:ascii="Tw Cen MT" w:hAnsi="Tw Cen MT" w:cs="Arial"/>
          <w:color w:val="111111"/>
          <w:sz w:val="18"/>
          <w:szCs w:val="18"/>
        </w:rPr>
        <w:t xml:space="preserve"> of </w:t>
      </w:r>
      <w:proofErr w:type="spellStart"/>
      <w:r w:rsidRPr="00522CC5">
        <w:rPr>
          <w:rFonts w:ascii="Tw Cen MT" w:hAnsi="Tw Cen MT" w:cs="Arial"/>
          <w:color w:val="111111"/>
          <w:sz w:val="18"/>
          <w:szCs w:val="18"/>
        </w:rPr>
        <w:t>tinnitus</w:t>
      </w:r>
      <w:proofErr w:type="spellEnd"/>
      <w:r w:rsidRPr="00522CC5">
        <w:rPr>
          <w:rFonts w:ascii="Tw Cen MT" w:hAnsi="Tw Cen MT" w:cs="Arial"/>
          <w:color w:val="111111"/>
          <w:sz w:val="18"/>
          <w:szCs w:val="18"/>
        </w:rPr>
        <w:t>. </w:t>
      </w:r>
      <w:r w:rsidRPr="00522CC5">
        <w:rPr>
          <w:rStyle w:val="nfasis"/>
          <w:rFonts w:ascii="Tw Cen MT" w:hAnsi="Tw Cen MT" w:cs="Arial"/>
          <w:color w:val="111111"/>
          <w:sz w:val="18"/>
          <w:szCs w:val="18"/>
        </w:rPr>
        <w:t xml:space="preserve">British Medical </w:t>
      </w:r>
      <w:proofErr w:type="spellStart"/>
      <w:r w:rsidRPr="00522CC5">
        <w:rPr>
          <w:rStyle w:val="nfasis"/>
          <w:rFonts w:ascii="Tw Cen MT" w:hAnsi="Tw Cen MT" w:cs="Arial"/>
          <w:color w:val="111111"/>
          <w:sz w:val="18"/>
          <w:szCs w:val="18"/>
        </w:rPr>
        <w:t>Bulletin</w:t>
      </w:r>
      <w:proofErr w:type="spellEnd"/>
      <w:r w:rsidRPr="00522CC5">
        <w:rPr>
          <w:rFonts w:ascii="Tw Cen MT" w:hAnsi="Tw Cen MT" w:cs="Arial"/>
          <w:color w:val="111111"/>
          <w:sz w:val="18"/>
          <w:szCs w:val="18"/>
        </w:rPr>
        <w:t>; </w:t>
      </w:r>
      <w:r w:rsidRPr="00522CC5">
        <w:rPr>
          <w:rStyle w:val="nfasis"/>
          <w:rFonts w:ascii="Tw Cen MT" w:hAnsi="Tw Cen MT" w:cs="Arial"/>
          <w:color w:val="111111"/>
          <w:sz w:val="18"/>
          <w:szCs w:val="18"/>
        </w:rPr>
        <w:t>63</w:t>
      </w:r>
      <w:r w:rsidRPr="00522CC5">
        <w:rPr>
          <w:rFonts w:ascii="Tw Cen MT" w:hAnsi="Tw Cen MT" w:cs="Arial"/>
          <w:color w:val="111111"/>
          <w:sz w:val="18"/>
          <w:szCs w:val="18"/>
        </w:rPr>
        <w:t>, 195–212. </w:t>
      </w:r>
    </w:p>
    <w:p w:rsidR="00481657" w:rsidRPr="00522CC5" w:rsidRDefault="00481657" w:rsidP="0001076F">
      <w:pPr>
        <w:pStyle w:val="NormalWeb"/>
        <w:numPr>
          <w:ilvl w:val="0"/>
          <w:numId w:val="4"/>
        </w:numPr>
        <w:shd w:val="clear" w:color="auto" w:fill="FFFFFF"/>
        <w:spacing w:before="0" w:beforeAutospacing="0" w:after="360" w:afterAutospacing="0"/>
        <w:ind w:left="357" w:firstLine="0"/>
        <w:contextualSpacing/>
        <w:jc w:val="both"/>
        <w:rPr>
          <w:rFonts w:ascii="Tw Cen MT" w:hAnsi="Tw Cen MT" w:cs="Arial"/>
          <w:color w:val="111111"/>
          <w:sz w:val="18"/>
          <w:szCs w:val="18"/>
        </w:rPr>
      </w:pPr>
      <w:proofErr w:type="spellStart"/>
      <w:r w:rsidRPr="00522CC5">
        <w:rPr>
          <w:rFonts w:ascii="Tw Cen MT" w:hAnsi="Tw Cen MT" w:cs="Arial"/>
          <w:color w:val="111111"/>
          <w:sz w:val="18"/>
          <w:szCs w:val="18"/>
        </w:rPr>
        <w:t>Biassoni</w:t>
      </w:r>
      <w:proofErr w:type="spellEnd"/>
      <w:r w:rsidRPr="00522CC5">
        <w:rPr>
          <w:rFonts w:ascii="Tw Cen MT" w:hAnsi="Tw Cen MT" w:cs="Arial"/>
          <w:color w:val="111111"/>
          <w:sz w:val="18"/>
          <w:szCs w:val="18"/>
        </w:rPr>
        <w:t xml:space="preserve">, E.C., Serra, M.R., Pérez, J., </w:t>
      </w:r>
      <w:proofErr w:type="spellStart"/>
      <w:r w:rsidRPr="00522CC5">
        <w:rPr>
          <w:rFonts w:ascii="Tw Cen MT" w:hAnsi="Tw Cen MT" w:cs="Arial"/>
          <w:color w:val="111111"/>
          <w:sz w:val="18"/>
          <w:szCs w:val="18"/>
        </w:rPr>
        <w:t>Joekes</w:t>
      </w:r>
      <w:proofErr w:type="spellEnd"/>
      <w:r w:rsidRPr="00522CC5">
        <w:rPr>
          <w:rFonts w:ascii="Tw Cen MT" w:hAnsi="Tw Cen MT" w:cs="Arial"/>
          <w:color w:val="111111"/>
          <w:sz w:val="18"/>
          <w:szCs w:val="18"/>
        </w:rPr>
        <w:t xml:space="preserve">, S., y </w:t>
      </w:r>
      <w:proofErr w:type="spellStart"/>
      <w:r w:rsidRPr="00522CC5">
        <w:rPr>
          <w:rFonts w:ascii="Tw Cen MT" w:hAnsi="Tw Cen MT" w:cs="Arial"/>
          <w:color w:val="111111"/>
          <w:sz w:val="18"/>
          <w:szCs w:val="18"/>
        </w:rPr>
        <w:t>Yacci</w:t>
      </w:r>
      <w:proofErr w:type="spellEnd"/>
      <w:r w:rsidRPr="00522CC5">
        <w:rPr>
          <w:rFonts w:ascii="Tw Cen MT" w:hAnsi="Tw Cen MT" w:cs="Arial"/>
          <w:color w:val="111111"/>
          <w:sz w:val="18"/>
          <w:szCs w:val="18"/>
        </w:rPr>
        <w:t xml:space="preserve">, M.R.  (2008) </w:t>
      </w:r>
      <w:proofErr w:type="spellStart"/>
      <w:r w:rsidRPr="00522CC5">
        <w:rPr>
          <w:rFonts w:ascii="Tw Cen MT" w:hAnsi="Tw Cen MT" w:cs="Arial"/>
          <w:color w:val="111111"/>
          <w:sz w:val="18"/>
          <w:szCs w:val="18"/>
        </w:rPr>
        <w:t>Recreational</w:t>
      </w:r>
      <w:proofErr w:type="spellEnd"/>
      <w:r w:rsidRPr="00522CC5">
        <w:rPr>
          <w:rFonts w:ascii="Tw Cen MT" w:hAnsi="Tw Cen MT" w:cs="Arial"/>
          <w:color w:val="111111"/>
          <w:sz w:val="18"/>
          <w:szCs w:val="18"/>
        </w:rPr>
        <w:t xml:space="preserve"> </w:t>
      </w:r>
      <w:proofErr w:type="spellStart"/>
      <w:r w:rsidRPr="00522CC5">
        <w:rPr>
          <w:rFonts w:ascii="Tw Cen MT" w:hAnsi="Tw Cen MT" w:cs="Arial"/>
          <w:color w:val="111111"/>
          <w:sz w:val="18"/>
          <w:szCs w:val="18"/>
        </w:rPr>
        <w:t>habits</w:t>
      </w:r>
      <w:proofErr w:type="spellEnd"/>
      <w:r w:rsidRPr="00522CC5">
        <w:rPr>
          <w:rFonts w:ascii="Tw Cen MT" w:hAnsi="Tw Cen MT" w:cs="Arial"/>
          <w:color w:val="111111"/>
          <w:sz w:val="18"/>
          <w:szCs w:val="18"/>
        </w:rPr>
        <w:t xml:space="preserve"> </w:t>
      </w:r>
      <w:proofErr w:type="spellStart"/>
      <w:r w:rsidRPr="00522CC5">
        <w:rPr>
          <w:rFonts w:ascii="Tw Cen MT" w:hAnsi="Tw Cen MT" w:cs="Arial"/>
          <w:color w:val="111111"/>
          <w:sz w:val="18"/>
          <w:szCs w:val="18"/>
        </w:rPr>
        <w:t>among</w:t>
      </w:r>
      <w:proofErr w:type="spellEnd"/>
      <w:r w:rsidRPr="00522CC5">
        <w:rPr>
          <w:rFonts w:ascii="Tw Cen MT" w:hAnsi="Tw Cen MT" w:cs="Arial"/>
          <w:color w:val="111111"/>
          <w:sz w:val="18"/>
          <w:szCs w:val="18"/>
        </w:rPr>
        <w:t xml:space="preserve"> </w:t>
      </w:r>
      <w:proofErr w:type="spellStart"/>
      <w:r w:rsidRPr="00522CC5">
        <w:rPr>
          <w:rFonts w:ascii="Tw Cen MT" w:hAnsi="Tw Cen MT" w:cs="Arial"/>
          <w:color w:val="111111"/>
          <w:sz w:val="18"/>
          <w:szCs w:val="18"/>
        </w:rPr>
        <w:t>adolescents</w:t>
      </w:r>
      <w:proofErr w:type="spellEnd"/>
      <w:r w:rsidRPr="00522CC5">
        <w:rPr>
          <w:rFonts w:ascii="Tw Cen MT" w:hAnsi="Tw Cen MT" w:cs="Arial"/>
          <w:color w:val="111111"/>
          <w:sz w:val="18"/>
          <w:szCs w:val="18"/>
        </w:rPr>
        <w:t xml:space="preserve"> and </w:t>
      </w:r>
      <w:proofErr w:type="spellStart"/>
      <w:r w:rsidRPr="00522CC5">
        <w:rPr>
          <w:rFonts w:ascii="Tw Cen MT" w:hAnsi="Tw Cen MT" w:cs="Arial"/>
          <w:color w:val="111111"/>
          <w:sz w:val="18"/>
          <w:szCs w:val="18"/>
        </w:rPr>
        <w:t>auditory</w:t>
      </w:r>
      <w:proofErr w:type="spellEnd"/>
      <w:r w:rsidRPr="00522CC5">
        <w:rPr>
          <w:rFonts w:ascii="Tw Cen MT" w:hAnsi="Tw Cen MT" w:cs="Arial"/>
          <w:color w:val="111111"/>
          <w:sz w:val="18"/>
          <w:szCs w:val="18"/>
        </w:rPr>
        <w:t xml:space="preserve"> </w:t>
      </w:r>
      <w:proofErr w:type="spellStart"/>
      <w:r w:rsidRPr="00522CC5">
        <w:rPr>
          <w:rFonts w:ascii="Tw Cen MT" w:hAnsi="Tw Cen MT" w:cs="Arial"/>
          <w:color w:val="111111"/>
          <w:sz w:val="18"/>
          <w:szCs w:val="18"/>
        </w:rPr>
        <w:t>health</w:t>
      </w:r>
      <w:proofErr w:type="spellEnd"/>
      <w:r w:rsidRPr="00522CC5">
        <w:rPr>
          <w:rFonts w:ascii="Tw Cen MT" w:hAnsi="Tw Cen MT" w:cs="Arial"/>
          <w:color w:val="111111"/>
          <w:sz w:val="18"/>
          <w:szCs w:val="18"/>
        </w:rPr>
        <w:t>. </w:t>
      </w:r>
      <w:proofErr w:type="spellStart"/>
      <w:r w:rsidRPr="00522CC5">
        <w:rPr>
          <w:rStyle w:val="nfasis"/>
          <w:rFonts w:ascii="Tw Cen MT" w:hAnsi="Tw Cen MT" w:cs="Arial"/>
          <w:color w:val="111111"/>
          <w:sz w:val="18"/>
          <w:szCs w:val="18"/>
        </w:rPr>
        <w:t>Interamerican</w:t>
      </w:r>
      <w:proofErr w:type="spellEnd"/>
      <w:r w:rsidRPr="00522CC5">
        <w:rPr>
          <w:rStyle w:val="nfasis"/>
          <w:rFonts w:ascii="Tw Cen MT" w:hAnsi="Tw Cen MT" w:cs="Arial"/>
          <w:color w:val="111111"/>
          <w:sz w:val="18"/>
          <w:szCs w:val="18"/>
        </w:rPr>
        <w:t xml:space="preserve"> </w:t>
      </w:r>
      <w:proofErr w:type="spellStart"/>
      <w:r w:rsidRPr="00522CC5">
        <w:rPr>
          <w:rStyle w:val="nfasis"/>
          <w:rFonts w:ascii="Tw Cen MT" w:hAnsi="Tw Cen MT" w:cs="Arial"/>
          <w:color w:val="111111"/>
          <w:sz w:val="18"/>
          <w:szCs w:val="18"/>
        </w:rPr>
        <w:t>Journal</w:t>
      </w:r>
      <w:proofErr w:type="spellEnd"/>
      <w:r w:rsidRPr="00522CC5">
        <w:rPr>
          <w:rStyle w:val="nfasis"/>
          <w:rFonts w:ascii="Tw Cen MT" w:hAnsi="Tw Cen MT" w:cs="Arial"/>
          <w:color w:val="111111"/>
          <w:sz w:val="18"/>
          <w:szCs w:val="18"/>
        </w:rPr>
        <w:t xml:space="preserve"> </w:t>
      </w:r>
      <w:proofErr w:type="spellStart"/>
      <w:r w:rsidRPr="00522CC5">
        <w:rPr>
          <w:rStyle w:val="nfasis"/>
          <w:rFonts w:ascii="Tw Cen MT" w:hAnsi="Tw Cen MT" w:cs="Arial"/>
          <w:color w:val="111111"/>
          <w:sz w:val="18"/>
          <w:szCs w:val="18"/>
        </w:rPr>
        <w:t>Psychology</w:t>
      </w:r>
      <w:proofErr w:type="spellEnd"/>
      <w:r w:rsidRPr="00522CC5">
        <w:rPr>
          <w:rStyle w:val="nfasis"/>
          <w:rFonts w:ascii="Tw Cen MT" w:hAnsi="Tw Cen MT" w:cs="Arial"/>
          <w:color w:val="111111"/>
          <w:sz w:val="18"/>
          <w:szCs w:val="18"/>
        </w:rPr>
        <w:t>; 42</w:t>
      </w:r>
      <w:r w:rsidRPr="00522CC5">
        <w:rPr>
          <w:rFonts w:ascii="Tw Cen MT" w:hAnsi="Tw Cen MT" w:cs="Arial"/>
          <w:color w:val="111111"/>
          <w:sz w:val="18"/>
          <w:szCs w:val="18"/>
        </w:rPr>
        <w:t>(2), 257–271.</w:t>
      </w:r>
    </w:p>
    <w:p w:rsidR="00481657" w:rsidRPr="00522CC5" w:rsidRDefault="00481657" w:rsidP="0001076F">
      <w:pPr>
        <w:pStyle w:val="NormalWeb"/>
        <w:numPr>
          <w:ilvl w:val="0"/>
          <w:numId w:val="4"/>
        </w:numPr>
        <w:shd w:val="clear" w:color="auto" w:fill="FFFFFF"/>
        <w:spacing w:before="0" w:beforeAutospacing="0" w:after="360" w:afterAutospacing="0"/>
        <w:ind w:left="357" w:firstLine="0"/>
        <w:contextualSpacing/>
        <w:jc w:val="both"/>
        <w:rPr>
          <w:rFonts w:ascii="Tw Cen MT" w:hAnsi="Tw Cen MT" w:cs="Arial"/>
          <w:color w:val="111111"/>
          <w:sz w:val="18"/>
          <w:szCs w:val="18"/>
        </w:rPr>
      </w:pPr>
      <w:r w:rsidRPr="00522CC5">
        <w:rPr>
          <w:rFonts w:ascii="Tw Cen MT" w:hAnsi="Tw Cen MT" w:cs="Arial"/>
          <w:color w:val="111111"/>
          <w:sz w:val="18"/>
          <w:szCs w:val="18"/>
        </w:rPr>
        <w:t xml:space="preserve">De </w:t>
      </w:r>
      <w:proofErr w:type="spellStart"/>
      <w:r w:rsidRPr="00522CC5">
        <w:rPr>
          <w:rFonts w:ascii="Tw Cen MT" w:hAnsi="Tw Cen MT" w:cs="Arial"/>
          <w:color w:val="111111"/>
          <w:sz w:val="18"/>
          <w:szCs w:val="18"/>
        </w:rPr>
        <w:t>Azevedo</w:t>
      </w:r>
      <w:proofErr w:type="spellEnd"/>
      <w:r w:rsidRPr="00522CC5">
        <w:rPr>
          <w:rFonts w:ascii="Tw Cen MT" w:hAnsi="Tw Cen MT" w:cs="Arial"/>
          <w:color w:val="111111"/>
          <w:sz w:val="18"/>
          <w:szCs w:val="18"/>
        </w:rPr>
        <w:t xml:space="preserve">, R.F., </w:t>
      </w:r>
      <w:proofErr w:type="spellStart"/>
      <w:r w:rsidRPr="00522CC5">
        <w:rPr>
          <w:rFonts w:ascii="Tw Cen MT" w:hAnsi="Tw Cen MT" w:cs="Arial"/>
          <w:color w:val="111111"/>
          <w:sz w:val="18"/>
          <w:szCs w:val="18"/>
        </w:rPr>
        <w:t>Chiari</w:t>
      </w:r>
      <w:proofErr w:type="spellEnd"/>
      <w:r w:rsidRPr="00522CC5">
        <w:rPr>
          <w:rFonts w:ascii="Tw Cen MT" w:hAnsi="Tw Cen MT" w:cs="Arial"/>
          <w:color w:val="111111"/>
          <w:sz w:val="18"/>
          <w:szCs w:val="18"/>
        </w:rPr>
        <w:t xml:space="preserve">, B.M., </w:t>
      </w:r>
      <w:proofErr w:type="spellStart"/>
      <w:r w:rsidRPr="00522CC5">
        <w:rPr>
          <w:rFonts w:ascii="Tw Cen MT" w:hAnsi="Tw Cen MT" w:cs="Arial"/>
          <w:color w:val="111111"/>
          <w:sz w:val="18"/>
          <w:szCs w:val="18"/>
        </w:rPr>
        <w:t>Okada</w:t>
      </w:r>
      <w:proofErr w:type="spellEnd"/>
      <w:r w:rsidRPr="00522CC5">
        <w:rPr>
          <w:rFonts w:ascii="Tw Cen MT" w:hAnsi="Tw Cen MT" w:cs="Arial"/>
          <w:color w:val="111111"/>
          <w:sz w:val="18"/>
          <w:szCs w:val="18"/>
        </w:rPr>
        <w:t xml:space="preserve">, D., y </w:t>
      </w:r>
      <w:proofErr w:type="spellStart"/>
      <w:r w:rsidRPr="00522CC5">
        <w:rPr>
          <w:rFonts w:ascii="Tw Cen MT" w:hAnsi="Tw Cen MT" w:cs="Arial"/>
          <w:color w:val="111111"/>
          <w:sz w:val="18"/>
          <w:szCs w:val="18"/>
        </w:rPr>
        <w:t>Onishi</w:t>
      </w:r>
      <w:proofErr w:type="spellEnd"/>
      <w:r w:rsidRPr="00522CC5">
        <w:rPr>
          <w:rFonts w:ascii="Tw Cen MT" w:hAnsi="Tw Cen MT" w:cs="Arial"/>
          <w:color w:val="111111"/>
          <w:sz w:val="18"/>
          <w:szCs w:val="18"/>
        </w:rPr>
        <w:t xml:space="preserve">, E.T. (2007) </w:t>
      </w:r>
      <w:proofErr w:type="spellStart"/>
      <w:r w:rsidRPr="00522CC5">
        <w:rPr>
          <w:rFonts w:ascii="Tw Cen MT" w:hAnsi="Tw Cen MT" w:cs="Arial"/>
          <w:color w:val="111111"/>
          <w:sz w:val="18"/>
          <w:szCs w:val="18"/>
        </w:rPr>
        <w:t>Impact</w:t>
      </w:r>
      <w:proofErr w:type="spellEnd"/>
      <w:r w:rsidRPr="00522CC5">
        <w:rPr>
          <w:rFonts w:ascii="Tw Cen MT" w:hAnsi="Tw Cen MT" w:cs="Arial"/>
          <w:color w:val="111111"/>
          <w:sz w:val="18"/>
          <w:szCs w:val="18"/>
        </w:rPr>
        <w:t xml:space="preserve"> of </w:t>
      </w:r>
      <w:proofErr w:type="spellStart"/>
      <w:r w:rsidRPr="00522CC5">
        <w:rPr>
          <w:rFonts w:ascii="Tw Cen MT" w:hAnsi="Tw Cen MT" w:cs="Arial"/>
          <w:color w:val="111111"/>
          <w:sz w:val="18"/>
          <w:szCs w:val="18"/>
        </w:rPr>
        <w:t>acupuncture</w:t>
      </w:r>
      <w:proofErr w:type="spellEnd"/>
      <w:r w:rsidRPr="00522CC5">
        <w:rPr>
          <w:rFonts w:ascii="Tw Cen MT" w:hAnsi="Tw Cen MT" w:cs="Arial"/>
          <w:color w:val="111111"/>
          <w:sz w:val="18"/>
          <w:szCs w:val="18"/>
        </w:rPr>
        <w:t xml:space="preserve"> </w:t>
      </w:r>
      <w:proofErr w:type="spellStart"/>
      <w:r w:rsidRPr="00522CC5">
        <w:rPr>
          <w:rFonts w:ascii="Tw Cen MT" w:hAnsi="Tw Cen MT" w:cs="Arial"/>
          <w:color w:val="111111"/>
          <w:sz w:val="18"/>
          <w:szCs w:val="18"/>
        </w:rPr>
        <w:t>on</w:t>
      </w:r>
      <w:proofErr w:type="spellEnd"/>
      <w:r w:rsidRPr="00522CC5">
        <w:rPr>
          <w:rFonts w:ascii="Tw Cen MT" w:hAnsi="Tw Cen MT" w:cs="Arial"/>
          <w:color w:val="111111"/>
          <w:sz w:val="18"/>
          <w:szCs w:val="18"/>
        </w:rPr>
        <w:t xml:space="preserve"> </w:t>
      </w:r>
      <w:proofErr w:type="spellStart"/>
      <w:r w:rsidRPr="00522CC5">
        <w:rPr>
          <w:rFonts w:ascii="Tw Cen MT" w:hAnsi="Tw Cen MT" w:cs="Arial"/>
          <w:color w:val="111111"/>
          <w:sz w:val="18"/>
          <w:szCs w:val="18"/>
        </w:rPr>
        <w:t>otoacoustic</w:t>
      </w:r>
      <w:proofErr w:type="spellEnd"/>
      <w:r w:rsidRPr="00522CC5">
        <w:rPr>
          <w:rFonts w:ascii="Tw Cen MT" w:hAnsi="Tw Cen MT" w:cs="Arial"/>
          <w:color w:val="111111"/>
          <w:sz w:val="18"/>
          <w:szCs w:val="18"/>
        </w:rPr>
        <w:t xml:space="preserve"> </w:t>
      </w:r>
      <w:proofErr w:type="spellStart"/>
      <w:r w:rsidRPr="00522CC5">
        <w:rPr>
          <w:rFonts w:ascii="Tw Cen MT" w:hAnsi="Tw Cen MT" w:cs="Arial"/>
          <w:color w:val="111111"/>
          <w:sz w:val="18"/>
          <w:szCs w:val="18"/>
        </w:rPr>
        <w:t>emissions</w:t>
      </w:r>
      <w:proofErr w:type="spellEnd"/>
      <w:r w:rsidRPr="00522CC5">
        <w:rPr>
          <w:rFonts w:ascii="Tw Cen MT" w:hAnsi="Tw Cen MT" w:cs="Arial"/>
          <w:color w:val="111111"/>
          <w:sz w:val="18"/>
          <w:szCs w:val="18"/>
        </w:rPr>
        <w:t xml:space="preserve"> in </w:t>
      </w:r>
      <w:proofErr w:type="spellStart"/>
      <w:r w:rsidRPr="00522CC5">
        <w:rPr>
          <w:rFonts w:ascii="Tw Cen MT" w:hAnsi="Tw Cen MT" w:cs="Arial"/>
          <w:color w:val="111111"/>
          <w:sz w:val="18"/>
          <w:szCs w:val="18"/>
        </w:rPr>
        <w:t>patients</w:t>
      </w:r>
      <w:proofErr w:type="spellEnd"/>
      <w:r w:rsidRPr="00522CC5">
        <w:rPr>
          <w:rFonts w:ascii="Tw Cen MT" w:hAnsi="Tw Cen MT" w:cs="Arial"/>
          <w:color w:val="111111"/>
          <w:sz w:val="18"/>
          <w:szCs w:val="18"/>
        </w:rPr>
        <w:t xml:space="preserve"> </w:t>
      </w:r>
      <w:proofErr w:type="spellStart"/>
      <w:r w:rsidRPr="00522CC5">
        <w:rPr>
          <w:rFonts w:ascii="Tw Cen MT" w:hAnsi="Tw Cen MT" w:cs="Arial"/>
          <w:color w:val="111111"/>
          <w:sz w:val="18"/>
          <w:szCs w:val="18"/>
        </w:rPr>
        <w:t>with</w:t>
      </w:r>
      <w:proofErr w:type="spellEnd"/>
      <w:r w:rsidRPr="00522CC5">
        <w:rPr>
          <w:rFonts w:ascii="Tw Cen MT" w:hAnsi="Tw Cen MT" w:cs="Arial"/>
          <w:color w:val="111111"/>
          <w:sz w:val="18"/>
          <w:szCs w:val="18"/>
        </w:rPr>
        <w:t xml:space="preserve"> </w:t>
      </w:r>
      <w:proofErr w:type="spellStart"/>
      <w:r w:rsidRPr="00522CC5">
        <w:rPr>
          <w:rFonts w:ascii="Tw Cen MT" w:hAnsi="Tw Cen MT" w:cs="Arial"/>
          <w:color w:val="111111"/>
          <w:sz w:val="18"/>
          <w:szCs w:val="18"/>
        </w:rPr>
        <w:t>tinnitus</w:t>
      </w:r>
      <w:proofErr w:type="spellEnd"/>
      <w:r w:rsidRPr="00522CC5">
        <w:rPr>
          <w:rFonts w:ascii="Tw Cen MT" w:hAnsi="Tw Cen MT" w:cs="Arial"/>
          <w:color w:val="111111"/>
          <w:sz w:val="18"/>
          <w:szCs w:val="18"/>
        </w:rPr>
        <w:t>.  </w:t>
      </w:r>
      <w:proofErr w:type="spellStart"/>
      <w:r w:rsidRPr="00522CC5">
        <w:rPr>
          <w:rStyle w:val="nfasis"/>
          <w:rFonts w:ascii="Tw Cen MT" w:hAnsi="Tw Cen MT" w:cs="Arial"/>
          <w:color w:val="111111"/>
          <w:sz w:val="18"/>
          <w:szCs w:val="18"/>
        </w:rPr>
        <w:t>Brazillian</w:t>
      </w:r>
      <w:proofErr w:type="spellEnd"/>
      <w:r w:rsidRPr="00522CC5">
        <w:rPr>
          <w:rStyle w:val="nfasis"/>
          <w:rFonts w:ascii="Tw Cen MT" w:hAnsi="Tw Cen MT" w:cs="Arial"/>
          <w:color w:val="111111"/>
          <w:sz w:val="18"/>
          <w:szCs w:val="18"/>
        </w:rPr>
        <w:t xml:space="preserve"> </w:t>
      </w:r>
      <w:proofErr w:type="spellStart"/>
      <w:r w:rsidRPr="00522CC5">
        <w:rPr>
          <w:rStyle w:val="nfasis"/>
          <w:rFonts w:ascii="Tw Cen MT" w:hAnsi="Tw Cen MT" w:cs="Arial"/>
          <w:color w:val="111111"/>
          <w:sz w:val="18"/>
          <w:szCs w:val="18"/>
        </w:rPr>
        <w:t>Journal</w:t>
      </w:r>
      <w:proofErr w:type="spellEnd"/>
      <w:r w:rsidRPr="00522CC5">
        <w:rPr>
          <w:rStyle w:val="nfasis"/>
          <w:rFonts w:ascii="Tw Cen MT" w:hAnsi="Tw Cen MT" w:cs="Arial"/>
          <w:color w:val="111111"/>
          <w:sz w:val="18"/>
          <w:szCs w:val="18"/>
        </w:rPr>
        <w:t xml:space="preserve"> </w:t>
      </w:r>
      <w:proofErr w:type="spellStart"/>
      <w:r w:rsidRPr="00522CC5">
        <w:rPr>
          <w:rStyle w:val="nfasis"/>
          <w:rFonts w:ascii="Tw Cen MT" w:hAnsi="Tw Cen MT" w:cs="Arial"/>
          <w:color w:val="111111"/>
          <w:sz w:val="18"/>
          <w:szCs w:val="18"/>
        </w:rPr>
        <w:t>Otorhinolaryngology</w:t>
      </w:r>
      <w:proofErr w:type="spellEnd"/>
      <w:r w:rsidRPr="00522CC5">
        <w:rPr>
          <w:rStyle w:val="nfasis"/>
          <w:rFonts w:ascii="Tw Cen MT" w:hAnsi="Tw Cen MT" w:cs="Arial"/>
          <w:color w:val="111111"/>
          <w:sz w:val="18"/>
          <w:szCs w:val="18"/>
        </w:rPr>
        <w:t>; 73</w:t>
      </w:r>
      <w:r w:rsidRPr="00522CC5">
        <w:rPr>
          <w:rFonts w:ascii="Tw Cen MT" w:hAnsi="Tw Cen MT" w:cs="Arial"/>
          <w:color w:val="111111"/>
          <w:sz w:val="18"/>
          <w:szCs w:val="18"/>
        </w:rPr>
        <w:t>(5),599–607. </w:t>
      </w:r>
    </w:p>
    <w:p w:rsidR="00481657" w:rsidRPr="00522CC5" w:rsidRDefault="00481657" w:rsidP="0001076F">
      <w:pPr>
        <w:pStyle w:val="NormalWeb"/>
        <w:numPr>
          <w:ilvl w:val="0"/>
          <w:numId w:val="4"/>
        </w:numPr>
        <w:shd w:val="clear" w:color="auto" w:fill="FFFFFF"/>
        <w:spacing w:before="0" w:beforeAutospacing="0" w:after="360" w:afterAutospacing="0"/>
        <w:ind w:left="357" w:firstLine="0"/>
        <w:contextualSpacing/>
        <w:jc w:val="both"/>
        <w:rPr>
          <w:rFonts w:ascii="Tw Cen MT" w:hAnsi="Tw Cen MT" w:cs="Arial"/>
          <w:color w:val="111111"/>
          <w:sz w:val="18"/>
          <w:szCs w:val="18"/>
        </w:rPr>
      </w:pPr>
      <w:r w:rsidRPr="00522CC5">
        <w:rPr>
          <w:rFonts w:ascii="Tw Cen MT" w:hAnsi="Tw Cen MT" w:cs="Arial"/>
          <w:color w:val="111111"/>
          <w:sz w:val="18"/>
          <w:szCs w:val="18"/>
        </w:rPr>
        <w:t>Gómez, O. (2006) </w:t>
      </w:r>
      <w:r w:rsidRPr="00522CC5">
        <w:rPr>
          <w:rStyle w:val="nfasis"/>
          <w:rFonts w:ascii="Tw Cen MT" w:hAnsi="Tw Cen MT" w:cs="Arial"/>
          <w:color w:val="111111"/>
          <w:sz w:val="18"/>
          <w:szCs w:val="18"/>
        </w:rPr>
        <w:t>Audiología Básica.</w:t>
      </w:r>
      <w:r w:rsidRPr="00522CC5">
        <w:rPr>
          <w:rFonts w:ascii="Tw Cen MT" w:hAnsi="Tw Cen MT" w:cs="Arial"/>
          <w:color w:val="111111"/>
          <w:sz w:val="18"/>
          <w:szCs w:val="18"/>
        </w:rPr>
        <w:t> Bogotá: </w:t>
      </w:r>
      <w:hyperlink r:id="rId10" w:history="1">
        <w:r w:rsidRPr="00522CC5">
          <w:rPr>
            <w:rStyle w:val="Hipervnculo"/>
            <w:rFonts w:ascii="Tw Cen MT" w:hAnsi="Tw Cen MT" w:cs="Arial"/>
            <w:color w:val="0064CC"/>
            <w:sz w:val="18"/>
            <w:szCs w:val="18"/>
          </w:rPr>
          <w:t>Editorial Universidad Nacional de Colombia.</w:t>
        </w:r>
      </w:hyperlink>
      <w:bookmarkStart w:id="0" w:name="_GoBack"/>
      <w:bookmarkEnd w:id="0"/>
    </w:p>
    <w:p w:rsidR="00481657" w:rsidRPr="00522CC5" w:rsidRDefault="00481657" w:rsidP="0001076F">
      <w:pPr>
        <w:pStyle w:val="NormalWeb"/>
        <w:numPr>
          <w:ilvl w:val="0"/>
          <w:numId w:val="4"/>
        </w:numPr>
        <w:shd w:val="clear" w:color="auto" w:fill="FFFFFF"/>
        <w:spacing w:before="0" w:beforeAutospacing="0" w:after="360" w:afterAutospacing="0"/>
        <w:ind w:left="357" w:firstLine="0"/>
        <w:contextualSpacing/>
        <w:jc w:val="both"/>
        <w:rPr>
          <w:rFonts w:ascii="Tw Cen MT" w:hAnsi="Tw Cen MT" w:cs="Arial"/>
          <w:color w:val="111111"/>
          <w:sz w:val="18"/>
          <w:szCs w:val="18"/>
        </w:rPr>
      </w:pPr>
      <w:proofErr w:type="spellStart"/>
      <w:r w:rsidRPr="00522CC5">
        <w:rPr>
          <w:rFonts w:ascii="Tw Cen MT" w:hAnsi="Tw Cen MT" w:cs="Arial"/>
          <w:color w:val="111111"/>
          <w:sz w:val="18"/>
          <w:szCs w:val="18"/>
        </w:rPr>
        <w:t>Jastreboff</w:t>
      </w:r>
      <w:proofErr w:type="spellEnd"/>
      <w:r w:rsidRPr="00522CC5">
        <w:rPr>
          <w:rFonts w:ascii="Tw Cen MT" w:hAnsi="Tw Cen MT" w:cs="Arial"/>
          <w:color w:val="111111"/>
          <w:sz w:val="18"/>
          <w:szCs w:val="18"/>
        </w:rPr>
        <w:t xml:space="preserve">, P.J. (1995) </w:t>
      </w:r>
      <w:proofErr w:type="spellStart"/>
      <w:r w:rsidRPr="00522CC5">
        <w:rPr>
          <w:rFonts w:ascii="Tw Cen MT" w:hAnsi="Tw Cen MT" w:cs="Arial"/>
          <w:color w:val="111111"/>
          <w:sz w:val="18"/>
          <w:szCs w:val="18"/>
        </w:rPr>
        <w:t>Tinnitus</w:t>
      </w:r>
      <w:proofErr w:type="spellEnd"/>
      <w:r w:rsidRPr="00522CC5">
        <w:rPr>
          <w:rFonts w:ascii="Tw Cen MT" w:hAnsi="Tw Cen MT" w:cs="Arial"/>
          <w:color w:val="111111"/>
          <w:sz w:val="18"/>
          <w:szCs w:val="18"/>
        </w:rPr>
        <w:t xml:space="preserve"> as a </w:t>
      </w:r>
      <w:proofErr w:type="spellStart"/>
      <w:r w:rsidRPr="00522CC5">
        <w:rPr>
          <w:rFonts w:ascii="Tw Cen MT" w:hAnsi="Tw Cen MT" w:cs="Arial"/>
          <w:color w:val="111111"/>
          <w:sz w:val="18"/>
          <w:szCs w:val="18"/>
        </w:rPr>
        <w:t>phantom</w:t>
      </w:r>
      <w:proofErr w:type="spellEnd"/>
      <w:r w:rsidRPr="00522CC5">
        <w:rPr>
          <w:rFonts w:ascii="Tw Cen MT" w:hAnsi="Tw Cen MT" w:cs="Arial"/>
          <w:color w:val="111111"/>
          <w:sz w:val="18"/>
          <w:szCs w:val="18"/>
        </w:rPr>
        <w:t xml:space="preserve"> </w:t>
      </w:r>
      <w:proofErr w:type="spellStart"/>
      <w:r w:rsidRPr="00522CC5">
        <w:rPr>
          <w:rFonts w:ascii="Tw Cen MT" w:hAnsi="Tw Cen MT" w:cs="Arial"/>
          <w:color w:val="111111"/>
          <w:sz w:val="18"/>
          <w:szCs w:val="18"/>
        </w:rPr>
        <w:t>perception</w:t>
      </w:r>
      <w:proofErr w:type="spellEnd"/>
      <w:r w:rsidRPr="00522CC5">
        <w:rPr>
          <w:rFonts w:ascii="Tw Cen MT" w:hAnsi="Tw Cen MT" w:cs="Arial"/>
          <w:color w:val="111111"/>
          <w:sz w:val="18"/>
          <w:szCs w:val="18"/>
        </w:rPr>
        <w:t>. </w:t>
      </w:r>
      <w:proofErr w:type="spellStart"/>
      <w:r w:rsidRPr="00522CC5">
        <w:rPr>
          <w:rStyle w:val="nfasis"/>
          <w:rFonts w:ascii="Tw Cen MT" w:hAnsi="Tw Cen MT" w:cs="Arial"/>
          <w:color w:val="111111"/>
          <w:sz w:val="18"/>
          <w:szCs w:val="18"/>
        </w:rPr>
        <w:t>Neuroscience</w:t>
      </w:r>
      <w:proofErr w:type="spellEnd"/>
      <w:r w:rsidRPr="00522CC5">
        <w:rPr>
          <w:rStyle w:val="nfasis"/>
          <w:rFonts w:ascii="Tw Cen MT" w:hAnsi="Tw Cen MT" w:cs="Arial"/>
          <w:color w:val="111111"/>
          <w:sz w:val="18"/>
          <w:szCs w:val="18"/>
        </w:rPr>
        <w:t xml:space="preserve"> </w:t>
      </w:r>
      <w:proofErr w:type="spellStart"/>
      <w:r w:rsidRPr="00522CC5">
        <w:rPr>
          <w:rStyle w:val="nfasis"/>
          <w:rFonts w:ascii="Tw Cen MT" w:hAnsi="Tw Cen MT" w:cs="Arial"/>
          <w:color w:val="111111"/>
          <w:sz w:val="18"/>
          <w:szCs w:val="18"/>
        </w:rPr>
        <w:t>Research</w:t>
      </w:r>
      <w:proofErr w:type="spellEnd"/>
      <w:r w:rsidRPr="00522CC5">
        <w:rPr>
          <w:rStyle w:val="nfasis"/>
          <w:rFonts w:ascii="Tw Cen MT" w:hAnsi="Tw Cen MT" w:cs="Arial"/>
          <w:color w:val="111111"/>
          <w:sz w:val="18"/>
          <w:szCs w:val="18"/>
        </w:rPr>
        <w:t>; 8</w:t>
      </w:r>
      <w:r w:rsidRPr="00522CC5">
        <w:rPr>
          <w:rFonts w:ascii="Tw Cen MT" w:hAnsi="Tw Cen MT" w:cs="Arial"/>
          <w:color w:val="111111"/>
          <w:sz w:val="18"/>
          <w:szCs w:val="18"/>
        </w:rPr>
        <w:t>(4), 221-254</w:t>
      </w:r>
    </w:p>
    <w:p w:rsidR="00481657" w:rsidRPr="00522CC5" w:rsidRDefault="00481657" w:rsidP="0001076F">
      <w:pPr>
        <w:pStyle w:val="NormalWeb"/>
        <w:numPr>
          <w:ilvl w:val="0"/>
          <w:numId w:val="4"/>
        </w:numPr>
        <w:shd w:val="clear" w:color="auto" w:fill="FFFFFF"/>
        <w:spacing w:before="0" w:beforeAutospacing="0" w:after="360" w:afterAutospacing="0"/>
        <w:ind w:left="357" w:firstLine="0"/>
        <w:contextualSpacing/>
        <w:jc w:val="both"/>
        <w:rPr>
          <w:rFonts w:ascii="Tw Cen MT" w:hAnsi="Tw Cen MT" w:cs="Arial"/>
          <w:color w:val="111111"/>
          <w:sz w:val="18"/>
          <w:szCs w:val="18"/>
        </w:rPr>
      </w:pPr>
      <w:proofErr w:type="spellStart"/>
      <w:r w:rsidRPr="00522CC5">
        <w:rPr>
          <w:rFonts w:ascii="Tw Cen MT" w:hAnsi="Tw Cen MT" w:cs="Arial"/>
          <w:color w:val="111111"/>
          <w:sz w:val="18"/>
          <w:szCs w:val="18"/>
        </w:rPr>
        <w:t>Roitman</w:t>
      </w:r>
      <w:proofErr w:type="spellEnd"/>
      <w:r w:rsidRPr="00522CC5">
        <w:rPr>
          <w:rFonts w:ascii="Tw Cen MT" w:hAnsi="Tw Cen MT" w:cs="Arial"/>
          <w:color w:val="111111"/>
          <w:sz w:val="18"/>
          <w:szCs w:val="18"/>
        </w:rPr>
        <w:t>, D.I. (2016). </w:t>
      </w:r>
      <w:proofErr w:type="spellStart"/>
      <w:r w:rsidRPr="00522CC5">
        <w:rPr>
          <w:rStyle w:val="nfasis"/>
          <w:rFonts w:ascii="Tw Cen MT" w:hAnsi="Tw Cen MT" w:cs="Arial"/>
          <w:color w:val="111111"/>
          <w:sz w:val="18"/>
          <w:szCs w:val="18"/>
        </w:rPr>
        <w:t>Acúfenos</w:t>
      </w:r>
      <w:proofErr w:type="spellEnd"/>
      <w:r w:rsidRPr="00522CC5">
        <w:rPr>
          <w:rStyle w:val="nfasis"/>
          <w:rFonts w:ascii="Tw Cen MT" w:hAnsi="Tw Cen MT" w:cs="Arial"/>
          <w:color w:val="111111"/>
          <w:sz w:val="18"/>
          <w:szCs w:val="18"/>
        </w:rPr>
        <w:t>.</w:t>
      </w:r>
      <w:r w:rsidRPr="00522CC5">
        <w:rPr>
          <w:rFonts w:ascii="Tw Cen MT" w:hAnsi="Tw Cen MT" w:cs="Arial"/>
          <w:color w:val="111111"/>
          <w:sz w:val="18"/>
          <w:szCs w:val="18"/>
        </w:rPr>
        <w:t xml:space="preserve">  Buenos Aires: Editorial Librería </w:t>
      </w:r>
      <w:proofErr w:type="spellStart"/>
      <w:r w:rsidRPr="00522CC5">
        <w:rPr>
          <w:rFonts w:ascii="Tw Cen MT" w:hAnsi="Tw Cen MT" w:cs="Arial"/>
          <w:color w:val="111111"/>
          <w:sz w:val="18"/>
          <w:szCs w:val="18"/>
        </w:rPr>
        <w:t>Akadia</w:t>
      </w:r>
      <w:proofErr w:type="spellEnd"/>
      <w:r w:rsidRPr="00522CC5">
        <w:rPr>
          <w:rFonts w:ascii="Tw Cen MT" w:hAnsi="Tw Cen MT" w:cs="Arial"/>
          <w:color w:val="111111"/>
          <w:sz w:val="18"/>
          <w:szCs w:val="18"/>
        </w:rPr>
        <w:t>.</w:t>
      </w:r>
      <w:r w:rsidR="0001076F" w:rsidRPr="00522CC5">
        <w:rPr>
          <w:rFonts w:ascii="Tw Cen MT" w:hAnsi="Tw Cen MT"/>
          <w:noProof/>
          <w:sz w:val="18"/>
          <w:szCs w:val="18"/>
        </w:rPr>
        <w:t xml:space="preserve"> </w:t>
      </w:r>
    </w:p>
    <w:p w:rsidR="0001076F" w:rsidRDefault="0001076F" w:rsidP="00481657">
      <w:pPr>
        <w:pStyle w:val="Ttulo3"/>
        <w:spacing w:before="74"/>
        <w:rPr>
          <w:b w:val="0"/>
        </w:rPr>
      </w:pPr>
    </w:p>
    <w:p w:rsidR="0001076F" w:rsidRDefault="00354384" w:rsidP="0001076F">
      <w:pPr>
        <w:spacing w:before="92"/>
        <w:ind w:right="4234"/>
        <w:rPr>
          <w:rFonts w:ascii="Arial"/>
        </w:rPr>
      </w:pPr>
      <w:r w:rsidRPr="00354384">
        <w:rPr>
          <w:noProof/>
          <w:lang w:val="es-CO" w:eastAsia="es-CO"/>
        </w:rPr>
        <w:drawing>
          <wp:anchor distT="0" distB="0" distL="114300" distR="114300" simplePos="0" relativeHeight="251663360" behindDoc="1" locked="0" layoutInCell="1" allowOverlap="1">
            <wp:simplePos x="0" y="0"/>
            <wp:positionH relativeFrom="page">
              <wp:posOffset>333375</wp:posOffset>
            </wp:positionH>
            <wp:positionV relativeFrom="paragraph">
              <wp:posOffset>194945</wp:posOffset>
            </wp:positionV>
            <wp:extent cx="666750" cy="666750"/>
            <wp:effectExtent l="0" t="0" r="0" b="0"/>
            <wp:wrapTight wrapText="bothSides">
              <wp:wrapPolygon edited="0">
                <wp:start x="0" y="0"/>
                <wp:lineTo x="0" y="20983"/>
                <wp:lineTo x="20983" y="20983"/>
                <wp:lineTo x="20983" y="0"/>
                <wp:lineTo x="0" y="0"/>
              </wp:wrapPolygon>
            </wp:wrapTight>
            <wp:docPr id="2" name="Imagen 2" descr="C:\Users\jacqueline\Pictures\5b6895a4-50dc-47c6-ad23-21618e2cd4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cqueline\Pictures\5b6895a4-50dc-47c6-ad23-21618e2cd470.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666750" cy="666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076F">
        <w:rPr>
          <w:rFonts w:ascii="Arial"/>
          <w:color w:val="BF5A14"/>
        </w:rPr>
        <w:t>Biography (</w:t>
      </w:r>
      <w:proofErr w:type="gramStart"/>
      <w:r w:rsidR="0001076F">
        <w:rPr>
          <w:rFonts w:ascii="Arial"/>
          <w:color w:val="BF5A14"/>
        </w:rPr>
        <w:t>150 word</w:t>
      </w:r>
      <w:proofErr w:type="gramEnd"/>
      <w:r w:rsidR="0001076F">
        <w:rPr>
          <w:rFonts w:ascii="Arial"/>
          <w:color w:val="BF5A14"/>
        </w:rPr>
        <w:t xml:space="preserve"> limit)</w:t>
      </w:r>
    </w:p>
    <w:p w:rsidR="0001076F" w:rsidRPr="00522CC5" w:rsidRDefault="00354384" w:rsidP="0001076F">
      <w:pPr>
        <w:spacing w:before="41" w:line="154" w:lineRule="exact"/>
        <w:ind w:left="213" w:right="231"/>
        <w:jc w:val="both"/>
        <w:rPr>
          <w:rFonts w:ascii="Arial"/>
          <w:sz w:val="20"/>
          <w:szCs w:val="20"/>
        </w:rPr>
      </w:pPr>
      <w:r w:rsidRPr="00354384">
        <w:rPr>
          <w:noProof/>
          <w:lang w:val="es-CO" w:eastAsia="es-CO"/>
        </w:rPr>
        <w:t xml:space="preserve"> </w:t>
      </w:r>
      <w:r w:rsidR="0001076F">
        <w:rPr>
          <w:noProof/>
          <w:lang w:val="es-CO" w:eastAsia="es-CO"/>
        </w:rPr>
        <w:drawing>
          <wp:anchor distT="0" distB="0" distL="114300" distR="114300" simplePos="0" relativeHeight="251662336" behindDoc="1" locked="0" layoutInCell="1" allowOverlap="1">
            <wp:simplePos x="0" y="0"/>
            <wp:positionH relativeFrom="margin">
              <wp:align>left</wp:align>
            </wp:positionH>
            <wp:positionV relativeFrom="paragraph">
              <wp:posOffset>36830</wp:posOffset>
            </wp:positionV>
            <wp:extent cx="628015" cy="622935"/>
            <wp:effectExtent l="0" t="0" r="635" b="5715"/>
            <wp:wrapTight wrapText="bothSides">
              <wp:wrapPolygon edited="0">
                <wp:start x="0" y="0"/>
                <wp:lineTo x="0" y="21138"/>
                <wp:lineTo x="20967" y="21138"/>
                <wp:lineTo x="20967" y="0"/>
                <wp:lineTo x="0" y="0"/>
              </wp:wrapPolygon>
            </wp:wrapTight>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8015" cy="622935"/>
                    </a:xfrm>
                    <a:prstGeom prst="rect">
                      <a:avLst/>
                    </a:prstGeom>
                    <a:noFill/>
                    <a:ln>
                      <a:noFill/>
                    </a:ln>
                  </pic:spPr>
                </pic:pic>
              </a:graphicData>
            </a:graphic>
          </wp:anchor>
        </w:drawing>
      </w:r>
      <w:r w:rsidR="0001076F" w:rsidRPr="0001076F">
        <w:t xml:space="preserve"> </w:t>
      </w:r>
      <w:r w:rsidR="0001076F" w:rsidRPr="00522CC5">
        <w:rPr>
          <w:noProof/>
          <w:sz w:val="20"/>
          <w:szCs w:val="20"/>
          <w:lang w:val="es-CO" w:eastAsia="es-CO"/>
        </w:rPr>
        <w:t>Jacqueline Cuellar has her expertise in hearing assessment and a passion for improving hearing health and communicative well-being. Its open assessment model based on self-perception of the symptom shows other ways to improve audiological care. She has developed this model after years of experience in research, evaluation, teaching, and administration both in school and in educational institutions. This approach responds both to the auditory evaluation and to the way in which tinnitus influences the quality of life of the patient</w:t>
      </w:r>
    </w:p>
    <w:p w:rsidR="0001076F" w:rsidRDefault="0001076F" w:rsidP="00DB165C">
      <w:pPr>
        <w:spacing w:before="62"/>
        <w:ind w:left="4217" w:right="4235"/>
        <w:rPr>
          <w:rFonts w:ascii="Arial"/>
          <w:sz w:val="14"/>
        </w:rPr>
      </w:pPr>
      <w:r>
        <w:rPr>
          <w:rFonts w:ascii="Arial"/>
          <w:sz w:val="14"/>
        </w:rPr>
        <w:t xml:space="preserve">Email: </w:t>
      </w:r>
      <w:r>
        <w:rPr>
          <w:rFonts w:ascii="Arial"/>
          <w:sz w:val="14"/>
        </w:rPr>
        <w:t>jcuellars</w:t>
      </w:r>
      <w:r w:rsidR="00DB165C">
        <w:rPr>
          <w:rFonts w:ascii="Arial"/>
          <w:sz w:val="14"/>
        </w:rPr>
        <w:t>@</w:t>
      </w:r>
      <w:r>
        <w:rPr>
          <w:rFonts w:ascii="Arial"/>
          <w:sz w:val="14"/>
        </w:rPr>
        <w:t xml:space="preserve">unal.edu.co </w:t>
      </w:r>
    </w:p>
    <w:p w:rsidR="0001076F" w:rsidRDefault="0001076F" w:rsidP="0001076F">
      <w:pPr>
        <w:pStyle w:val="Textoindependiente"/>
        <w:spacing w:before="2"/>
        <w:rPr>
          <w:rFonts w:ascii="Arial"/>
          <w:sz w:val="19"/>
        </w:rPr>
      </w:pPr>
      <w:r>
        <w:rPr>
          <w:noProof/>
          <w:lang w:val="es-CO" w:eastAsia="es-CO"/>
        </w:rPr>
        <mc:AlternateContent>
          <mc:Choice Requires="wps">
            <w:drawing>
              <wp:anchor distT="0" distB="0" distL="0" distR="0" simplePos="0" relativeHeight="251661312" behindDoc="0" locked="0" layoutInCell="1" allowOverlap="1" wp14:anchorId="062A0F42" wp14:editId="16981B7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600FA3" id="Line 3"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01076F" w:rsidRDefault="0001076F" w:rsidP="00481657">
      <w:pPr>
        <w:pStyle w:val="Ttulo3"/>
        <w:spacing w:before="74"/>
        <w:rPr>
          <w:b w:val="0"/>
        </w:rPr>
      </w:pPr>
    </w:p>
    <w:p w:rsidR="0001076F" w:rsidRDefault="0001076F" w:rsidP="00481657">
      <w:pPr>
        <w:pStyle w:val="Ttulo3"/>
        <w:spacing w:before="74"/>
        <w:rPr>
          <w:b w:val="0"/>
        </w:rPr>
      </w:pPr>
    </w:p>
    <w:p w:rsidR="00AE3E37" w:rsidRDefault="00A9710C" w:rsidP="00481657">
      <w:pPr>
        <w:pStyle w:val="Ttulo3"/>
        <w:spacing w:before="74"/>
      </w:pPr>
      <w:r>
        <w:rPr>
          <w:b w:val="0"/>
        </w:rPr>
        <w:br w:type="column"/>
      </w:r>
    </w:p>
    <w:p w:rsidR="00481657" w:rsidRDefault="00481657">
      <w:pPr>
        <w:pStyle w:val="Textoindependiente"/>
        <w:spacing w:before="2"/>
        <w:rPr>
          <w:noProof/>
          <w:lang w:val="es-CO" w:eastAsia="es-CO"/>
        </w:rPr>
      </w:pPr>
    </w:p>
    <w:p w:rsidR="00AE3E37" w:rsidRDefault="00AE3E37">
      <w:pPr>
        <w:pStyle w:val="Textoindependiente"/>
        <w:spacing w:before="2"/>
        <w:rPr>
          <w:rFonts w:ascii="Arial"/>
          <w:b/>
          <w:sz w:val="16"/>
        </w:rPr>
      </w:pPr>
    </w:p>
    <w:p w:rsidR="00481657" w:rsidRPr="00DB026C" w:rsidRDefault="005973B9" w:rsidP="00481657">
      <w:pPr>
        <w:spacing w:line="204" w:lineRule="exact"/>
        <w:rPr>
          <w:rFonts w:asciiTheme="minorHAnsi" w:hAnsiTheme="minorHAnsi" w:cs="Arial"/>
          <w:color w:val="111111"/>
          <w:sz w:val="18"/>
          <w:szCs w:val="18"/>
        </w:rPr>
      </w:pPr>
      <w:r>
        <w:rPr>
          <w:rFonts w:ascii="Arial"/>
          <w:b/>
          <w:color w:val="BF5A14"/>
          <w:sz w:val="20"/>
        </w:rPr>
        <w:br/>
      </w:r>
    </w:p>
    <w:p w:rsidR="00AE3E37" w:rsidRDefault="00AE3E37">
      <w:pPr>
        <w:pStyle w:val="Textoindependiente"/>
        <w:rPr>
          <w:rFonts w:ascii="Calibri"/>
          <w:sz w:val="20"/>
        </w:rPr>
      </w:pPr>
    </w:p>
    <w:p w:rsidR="00481657" w:rsidRDefault="00481657">
      <w:pPr>
        <w:pStyle w:val="Textoindependiente"/>
        <w:rPr>
          <w:rFonts w:ascii="Calibri"/>
          <w:sz w:val="20"/>
        </w:rPr>
      </w:pPr>
    </w:p>
    <w:p w:rsidR="00AE3E37" w:rsidRDefault="008756E6" w:rsidP="0001076F">
      <w:pPr>
        <w:spacing w:before="92"/>
        <w:ind w:right="4234"/>
        <w:rPr>
          <w:rFonts w:ascii="Arial"/>
          <w:sz w:val="19"/>
        </w:rPr>
      </w:pPr>
      <w:r>
        <w:rPr>
          <w:noProof/>
        </w:rPr>
        <w:t xml:space="preserve">             </w: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88A" w:rsidRDefault="0065388A">
      <w:r>
        <w:separator/>
      </w:r>
    </w:p>
  </w:endnote>
  <w:endnote w:type="continuationSeparator" w:id="0">
    <w:p w:rsidR="0065388A" w:rsidRDefault="00653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88A" w:rsidRDefault="0065388A">
      <w:r>
        <w:separator/>
      </w:r>
    </w:p>
  </w:footnote>
  <w:footnote w:type="continuationSeparator" w:id="0">
    <w:p w:rsidR="0065388A" w:rsidRDefault="006538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2D528DD"/>
    <w:multiLevelType w:val="hybridMultilevel"/>
    <w:tmpl w:val="B65ED36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076F"/>
    <w:rsid w:val="000E2911"/>
    <w:rsid w:val="001263DF"/>
    <w:rsid w:val="001734A1"/>
    <w:rsid w:val="002455EC"/>
    <w:rsid w:val="00292ED9"/>
    <w:rsid w:val="00354384"/>
    <w:rsid w:val="00404E5B"/>
    <w:rsid w:val="00414F7B"/>
    <w:rsid w:val="004355DC"/>
    <w:rsid w:val="004749B4"/>
    <w:rsid w:val="00481657"/>
    <w:rsid w:val="00494130"/>
    <w:rsid w:val="004F3523"/>
    <w:rsid w:val="00522CC5"/>
    <w:rsid w:val="005973B9"/>
    <w:rsid w:val="005B3A56"/>
    <w:rsid w:val="006060CE"/>
    <w:rsid w:val="0063497F"/>
    <w:rsid w:val="0065388A"/>
    <w:rsid w:val="00873DF0"/>
    <w:rsid w:val="008756E6"/>
    <w:rsid w:val="008A08B6"/>
    <w:rsid w:val="009B2D44"/>
    <w:rsid w:val="00A07E82"/>
    <w:rsid w:val="00A9710C"/>
    <w:rsid w:val="00AE3E37"/>
    <w:rsid w:val="00B21A57"/>
    <w:rsid w:val="00C33602"/>
    <w:rsid w:val="00CD6F55"/>
    <w:rsid w:val="00DB165C"/>
    <w:rsid w:val="00DE3104"/>
    <w:rsid w:val="00E26B10"/>
    <w:rsid w:val="00F54C96"/>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F56FFF"/>
  <w15:docId w15:val="{69BF44B3-F5FA-4DB8-AF2D-602639C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481657"/>
    <w:pPr>
      <w:widowControl/>
      <w:spacing w:before="100" w:beforeAutospacing="1" w:after="100" w:afterAutospacing="1"/>
    </w:pPr>
    <w:rPr>
      <w:rFonts w:ascii="Times New Roman" w:eastAsia="Times New Roman" w:hAnsi="Times New Roman" w:cs="Times New Roman"/>
      <w:sz w:val="24"/>
      <w:szCs w:val="24"/>
      <w:lang w:val="es-CO" w:eastAsia="es-CO"/>
    </w:rPr>
  </w:style>
  <w:style w:type="character" w:styleId="nfasis">
    <w:name w:val="Emphasis"/>
    <w:basedOn w:val="Fuentedeprrafopredeter"/>
    <w:uiPriority w:val="20"/>
    <w:qFormat/>
    <w:rsid w:val="004816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www.editorial.unal.edu.co/"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560</Words>
  <Characters>3080</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jacqueline cuellar saavedra</cp:lastModifiedBy>
  <cp:revision>4</cp:revision>
  <dcterms:created xsi:type="dcterms:W3CDTF">2021-10-12T16:41:00Z</dcterms:created>
  <dcterms:modified xsi:type="dcterms:W3CDTF">2021-10-12T16:43:00Z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