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D2A7F" w14:textId="5EA55B34" w:rsidR="00942EEA" w:rsidRDefault="00EC5EA4" w:rsidP="006D1561">
      <w:pPr>
        <w:pStyle w:val="NormalWeb"/>
        <w:spacing w:before="0" w:beforeAutospacing="0" w:after="0" w:afterAutospacing="0"/>
        <w:rPr>
          <w:b/>
          <w:bCs/>
        </w:rPr>
      </w:pPr>
      <w:r>
        <w:rPr>
          <w:b/>
          <w:bCs/>
        </w:rPr>
        <w:t>WALKING ON WATER – HOW JOINTS WORK AND OSTEOARTHRITIS</w:t>
      </w:r>
    </w:p>
    <w:p w14:paraId="41592522" w14:textId="027B1B91" w:rsidR="006D1561" w:rsidRPr="006D1561" w:rsidRDefault="006D1561" w:rsidP="006D1561">
      <w:pPr>
        <w:pStyle w:val="NormalWeb"/>
        <w:spacing w:before="0" w:beforeAutospacing="0" w:after="0" w:afterAutospacing="0"/>
      </w:pPr>
      <w:r>
        <w:rPr>
          <w:b/>
          <w:bCs/>
        </w:rPr>
        <w:t>Background</w:t>
      </w:r>
    </w:p>
    <w:p w14:paraId="13F2728E" w14:textId="42010D2C" w:rsidR="006D1561" w:rsidRDefault="006D1561" w:rsidP="006D1561">
      <w:pPr>
        <w:pStyle w:val="NormalWeb"/>
        <w:spacing w:before="0" w:beforeAutospacing="0" w:after="0" w:afterAutospacing="0"/>
      </w:pPr>
      <w:r>
        <w:t>Joints experience massive forces</w:t>
      </w:r>
      <w:r w:rsidR="00595CE5">
        <w:t xml:space="preserve"> but s</w:t>
      </w:r>
      <w:r>
        <w:t xml:space="preserve">ubchondral circulation </w:t>
      </w:r>
      <w:r w:rsidR="00595CE5">
        <w:t xml:space="preserve">was </w:t>
      </w:r>
      <w:r>
        <w:t>never studied during activity.</w:t>
      </w:r>
    </w:p>
    <w:p w14:paraId="572165F6" w14:textId="138A4418" w:rsidR="006D1561" w:rsidRDefault="006D1561" w:rsidP="006D1561">
      <w:pPr>
        <w:pStyle w:val="NormalWeb"/>
        <w:spacing w:before="0" w:beforeAutospacing="0" w:after="0" w:afterAutospacing="0"/>
      </w:pPr>
      <w:r>
        <w:t>Intraosseous pressure (IOP) poorly understood.</w:t>
      </w:r>
      <w:r>
        <w:br/>
        <w:t xml:space="preserve">Bone fat is semi-liquid </w:t>
      </w:r>
      <w:r w:rsidR="00595CE5">
        <w:t>at body temperature</w:t>
      </w:r>
      <w:r>
        <w:t>.</w:t>
      </w:r>
      <w:r>
        <w:br/>
        <w:t xml:space="preserve">Subchondral adipocytes, capillaries and trabeculae </w:t>
      </w:r>
      <w:r w:rsidR="001825D7">
        <w:t>are</w:t>
      </w:r>
      <w:r>
        <w:t xml:space="preserve"> delicate</w:t>
      </w:r>
      <w:r w:rsidR="001825D7">
        <w:t xml:space="preserve"> and </w:t>
      </w:r>
      <w:r>
        <w:t>flexible yet tolerate huge loads.</w:t>
      </w:r>
    </w:p>
    <w:p w14:paraId="67C6A088" w14:textId="77777777" w:rsidR="003A04DF" w:rsidRDefault="006D1561" w:rsidP="006D1561">
      <w:pPr>
        <w:pStyle w:val="NormalWeb"/>
        <w:spacing w:before="0" w:beforeAutospacing="0" w:after="0" w:afterAutospacing="0"/>
      </w:pPr>
      <w:r>
        <w:t>T2 MRI scans show subchondral vascular marks, lost in osteoarthritis (OA) Fig1.</w:t>
      </w:r>
      <w:r>
        <w:br/>
        <w:t xml:space="preserve">Anatomy and histology support hydraulic pressure </w:t>
      </w:r>
      <w:proofErr w:type="gramStart"/>
      <w:r>
        <w:t>load</w:t>
      </w:r>
      <w:r w:rsidR="001825D7">
        <w:t>-</w:t>
      </w:r>
      <w:r>
        <w:t>bearing</w:t>
      </w:r>
      <w:proofErr w:type="gramEnd"/>
      <w:r w:rsidR="00FD6051">
        <w:t>.</w:t>
      </w:r>
    </w:p>
    <w:p w14:paraId="073A8A97" w14:textId="0650E0A4" w:rsidR="0099556F" w:rsidRDefault="0099556F" w:rsidP="006D1561">
      <w:pPr>
        <w:pStyle w:val="NormalWeb"/>
        <w:spacing w:before="0" w:beforeAutospacing="0" w:after="0" w:afterAutospacing="0"/>
      </w:pPr>
      <w:r>
        <w:br/>
      </w:r>
      <w:r>
        <w:rPr>
          <w:b/>
          <w:bCs/>
        </w:rPr>
        <w:t>Objectives</w:t>
      </w:r>
      <w:r>
        <w:br/>
        <w:t>To demonstrate:</w:t>
      </w:r>
    </w:p>
    <w:p w14:paraId="6BE37A73" w14:textId="3C87B93A" w:rsidR="0099556F" w:rsidRDefault="0099556F" w:rsidP="0099556F">
      <w:pPr>
        <w:pStyle w:val="NormalWeb"/>
        <w:spacing w:before="0" w:beforeAutospacing="0" w:after="0" w:afterAutospacing="0"/>
      </w:pPr>
      <w:r>
        <w:t>IOP varies</w:t>
      </w:r>
      <w:r w:rsidR="00665660">
        <w:t xml:space="preserve"> and is not a</w:t>
      </w:r>
      <w:r>
        <w:t xml:space="preserve"> constant for </w:t>
      </w:r>
      <w:r w:rsidR="00665660">
        <w:t xml:space="preserve">the </w:t>
      </w:r>
      <w:r>
        <w:t>whole bone</w:t>
      </w:r>
      <w:r w:rsidR="00665660">
        <w:t xml:space="preserve"> but </w:t>
      </w:r>
      <w:r>
        <w:t>reflects systemic blood pressure.</w:t>
      </w:r>
      <w:r>
        <w:br/>
        <w:t>Individual IOPs have a proportionate pulse volume (PV).</w:t>
      </w:r>
      <w:r>
        <w:br/>
        <w:t>Subtracting proximal arterial occlusion (IOPa) from proximal venous occlusion (IOPv), gives needle tip perfusion ‘bandwidth’.</w:t>
      </w:r>
      <w:r>
        <w:br/>
        <w:t xml:space="preserve">Subchondral IOP </w:t>
      </w:r>
      <w:r w:rsidR="00665660">
        <w:t xml:space="preserve">is </w:t>
      </w:r>
      <w:r>
        <w:t>increased by loading</w:t>
      </w:r>
      <w:r w:rsidR="00665660">
        <w:t>,</w:t>
      </w:r>
      <w:r>
        <w:t xml:space="preserve"> far above perfusion pressures.</w:t>
      </w:r>
      <w:r>
        <w:br/>
        <w:t>Steroid manipulation of intraosseous fat volume alters perfusion.</w:t>
      </w:r>
      <w:r>
        <w:br/>
        <w:t xml:space="preserve">Sub-cortical choke valves contain </w:t>
      </w:r>
      <w:r w:rsidR="00621388">
        <w:t xml:space="preserve">raised </w:t>
      </w:r>
      <w:r>
        <w:t>hydraulic pressure during load transfer.</w:t>
      </w:r>
      <w:r>
        <w:br/>
        <w:t>MRI scans have water bright marks, lost in early osteoarthritis Fig2.</w:t>
      </w:r>
      <w:r>
        <w:br/>
        <w:t>OA is a vasculo-mechanical disease.</w:t>
      </w:r>
      <w:r>
        <w:br/>
      </w:r>
      <w:r>
        <w:br/>
      </w:r>
      <w:r>
        <w:rPr>
          <w:b/>
          <w:bCs/>
        </w:rPr>
        <w:t>Methods</w:t>
      </w:r>
      <w:r>
        <w:br/>
        <w:t>IOP perfusion and loading studies in vitro with a perfused calf foot model (</w:t>
      </w:r>
      <w:r w:rsidR="00621388">
        <w:t>x</w:t>
      </w:r>
      <w:r>
        <w:t>188), in vivo in the rabbit (</w:t>
      </w:r>
      <w:r w:rsidR="00621388">
        <w:t>x</w:t>
      </w:r>
      <w:r>
        <w:t>42) and in man (</w:t>
      </w:r>
      <w:r w:rsidR="00621388">
        <w:t>x</w:t>
      </w:r>
      <w:r>
        <w:t>7), with and without vascular occlusion.</w:t>
      </w:r>
      <w:r>
        <w:br/>
        <w:t>Steroid-treated model (</w:t>
      </w:r>
      <w:r w:rsidR="00621388">
        <w:t>x</w:t>
      </w:r>
      <w:r>
        <w:t>12) with IOP and angiograms compared to untreated control.</w:t>
      </w:r>
      <w:r>
        <w:br/>
        <w:t>Sixty pairs of upper tibial MRI scan vascular marks compared with Kellgren-Lawrence (K-L) plain x-ray score.</w:t>
      </w:r>
      <w:r>
        <w:br/>
        <w:t>Histology - calf, rabbit and man, normal and OA</w:t>
      </w:r>
      <w:r>
        <w:br/>
      </w:r>
      <w:r>
        <w:br/>
      </w:r>
      <w:r>
        <w:rPr>
          <w:b/>
          <w:bCs/>
        </w:rPr>
        <w:t>Results</w:t>
      </w:r>
      <w:r>
        <w:br/>
        <w:t xml:space="preserve">IOP </w:t>
      </w:r>
      <w:r w:rsidR="0058539C">
        <w:t xml:space="preserve">is </w:t>
      </w:r>
      <w:r>
        <w:t>proportional to BP p&lt;0.0005</w:t>
      </w:r>
      <w:r>
        <w:br/>
        <w:t xml:space="preserve">IOP </w:t>
      </w:r>
      <w:r w:rsidR="0058539C">
        <w:t xml:space="preserve">is </w:t>
      </w:r>
      <w:r>
        <w:t>proportional to pulse volume p&lt;0.001, correlation r</w:t>
      </w:r>
      <w:r>
        <w:rPr>
          <w:vertAlign w:val="superscript"/>
        </w:rPr>
        <w:t>2</w:t>
      </w:r>
      <w:r>
        <w:t>=0.9089</w:t>
      </w:r>
      <w:r>
        <w:br/>
        <w:t>IOP rises with proximal venous occlusion p&lt;0.012</w:t>
      </w:r>
      <w:r>
        <w:br/>
        <w:t>IOP falls with proximal arterial occlusion p&lt;0.0001</w:t>
      </w:r>
      <w:r>
        <w:br/>
        <w:t xml:space="preserve">Subchondral IOP rise with one body weight </w:t>
      </w:r>
      <w:r w:rsidR="0058539C">
        <w:t xml:space="preserve">is </w:t>
      </w:r>
      <w:r>
        <w:t>53% p&lt;0.0002</w:t>
      </w:r>
      <w:r>
        <w:br/>
        <w:t>Steroid model loses bone fat</w:t>
      </w:r>
      <w:r w:rsidR="00A559EB">
        <w:t xml:space="preserve"> giving </w:t>
      </w:r>
      <w:r>
        <w:t>secondary hyperdynamic flow on IOP, micro-angiograms confirm.</w:t>
      </w:r>
      <w:r>
        <w:br/>
        <w:t>Loss in vascular MRI marks with increasing K-L grade of OA p&lt;0.002.</w:t>
      </w:r>
      <w:r>
        <w:br/>
        <w:t xml:space="preserve">Histology demonstrates </w:t>
      </w:r>
      <w:r w:rsidR="00A559EB">
        <w:t xml:space="preserve">same </w:t>
      </w:r>
      <w:r>
        <w:t xml:space="preserve">MRI vessels </w:t>
      </w:r>
      <w:r w:rsidR="00A559EB">
        <w:t xml:space="preserve">in </w:t>
      </w:r>
      <w:r>
        <w:t>subchondral plane</w:t>
      </w:r>
      <w:r w:rsidR="00A559EB">
        <w:t xml:space="preserve"> and </w:t>
      </w:r>
      <w:r>
        <w:t>sub-cortical choke valves.</w:t>
      </w:r>
    </w:p>
    <w:p w14:paraId="10DD8571" w14:textId="77777777" w:rsidR="0099556F" w:rsidRDefault="0099556F" w:rsidP="0099556F">
      <w:pPr>
        <w:pStyle w:val="NormalWeb"/>
        <w:spacing w:before="0" w:beforeAutospacing="0" w:after="0" w:afterAutospacing="0"/>
      </w:pPr>
    </w:p>
    <w:p w14:paraId="023CC08D" w14:textId="1D06F39E" w:rsidR="006D1561" w:rsidRDefault="0099556F" w:rsidP="0099556F">
      <w:pPr>
        <w:rPr>
          <w:noProof/>
        </w:rPr>
      </w:pPr>
      <w:r>
        <w:rPr>
          <w:b/>
          <w:bCs/>
        </w:rPr>
        <w:t>Conclusions</w:t>
      </w:r>
      <w:r>
        <w:br/>
        <w:t>Combination</w:t>
      </w:r>
      <w:r w:rsidR="0070005F">
        <w:t>s</w:t>
      </w:r>
      <w:r>
        <w:t xml:space="preserve"> of IOP measurement with proximal vascular occlusion and loading allow exploration of subchondral weight-bearing physiology. Intraosseous fat volume manipulation with steroids affects IOP. Specialised bone lipids and vascular anatomy allow hydraulic pressure load transmission. A loss in MRI subchondral vascularity is associated with increasing OA. This new field of subchondral physiology holds the key to an understanding of osteoarthritis and other bone pathology and </w:t>
      </w:r>
      <w:r w:rsidR="00844AFE">
        <w:t xml:space="preserve">the </w:t>
      </w:r>
      <w:r>
        <w:t>hope of better treatment.</w:t>
      </w:r>
    </w:p>
    <w:p w14:paraId="5947F296" w14:textId="77777777" w:rsidR="006D1561" w:rsidRDefault="006D1561" w:rsidP="0099556F">
      <w:pPr>
        <w:rPr>
          <w:noProof/>
        </w:rPr>
      </w:pPr>
    </w:p>
    <w:p w14:paraId="7BD00610" w14:textId="77777777" w:rsidR="006D1561" w:rsidRDefault="006D1561" w:rsidP="0099556F">
      <w:pPr>
        <w:rPr>
          <w:noProof/>
        </w:rPr>
      </w:pPr>
    </w:p>
    <w:p w14:paraId="2554F824" w14:textId="77777777" w:rsidR="00FF0288" w:rsidRDefault="006D1561" w:rsidP="00FF0288">
      <w:pPr>
        <w:rPr>
          <w:noProof/>
        </w:rPr>
      </w:pPr>
      <w:r w:rsidRPr="00B66EFA">
        <w:rPr>
          <w:rFonts w:eastAsia="Times New Roman"/>
          <w:noProof/>
        </w:rPr>
        <w:drawing>
          <wp:inline distT="0" distB="0" distL="0" distR="0" wp14:anchorId="1D3066C7" wp14:editId="64E3A1C7">
            <wp:extent cx="2882900" cy="2162175"/>
            <wp:effectExtent l="0" t="0" r="0" b="9525"/>
            <wp:docPr id="3" name="Picture 2" descr="An x-ray of a human bo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n x-ray of a human bod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37" t="16875" r="19062" b="18125"/>
                    <a:stretch/>
                  </pic:blipFill>
                  <pic:spPr bwMode="auto">
                    <a:xfrm>
                      <a:off x="0" y="0"/>
                      <a:ext cx="28829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286830" w14:textId="3E6AE160" w:rsidR="006D1561" w:rsidRPr="0023794C" w:rsidRDefault="006D1561" w:rsidP="00FF0288">
      <w:pPr>
        <w:rPr>
          <w:noProof/>
        </w:rPr>
      </w:pPr>
      <w:r>
        <w:rPr>
          <w:rFonts w:eastAsia="Times New Roman"/>
        </w:rPr>
        <w:t>Fig1 Water-bright vascular marks MRI</w:t>
      </w:r>
    </w:p>
    <w:p w14:paraId="5772A50D" w14:textId="77777777" w:rsidR="006D1561" w:rsidRDefault="006D1561" w:rsidP="0099556F">
      <w:pPr>
        <w:rPr>
          <w:noProof/>
        </w:rPr>
      </w:pPr>
    </w:p>
    <w:p w14:paraId="0DDABE3B" w14:textId="77777777" w:rsidR="006D1561" w:rsidRDefault="006D1561" w:rsidP="0099556F">
      <w:pPr>
        <w:rPr>
          <w:noProof/>
        </w:rPr>
      </w:pPr>
    </w:p>
    <w:p w14:paraId="48558BDB" w14:textId="77777777" w:rsidR="006D1561" w:rsidRDefault="006D1561" w:rsidP="0099556F">
      <w:pPr>
        <w:rPr>
          <w:noProof/>
        </w:rPr>
      </w:pPr>
    </w:p>
    <w:p w14:paraId="32427540" w14:textId="77777777" w:rsidR="00FF0288" w:rsidRDefault="006D1561" w:rsidP="00FF0288">
      <w:pPr>
        <w:rPr>
          <w:rFonts w:eastAsia="Times New Roman"/>
        </w:rPr>
      </w:pPr>
      <w:r w:rsidRPr="00E448C3">
        <w:rPr>
          <w:noProof/>
        </w:rPr>
        <w:drawing>
          <wp:inline distT="0" distB="0" distL="0" distR="0" wp14:anchorId="59B718AF" wp14:editId="603AC9D7">
            <wp:extent cx="3733800" cy="2562225"/>
            <wp:effectExtent l="0" t="0" r="0" b="9525"/>
            <wp:docPr id="233" name="Chart 2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F2573B4" w14:textId="0374C8A8" w:rsidR="006D1561" w:rsidRPr="00B66EFA" w:rsidRDefault="006D1561" w:rsidP="00FF0288">
      <w:pPr>
        <w:rPr>
          <w:rFonts w:eastAsia="Times New Roman"/>
        </w:rPr>
      </w:pPr>
      <w:r>
        <w:rPr>
          <w:rFonts w:eastAsia="Times New Roman"/>
        </w:rPr>
        <w:t xml:space="preserve">Fig2 Marks lost with increased </w:t>
      </w:r>
      <w:proofErr w:type="gramStart"/>
      <w:r>
        <w:rPr>
          <w:rFonts w:eastAsia="Times New Roman"/>
        </w:rPr>
        <w:t>OA</w:t>
      </w:r>
      <w:proofErr w:type="gramEnd"/>
    </w:p>
    <w:p w14:paraId="0376C9B9" w14:textId="77777777" w:rsidR="006D1561" w:rsidRDefault="006D1561" w:rsidP="0099556F">
      <w:pPr>
        <w:rPr>
          <w:rFonts w:eastAsia="Times New Roman"/>
        </w:rPr>
      </w:pPr>
    </w:p>
    <w:sectPr w:rsidR="006D15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9AF"/>
    <w:rsid w:val="000514CD"/>
    <w:rsid w:val="00057C66"/>
    <w:rsid w:val="0006424A"/>
    <w:rsid w:val="000F1412"/>
    <w:rsid w:val="00175FE4"/>
    <w:rsid w:val="001825D7"/>
    <w:rsid w:val="001E28A0"/>
    <w:rsid w:val="00206FF4"/>
    <w:rsid w:val="002375D9"/>
    <w:rsid w:val="0023794C"/>
    <w:rsid w:val="002A0573"/>
    <w:rsid w:val="00322767"/>
    <w:rsid w:val="00347FBA"/>
    <w:rsid w:val="00393F7F"/>
    <w:rsid w:val="003A04DF"/>
    <w:rsid w:val="003A6954"/>
    <w:rsid w:val="003D2AAA"/>
    <w:rsid w:val="003F4B7A"/>
    <w:rsid w:val="00442570"/>
    <w:rsid w:val="004474BC"/>
    <w:rsid w:val="004478BB"/>
    <w:rsid w:val="004C0413"/>
    <w:rsid w:val="004D0642"/>
    <w:rsid w:val="004D4E63"/>
    <w:rsid w:val="004F6A74"/>
    <w:rsid w:val="005035EE"/>
    <w:rsid w:val="00507379"/>
    <w:rsid w:val="00533C3F"/>
    <w:rsid w:val="0058539C"/>
    <w:rsid w:val="00595CE5"/>
    <w:rsid w:val="005A1160"/>
    <w:rsid w:val="005A3C85"/>
    <w:rsid w:val="005D0070"/>
    <w:rsid w:val="005F6970"/>
    <w:rsid w:val="006136E4"/>
    <w:rsid w:val="00621388"/>
    <w:rsid w:val="00636766"/>
    <w:rsid w:val="006617DE"/>
    <w:rsid w:val="006648F6"/>
    <w:rsid w:val="00665660"/>
    <w:rsid w:val="00676C2E"/>
    <w:rsid w:val="0069021F"/>
    <w:rsid w:val="00697CBD"/>
    <w:rsid w:val="006A31A7"/>
    <w:rsid w:val="006B094F"/>
    <w:rsid w:val="006D0B01"/>
    <w:rsid w:val="006D1561"/>
    <w:rsid w:val="006D19D3"/>
    <w:rsid w:val="006E0949"/>
    <w:rsid w:val="0070005F"/>
    <w:rsid w:val="0070590E"/>
    <w:rsid w:val="00744D38"/>
    <w:rsid w:val="00765031"/>
    <w:rsid w:val="007672CC"/>
    <w:rsid w:val="00771CB4"/>
    <w:rsid w:val="00790F70"/>
    <w:rsid w:val="007A64DD"/>
    <w:rsid w:val="007C5835"/>
    <w:rsid w:val="00844594"/>
    <w:rsid w:val="00844AFE"/>
    <w:rsid w:val="00853715"/>
    <w:rsid w:val="008A5C57"/>
    <w:rsid w:val="008F5CCC"/>
    <w:rsid w:val="00923EAF"/>
    <w:rsid w:val="00936F3B"/>
    <w:rsid w:val="00942EEA"/>
    <w:rsid w:val="0099556F"/>
    <w:rsid w:val="009B45AE"/>
    <w:rsid w:val="009E43AD"/>
    <w:rsid w:val="00A1048E"/>
    <w:rsid w:val="00A16874"/>
    <w:rsid w:val="00A269AF"/>
    <w:rsid w:val="00A559EB"/>
    <w:rsid w:val="00A631CC"/>
    <w:rsid w:val="00A77A99"/>
    <w:rsid w:val="00AA11CE"/>
    <w:rsid w:val="00AB11E5"/>
    <w:rsid w:val="00AC4A80"/>
    <w:rsid w:val="00B24B59"/>
    <w:rsid w:val="00B66EFA"/>
    <w:rsid w:val="00BB309F"/>
    <w:rsid w:val="00BD10D4"/>
    <w:rsid w:val="00C07479"/>
    <w:rsid w:val="00CE4DD8"/>
    <w:rsid w:val="00D32C5C"/>
    <w:rsid w:val="00D738D2"/>
    <w:rsid w:val="00DF2D4B"/>
    <w:rsid w:val="00E0422F"/>
    <w:rsid w:val="00E359B1"/>
    <w:rsid w:val="00E42AF8"/>
    <w:rsid w:val="00E90C80"/>
    <w:rsid w:val="00EC5EA4"/>
    <w:rsid w:val="00F51A14"/>
    <w:rsid w:val="00FD6051"/>
    <w:rsid w:val="00FF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1E825C"/>
  <w15:chartTrackingRefBased/>
  <w15:docId w15:val="{1772CEB0-8C19-42F4-BCE2-82F86CEB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5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en-GB" baseline="0"/>
              <a:t>Vascular mark count v K-L grade of OA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combined!$C$3</c:f>
              <c:strCache>
                <c:ptCount val="1"/>
                <c:pt idx="0">
                  <c:v>Med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combined!$B$4:$B$8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</c:numCache>
            </c:numRef>
          </c:cat>
          <c:val>
            <c:numRef>
              <c:f>combined!$C$4:$C$8</c:f>
              <c:numCache>
                <c:formatCode>General</c:formatCode>
                <c:ptCount val="5"/>
                <c:pt idx="0">
                  <c:v>8.0588235294117645</c:v>
                </c:pt>
                <c:pt idx="1">
                  <c:v>7.7</c:v>
                </c:pt>
                <c:pt idx="2">
                  <c:v>6.8518518518518521</c:v>
                </c:pt>
                <c:pt idx="3">
                  <c:v>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605-433B-B9F2-BE45B3E25112}"/>
            </c:ext>
          </c:extLst>
        </c:ser>
        <c:ser>
          <c:idx val="1"/>
          <c:order val="1"/>
          <c:tx>
            <c:strRef>
              <c:f>combined!$D$3</c:f>
              <c:strCache>
                <c:ptCount val="1"/>
                <c:pt idx="0">
                  <c:v>Lat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combined!$B$4:$B$8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</c:numCache>
            </c:numRef>
          </c:cat>
          <c:val>
            <c:numRef>
              <c:f>combined!$D$4:$D$8</c:f>
              <c:numCache>
                <c:formatCode>General</c:formatCode>
                <c:ptCount val="5"/>
                <c:pt idx="0">
                  <c:v>13.5</c:v>
                </c:pt>
                <c:pt idx="1">
                  <c:v>10.78125</c:v>
                </c:pt>
                <c:pt idx="2">
                  <c:v>8.75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605-433B-B9F2-BE45B3E251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76979912"/>
        <c:axId val="588104360"/>
      </c:lineChart>
      <c:catAx>
        <c:axId val="5769799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r>
                  <a:rPr lang="en-GB" sz="1200" baseline="0"/>
                  <a:t>Kellgren-Lawrence Grade of OA</a:t>
                </a:r>
              </a:p>
            </c:rich>
          </c:tx>
          <c:layout>
            <c:manualLayout>
              <c:xMode val="edge"/>
              <c:yMode val="edge"/>
              <c:x val="0.25688757655293087"/>
              <c:y val="0.7945596383785360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588104360"/>
        <c:crosses val="autoZero"/>
        <c:auto val="1"/>
        <c:lblAlgn val="ctr"/>
        <c:lblOffset val="100"/>
        <c:noMultiLvlLbl val="0"/>
      </c:catAx>
      <c:valAx>
        <c:axId val="588104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r>
                  <a:rPr lang="en-GB" sz="1200" baseline="0"/>
                  <a:t>Average number vascular marks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576979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4275262467191603"/>
          <c:y val="0.89872630504520268"/>
          <c:w val="0.34429277022190408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12700" cap="flat" cmpd="sng" algn="ctr">
      <a:solidFill>
        <a:sysClr val="windowText" lastClr="000000"/>
      </a:solidFill>
      <a:round/>
    </a:ln>
    <a:effectLst/>
  </c:spPr>
  <c:txPr>
    <a:bodyPr/>
    <a:lstStyle/>
    <a:p>
      <a:pPr>
        <a:defRPr baseline="0">
          <a:solidFill>
            <a:schemeClr val="tx1"/>
          </a:solidFill>
          <a:latin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Beverly</dc:creator>
  <cp:keywords/>
  <dc:description/>
  <cp:lastModifiedBy>Michael Beverly</cp:lastModifiedBy>
  <cp:revision>4</cp:revision>
  <dcterms:created xsi:type="dcterms:W3CDTF">2024-04-09T11:06:00Z</dcterms:created>
  <dcterms:modified xsi:type="dcterms:W3CDTF">2024-04-09T11:09:00Z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e88dcb82a4f62bf567333196f44946fb1d0c927b1d2fe197311ef442caf6a2cb</vt:lpwstr>
  </property>
</Properties>
</file>