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4A51" w14:textId="77777777" w:rsidR="001A559A" w:rsidRDefault="001A559A" w:rsidP="004368CD">
      <w:pPr>
        <w:spacing w:line="360" w:lineRule="auto"/>
        <w:jc w:val="center"/>
        <w:rPr>
          <w:b/>
          <w:sz w:val="30"/>
          <w:szCs w:val="30"/>
        </w:rPr>
      </w:pPr>
      <w:bookmarkStart w:id="0" w:name="_Hlk138512925"/>
      <w:r w:rsidRPr="001A559A">
        <w:rPr>
          <w:b/>
          <w:sz w:val="30"/>
          <w:szCs w:val="30"/>
        </w:rPr>
        <w:t xml:space="preserve">Endoplasmic reticulum stress-mediated inflammatory signaling pathways </w:t>
      </w:r>
      <w:bookmarkEnd w:id="0"/>
      <w:r w:rsidRPr="001A559A">
        <w:rPr>
          <w:b/>
          <w:sz w:val="30"/>
          <w:szCs w:val="30"/>
        </w:rPr>
        <w:t>within the osteolytic periosteum and interface membrane in particle-induced osteolysis</w:t>
      </w:r>
    </w:p>
    <w:p w14:paraId="0100093B" w14:textId="5A462264" w:rsidR="004368CD" w:rsidRPr="00AA62BA" w:rsidRDefault="004368CD" w:rsidP="004368CD">
      <w:pPr>
        <w:spacing w:line="360" w:lineRule="auto"/>
        <w:jc w:val="center"/>
        <w:rPr>
          <w:rFonts w:eastAsia="楷体_GB2312"/>
          <w:kern w:val="0"/>
          <w:sz w:val="24"/>
          <w:szCs w:val="24"/>
        </w:rPr>
      </w:pPr>
      <w:r>
        <w:rPr>
          <w:sz w:val="24"/>
          <w:szCs w:val="24"/>
        </w:rPr>
        <w:t>G</w:t>
      </w:r>
      <w:r>
        <w:rPr>
          <w:rFonts w:hint="eastAsia"/>
          <w:sz w:val="24"/>
          <w:szCs w:val="24"/>
        </w:rPr>
        <w:t>uoyin</w:t>
      </w:r>
      <w:r>
        <w:rPr>
          <w:sz w:val="24"/>
          <w:szCs w:val="24"/>
        </w:rPr>
        <w:t xml:space="preserve"> L</w:t>
      </w:r>
      <w:r>
        <w:rPr>
          <w:rFonts w:hint="eastAsia"/>
          <w:sz w:val="24"/>
          <w:szCs w:val="24"/>
        </w:rPr>
        <w:t>iu</w:t>
      </w:r>
      <w:r>
        <w:rPr>
          <w:sz w:val="24"/>
          <w:szCs w:val="24"/>
        </w:rPr>
        <w:t>, J</w:t>
      </w:r>
      <w:r>
        <w:rPr>
          <w:rFonts w:hint="eastAsia"/>
          <w:sz w:val="24"/>
          <w:szCs w:val="24"/>
        </w:rPr>
        <w:t>ianmin</w:t>
      </w:r>
      <w:r>
        <w:rPr>
          <w:sz w:val="24"/>
          <w:szCs w:val="24"/>
        </w:rPr>
        <w:t xml:space="preserve"> C</w:t>
      </w:r>
      <w:r>
        <w:rPr>
          <w:rFonts w:hint="eastAsia"/>
          <w:sz w:val="24"/>
          <w:szCs w:val="24"/>
        </w:rPr>
        <w:t>hen</w:t>
      </w:r>
      <w:r w:rsidR="00E94AE9">
        <w:rPr>
          <w:sz w:val="24"/>
          <w:szCs w:val="24"/>
        </w:rPr>
        <w:t>.</w:t>
      </w:r>
    </w:p>
    <w:p w14:paraId="796ED441" w14:textId="426ACB3F" w:rsidR="004368CD" w:rsidRDefault="00A844BC" w:rsidP="004368CD">
      <w:pPr>
        <w:spacing w:line="360" w:lineRule="auto"/>
        <w:jc w:val="left"/>
        <w:rPr>
          <w:rFonts w:eastAsia="楷体_GB2312"/>
          <w:sz w:val="24"/>
          <w:szCs w:val="24"/>
        </w:rPr>
      </w:pPr>
      <w:bookmarkStart w:id="1" w:name="_Hlk109929631"/>
      <w:r w:rsidRPr="00A844BC">
        <w:rPr>
          <w:rFonts w:eastAsia="楷体_GB2312"/>
          <w:sz w:val="24"/>
          <w:szCs w:val="24"/>
        </w:rPr>
        <w:t>Department of Orthopaedics, Jinling Hospital of Nanjing Medical University, Nanjing, 210000, China</w:t>
      </w:r>
      <w:bookmarkEnd w:id="1"/>
      <w:r w:rsidR="00E03B40">
        <w:rPr>
          <w:rFonts w:eastAsia="楷体_GB2312"/>
          <w:sz w:val="24"/>
          <w:szCs w:val="24"/>
        </w:rPr>
        <w:t>.</w:t>
      </w:r>
    </w:p>
    <w:p w14:paraId="2BD1A7D1" w14:textId="77777777" w:rsidR="004368CD" w:rsidRPr="006411B3" w:rsidRDefault="004368CD" w:rsidP="004368CD">
      <w:pPr>
        <w:spacing w:line="360" w:lineRule="auto"/>
        <w:rPr>
          <w:b/>
          <w:sz w:val="28"/>
          <w:szCs w:val="28"/>
        </w:rPr>
      </w:pPr>
      <w:r w:rsidRPr="006411B3">
        <w:rPr>
          <w:b/>
          <w:sz w:val="28"/>
          <w:szCs w:val="28"/>
        </w:rPr>
        <w:t>Abstract</w:t>
      </w:r>
    </w:p>
    <w:p w14:paraId="109C6C5A" w14:textId="3BFE543A" w:rsidR="008C647E" w:rsidRDefault="00D07C30" w:rsidP="008C647E">
      <w:pPr>
        <w:rPr>
          <w:sz w:val="24"/>
          <w:szCs w:val="24"/>
        </w:rPr>
      </w:pPr>
      <w:bookmarkStart w:id="2" w:name="OLE_LINK99"/>
      <w:bookmarkStart w:id="3" w:name="OLE_LINK100"/>
      <w:bookmarkStart w:id="4" w:name="OLE_LINK48"/>
      <w:bookmarkStart w:id="5" w:name="OLE_LINK354"/>
      <w:bookmarkStart w:id="6" w:name="OLE_LINK357"/>
      <w:bookmarkStart w:id="7" w:name="OLE_LINK360"/>
      <w:bookmarkStart w:id="8" w:name="OLE_LINK361"/>
      <w:bookmarkStart w:id="9" w:name="OLE_LINK190"/>
      <w:bookmarkStart w:id="10" w:name="OLE_LINK191"/>
      <w:bookmarkStart w:id="11" w:name="OLE_LINK163"/>
      <w:bookmarkStart w:id="12" w:name="OLE_LINK164"/>
      <w:bookmarkStart w:id="13" w:name="OLE_LINK419"/>
      <w:bookmarkStart w:id="14" w:name="OLE_LINK420"/>
      <w:bookmarkStart w:id="15" w:name="OLE_LINK38"/>
      <w:bookmarkStart w:id="16" w:name="OLE_LINK39"/>
      <w:r w:rsidRPr="00D07C30">
        <w:rPr>
          <w:sz w:val="24"/>
          <w:szCs w:val="24"/>
        </w:rPr>
        <w:t>Aseptic loosening secondary to periprosthetic inflammatory osteolysis results from the biological response to</w:t>
      </w:r>
      <w:r w:rsidRPr="00D07C30">
        <w:rPr>
          <w:rFonts w:hint="eastAsia"/>
          <w:sz w:val="24"/>
          <w:szCs w:val="24"/>
        </w:rPr>
        <w:t xml:space="preserve"> </w:t>
      </w:r>
      <w:r w:rsidRPr="00D07C30">
        <w:rPr>
          <w:sz w:val="24"/>
          <w:szCs w:val="24"/>
        </w:rPr>
        <w:t>wear particles and is a leading cause of arthroplasty failure.</w:t>
      </w:r>
      <w:r w:rsidRPr="00D07C30">
        <w:rPr>
          <w:rFonts w:hint="eastAsia"/>
          <w:sz w:val="24"/>
          <w:szCs w:val="24"/>
        </w:rPr>
        <w:t xml:space="preserve"> </w:t>
      </w:r>
      <w:r w:rsidRPr="00D07C30">
        <w:rPr>
          <w:sz w:val="24"/>
          <w:szCs w:val="24"/>
        </w:rPr>
        <w:t>The origin of this inflammatory response remains unclear. We</w:t>
      </w:r>
      <w:r w:rsidRPr="00D07C30">
        <w:rPr>
          <w:rFonts w:hint="eastAsia"/>
          <w:sz w:val="24"/>
          <w:szCs w:val="24"/>
        </w:rPr>
        <w:t xml:space="preserve"> </w:t>
      </w:r>
      <w:r w:rsidRPr="00D07C30">
        <w:rPr>
          <w:sz w:val="24"/>
          <w:szCs w:val="24"/>
        </w:rPr>
        <w:t>aim to validate the definite link between endoplasmic reticulum (ER) stress and particle-induced inflammatory signaling</w:t>
      </w:r>
      <w:r w:rsidRPr="00D07C30">
        <w:rPr>
          <w:rFonts w:hint="eastAsia"/>
          <w:sz w:val="24"/>
          <w:szCs w:val="24"/>
        </w:rPr>
        <w:t xml:space="preserve"> </w:t>
      </w:r>
      <w:r w:rsidRPr="00D07C30">
        <w:rPr>
          <w:sz w:val="24"/>
          <w:szCs w:val="24"/>
        </w:rPr>
        <w:t>pathways in periprosthetic osteolysis. We examine the histopathologic changes of osteolysis and the expression of specific biomarkers for ER-stress-mediated inflammatory signaling</w:t>
      </w:r>
      <w:r w:rsidRPr="00D07C30">
        <w:rPr>
          <w:rFonts w:hint="eastAsia"/>
          <w:sz w:val="24"/>
          <w:szCs w:val="24"/>
        </w:rPr>
        <w:t xml:space="preserve"> </w:t>
      </w:r>
      <w:r w:rsidRPr="00D07C30">
        <w:rPr>
          <w:sz w:val="24"/>
          <w:szCs w:val="24"/>
        </w:rPr>
        <w:t>pathways (IRE1α, GRP78/Bip, c-Fos, NF-κB, ROS and</w:t>
      </w:r>
      <w:r w:rsidRPr="00D07C30">
        <w:rPr>
          <w:rFonts w:hint="eastAsia"/>
          <w:sz w:val="24"/>
          <w:szCs w:val="24"/>
        </w:rPr>
        <w:t xml:space="preserve"> </w:t>
      </w:r>
      <w:r w:rsidRPr="00D07C30">
        <w:rPr>
          <w:sz w:val="24"/>
          <w:szCs w:val="24"/>
        </w:rPr>
        <w:t>Ca</w:t>
      </w:r>
      <w:r w:rsidRPr="008C647E">
        <w:rPr>
          <w:sz w:val="24"/>
          <w:szCs w:val="24"/>
          <w:vertAlign w:val="superscript"/>
        </w:rPr>
        <w:t>2+</w:t>
      </w:r>
      <w:r w:rsidRPr="00D07C30">
        <w:rPr>
          <w:sz w:val="24"/>
          <w:szCs w:val="24"/>
        </w:rPr>
        <w:t>). Moreover, pro-inflammatory cytokines (TNF-α, IL-1β and IL-6) and osteoclastogenic molecules (VEGF, OPG,</w:t>
      </w:r>
      <w:r w:rsidRPr="00D07C30">
        <w:rPr>
          <w:rFonts w:hint="eastAsia"/>
          <w:sz w:val="24"/>
          <w:szCs w:val="24"/>
        </w:rPr>
        <w:t xml:space="preserve"> </w:t>
      </w:r>
      <w:r w:rsidRPr="00D07C30">
        <w:rPr>
          <w:sz w:val="24"/>
          <w:szCs w:val="24"/>
        </w:rPr>
        <w:t>RANKL and M-CSF) were assessed in clinical interface</w:t>
      </w:r>
      <w:r w:rsidRPr="00D07C30">
        <w:rPr>
          <w:rFonts w:hint="eastAsia"/>
          <w:sz w:val="24"/>
          <w:szCs w:val="24"/>
        </w:rPr>
        <w:t xml:space="preserve"> </w:t>
      </w:r>
      <w:r w:rsidRPr="00D07C30">
        <w:rPr>
          <w:sz w:val="24"/>
          <w:szCs w:val="24"/>
        </w:rPr>
        <w:t>membranes and murine periosteum tissues. We found wear</w:t>
      </w:r>
      <w:r w:rsidRPr="00D07C30">
        <w:rPr>
          <w:rFonts w:hint="eastAsia"/>
          <w:sz w:val="24"/>
          <w:szCs w:val="24"/>
        </w:rPr>
        <w:t xml:space="preserve"> </w:t>
      </w:r>
      <w:r w:rsidRPr="00D07C30">
        <w:rPr>
          <w:sz w:val="24"/>
          <w:szCs w:val="24"/>
        </w:rPr>
        <w:t>particles to be capable of inducing ER stress in macrophages</w:t>
      </w:r>
      <w:r w:rsidRPr="00D07C30">
        <w:rPr>
          <w:rFonts w:hint="eastAsia"/>
          <w:sz w:val="24"/>
          <w:szCs w:val="24"/>
        </w:rPr>
        <w:t xml:space="preserve"> </w:t>
      </w:r>
      <w:r w:rsidRPr="00D07C30">
        <w:rPr>
          <w:sz w:val="24"/>
          <w:szCs w:val="24"/>
        </w:rPr>
        <w:t>within clinical osteolytic interface membranes and murine</w:t>
      </w:r>
      <w:r w:rsidRPr="00D07C30">
        <w:rPr>
          <w:rFonts w:hint="eastAsia"/>
          <w:sz w:val="24"/>
          <w:szCs w:val="24"/>
        </w:rPr>
        <w:t xml:space="preserve"> </w:t>
      </w:r>
      <w:r w:rsidRPr="00D07C30">
        <w:rPr>
          <w:sz w:val="24"/>
          <w:szCs w:val="24"/>
        </w:rPr>
        <w:t>osteolytic periosteum tissues and to be associated with the</w:t>
      </w:r>
      <w:r w:rsidRPr="00D07C30">
        <w:rPr>
          <w:rFonts w:hint="eastAsia"/>
          <w:sz w:val="24"/>
          <w:szCs w:val="24"/>
        </w:rPr>
        <w:t xml:space="preserve"> </w:t>
      </w:r>
      <w:r w:rsidRPr="00D07C30">
        <w:rPr>
          <w:sz w:val="24"/>
          <w:szCs w:val="24"/>
        </w:rPr>
        <w:t>inflammatory response and osteoclastogenesis. Blocking ER</w:t>
      </w:r>
      <w:r w:rsidRPr="00D07C30">
        <w:rPr>
          <w:rFonts w:hint="eastAsia"/>
          <w:sz w:val="24"/>
          <w:szCs w:val="24"/>
        </w:rPr>
        <w:t xml:space="preserve"> </w:t>
      </w:r>
      <w:r w:rsidRPr="00D07C30">
        <w:rPr>
          <w:sz w:val="24"/>
          <w:szCs w:val="24"/>
        </w:rPr>
        <w:t>stress with sodium 4-phenylbutyrate (4-PBA) results in a dramatic amelioration of particle-induced osteolysis and a significant reduction of ER-stress intensity. Simultaneously, this</w:t>
      </w:r>
      <w:r w:rsidRPr="00D07C30">
        <w:rPr>
          <w:rFonts w:hint="eastAsia"/>
          <w:sz w:val="24"/>
          <w:szCs w:val="24"/>
        </w:rPr>
        <w:t xml:space="preserve"> </w:t>
      </w:r>
      <w:r w:rsidRPr="00D07C30">
        <w:rPr>
          <w:sz w:val="24"/>
          <w:szCs w:val="24"/>
        </w:rPr>
        <w:t>ER-stress blocker also lessens inflammatory cell infiltration,</w:t>
      </w:r>
      <w:r w:rsidRPr="00D07C30">
        <w:rPr>
          <w:rFonts w:hint="eastAsia"/>
          <w:sz w:val="24"/>
          <w:szCs w:val="24"/>
        </w:rPr>
        <w:t xml:space="preserve"> </w:t>
      </w:r>
      <w:r w:rsidRPr="00D07C30">
        <w:rPr>
          <w:sz w:val="24"/>
          <w:szCs w:val="24"/>
        </w:rPr>
        <w:t>diminishes the capability of osteoclastogenesis and reduces</w:t>
      </w:r>
      <w:r w:rsidRPr="00D07C30">
        <w:rPr>
          <w:rFonts w:hint="eastAsia"/>
          <w:sz w:val="24"/>
          <w:szCs w:val="24"/>
        </w:rPr>
        <w:t xml:space="preserve"> </w:t>
      </w:r>
      <w:r w:rsidRPr="00D07C30">
        <w:rPr>
          <w:sz w:val="24"/>
          <w:szCs w:val="24"/>
        </w:rPr>
        <w:t>the inflammatory response by lowering IRE1α, GRP78/Bip,</w:t>
      </w:r>
      <w:r w:rsidRPr="00D07C30">
        <w:rPr>
          <w:rFonts w:hint="eastAsia"/>
          <w:sz w:val="24"/>
          <w:szCs w:val="24"/>
        </w:rPr>
        <w:t xml:space="preserve"> </w:t>
      </w:r>
      <w:r w:rsidRPr="00D07C30">
        <w:rPr>
          <w:sz w:val="24"/>
          <w:szCs w:val="24"/>
        </w:rPr>
        <w:t>c-Fos, NF-κB, ROS and Ca</w:t>
      </w:r>
      <w:r w:rsidRPr="008C647E">
        <w:rPr>
          <w:sz w:val="24"/>
          <w:szCs w:val="24"/>
          <w:vertAlign w:val="superscript"/>
        </w:rPr>
        <w:t>2+</w:t>
      </w:r>
      <w:r w:rsidRPr="00D07C30">
        <w:rPr>
          <w:sz w:val="24"/>
          <w:szCs w:val="24"/>
        </w:rPr>
        <w:t xml:space="preserve"> levels. Thus, ER stress plays an</w:t>
      </w:r>
      <w:r w:rsidRPr="00D07C30">
        <w:rPr>
          <w:rFonts w:hint="eastAsia"/>
          <w:sz w:val="24"/>
          <w:szCs w:val="24"/>
        </w:rPr>
        <w:t xml:space="preserve"> </w:t>
      </w:r>
      <w:r w:rsidRPr="00D07C30">
        <w:rPr>
          <w:sz w:val="24"/>
          <w:szCs w:val="24"/>
        </w:rPr>
        <w:t>important role in particle-induced inflammatory osteolysis</w:t>
      </w:r>
      <w:r w:rsidRPr="00D07C30">
        <w:rPr>
          <w:rFonts w:hint="eastAsia"/>
          <w:sz w:val="24"/>
          <w:szCs w:val="24"/>
        </w:rPr>
        <w:t xml:space="preserve"> </w:t>
      </w:r>
      <w:r w:rsidRPr="00D07C30">
        <w:rPr>
          <w:sz w:val="24"/>
          <w:szCs w:val="24"/>
        </w:rPr>
        <w:t>and osteoclastogenic reactions. The pharmacological targeting</w:t>
      </w:r>
      <w:r w:rsidRPr="00D07C30">
        <w:rPr>
          <w:rFonts w:hint="eastAsia"/>
          <w:sz w:val="24"/>
          <w:szCs w:val="24"/>
        </w:rPr>
        <w:t xml:space="preserve"> </w:t>
      </w:r>
      <w:r w:rsidRPr="00D07C30">
        <w:rPr>
          <w:sz w:val="24"/>
          <w:szCs w:val="24"/>
        </w:rPr>
        <w:t>of ER-stress-mediated inflammatory signaling pathways</w:t>
      </w:r>
      <w:r w:rsidRPr="00D07C30">
        <w:rPr>
          <w:rFonts w:hint="eastAsia"/>
          <w:sz w:val="24"/>
          <w:szCs w:val="24"/>
        </w:rPr>
        <w:t xml:space="preserve"> </w:t>
      </w:r>
      <w:r w:rsidRPr="00D07C30">
        <w:rPr>
          <w:sz w:val="24"/>
          <w:szCs w:val="24"/>
        </w:rPr>
        <w:t>might be an appealing approach for alleviating or preventing</w:t>
      </w:r>
      <w:r w:rsidRPr="00D07C30">
        <w:rPr>
          <w:rFonts w:hint="eastAsia"/>
          <w:sz w:val="24"/>
          <w:szCs w:val="24"/>
        </w:rPr>
        <w:t xml:space="preserve"> </w:t>
      </w:r>
      <w:r w:rsidRPr="00D07C30">
        <w:rPr>
          <w:sz w:val="24"/>
          <w:szCs w:val="24"/>
        </w:rPr>
        <w:t>particle-induced osteolysis in at-risk patients.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010A9969" w14:textId="111AE343" w:rsidR="008C647E" w:rsidRPr="008C647E" w:rsidRDefault="004368CD" w:rsidP="008C647E">
      <w:pPr>
        <w:spacing w:line="360" w:lineRule="auto"/>
        <w:jc w:val="left"/>
        <w:rPr>
          <w:sz w:val="24"/>
          <w:szCs w:val="24"/>
        </w:rPr>
      </w:pPr>
      <w:r w:rsidRPr="006411B3">
        <w:rPr>
          <w:b/>
          <w:sz w:val="24"/>
          <w:szCs w:val="24"/>
        </w:rPr>
        <w:t>Key words:</w:t>
      </w:r>
      <w:r w:rsidRPr="006411B3">
        <w:rPr>
          <w:sz w:val="24"/>
          <w:szCs w:val="24"/>
        </w:rPr>
        <w:t xml:space="preserve"> </w:t>
      </w:r>
      <w:bookmarkStart w:id="17" w:name="OLE_LINK2"/>
      <w:bookmarkStart w:id="18" w:name="OLE_LINK13"/>
      <w:r w:rsidR="008C647E" w:rsidRPr="008C647E">
        <w:rPr>
          <w:sz w:val="24"/>
          <w:szCs w:val="24"/>
        </w:rPr>
        <w:t>Endoplasmic reticulum stress</w:t>
      </w:r>
      <w:r w:rsidRPr="006411B3">
        <w:rPr>
          <w:sz w:val="24"/>
          <w:szCs w:val="24"/>
        </w:rPr>
        <w:t xml:space="preserve">; </w:t>
      </w:r>
      <w:r w:rsidR="008C647E">
        <w:rPr>
          <w:sz w:val="24"/>
          <w:szCs w:val="24"/>
        </w:rPr>
        <w:t>O</w:t>
      </w:r>
      <w:r w:rsidR="008C647E" w:rsidRPr="008C647E">
        <w:rPr>
          <w:sz w:val="24"/>
          <w:szCs w:val="24"/>
        </w:rPr>
        <w:t>steolysis</w:t>
      </w:r>
      <w:r w:rsidR="008C647E">
        <w:rPr>
          <w:rFonts w:hint="eastAsia"/>
          <w:sz w:val="24"/>
          <w:szCs w:val="24"/>
        </w:rPr>
        <w:t>;</w:t>
      </w:r>
      <w:r w:rsidR="008C647E">
        <w:rPr>
          <w:sz w:val="24"/>
          <w:szCs w:val="24"/>
        </w:rPr>
        <w:t xml:space="preserve"> </w:t>
      </w:r>
      <w:r w:rsidR="008C647E" w:rsidRPr="008C647E">
        <w:rPr>
          <w:sz w:val="24"/>
          <w:szCs w:val="24"/>
        </w:rPr>
        <w:t>Aseptic loosening</w:t>
      </w:r>
      <w:r w:rsidR="008C647E">
        <w:rPr>
          <w:sz w:val="24"/>
          <w:szCs w:val="24"/>
        </w:rPr>
        <w:t xml:space="preserve">; </w:t>
      </w:r>
      <w:r w:rsidR="008C647E" w:rsidRPr="008C647E">
        <w:rPr>
          <w:sz w:val="24"/>
          <w:szCs w:val="24"/>
        </w:rPr>
        <w:t>Wear</w:t>
      </w:r>
    </w:p>
    <w:p w14:paraId="41C42EAF" w14:textId="445F2D6A" w:rsidR="00D11F5E" w:rsidRDefault="008C647E" w:rsidP="008C647E">
      <w:pPr>
        <w:spacing w:line="360" w:lineRule="auto"/>
        <w:jc w:val="left"/>
        <w:rPr>
          <w:sz w:val="24"/>
          <w:szCs w:val="24"/>
        </w:rPr>
      </w:pPr>
      <w:r w:rsidRPr="008C647E">
        <w:rPr>
          <w:sz w:val="24"/>
          <w:szCs w:val="24"/>
        </w:rPr>
        <w:t>Particles</w:t>
      </w:r>
      <w:r>
        <w:rPr>
          <w:rFonts w:hint="eastAsia"/>
          <w:sz w:val="24"/>
          <w:szCs w:val="24"/>
        </w:rPr>
        <w:t>.</w:t>
      </w:r>
      <w:bookmarkEnd w:id="17"/>
      <w:bookmarkEnd w:id="18"/>
    </w:p>
    <w:p w14:paraId="3F238078" w14:textId="77777777" w:rsidR="008C647E" w:rsidRDefault="008C647E" w:rsidP="008C647E">
      <w:pPr>
        <w:spacing w:line="360" w:lineRule="auto"/>
        <w:jc w:val="left"/>
      </w:pPr>
    </w:p>
    <w:p w14:paraId="5372B168" w14:textId="6AF16B11" w:rsidR="00D11F5E" w:rsidRPr="00C86CF9" w:rsidRDefault="00D11F5E" w:rsidP="00D11F5E">
      <w:pPr>
        <w:rPr>
          <w:b/>
          <w:sz w:val="24"/>
          <w:szCs w:val="24"/>
        </w:rPr>
      </w:pPr>
      <w:r w:rsidRPr="00D11F5E">
        <w:rPr>
          <w:b/>
          <w:sz w:val="24"/>
          <w:szCs w:val="24"/>
        </w:rPr>
        <w:t>Biography</w:t>
      </w:r>
    </w:p>
    <w:p w14:paraId="1B4313BC" w14:textId="3FE89BB7" w:rsidR="001F723F" w:rsidRDefault="00D11F5E" w:rsidP="00D11F5E">
      <w:pPr>
        <w:rPr>
          <w:sz w:val="24"/>
          <w:szCs w:val="24"/>
        </w:rPr>
      </w:pPr>
      <w:r w:rsidRPr="00F27A69">
        <w:rPr>
          <w:sz w:val="24"/>
          <w:szCs w:val="24"/>
        </w:rPr>
        <w:t>Guoyin Liu has completed his Master's degree from Medical School of Nanjing University</w:t>
      </w:r>
      <w:r w:rsidR="00557909">
        <w:rPr>
          <w:sz w:val="24"/>
          <w:szCs w:val="24"/>
        </w:rPr>
        <w:t xml:space="preserve">, </w:t>
      </w:r>
      <w:r w:rsidR="00557909">
        <w:rPr>
          <w:rFonts w:hint="eastAsia"/>
          <w:sz w:val="24"/>
          <w:szCs w:val="24"/>
        </w:rPr>
        <w:t>and</w:t>
      </w:r>
      <w:r w:rsidR="00557909">
        <w:rPr>
          <w:sz w:val="24"/>
          <w:szCs w:val="24"/>
        </w:rPr>
        <w:t xml:space="preserve"> </w:t>
      </w:r>
      <w:r w:rsidR="00594A08">
        <w:rPr>
          <w:rFonts w:hint="eastAsia"/>
          <w:sz w:val="24"/>
          <w:szCs w:val="24"/>
        </w:rPr>
        <w:t>is</w:t>
      </w:r>
      <w:r w:rsidR="00594A08">
        <w:rPr>
          <w:sz w:val="24"/>
          <w:szCs w:val="24"/>
        </w:rPr>
        <w:t xml:space="preserve"> </w:t>
      </w:r>
      <w:r w:rsidR="00594A08" w:rsidRPr="00594A08">
        <w:rPr>
          <w:sz w:val="24"/>
          <w:szCs w:val="24"/>
        </w:rPr>
        <w:t xml:space="preserve">currently </w:t>
      </w:r>
      <w:r w:rsidR="00557909" w:rsidRPr="00557909">
        <w:rPr>
          <w:sz w:val="24"/>
          <w:szCs w:val="24"/>
        </w:rPr>
        <w:t>a PhD candidate</w:t>
      </w:r>
      <w:r w:rsidR="00557909">
        <w:rPr>
          <w:sz w:val="24"/>
          <w:szCs w:val="24"/>
        </w:rPr>
        <w:t xml:space="preserve"> </w:t>
      </w:r>
      <w:r w:rsidR="00594A08">
        <w:rPr>
          <w:rFonts w:hint="eastAsia"/>
          <w:sz w:val="24"/>
          <w:szCs w:val="24"/>
        </w:rPr>
        <w:t>in</w:t>
      </w:r>
      <w:r w:rsidR="00594A08">
        <w:rPr>
          <w:sz w:val="24"/>
          <w:szCs w:val="24"/>
        </w:rPr>
        <w:t xml:space="preserve"> </w:t>
      </w:r>
      <w:r w:rsidR="00557909" w:rsidRPr="00B2578C">
        <w:rPr>
          <w:sz w:val="24"/>
          <w:szCs w:val="24"/>
        </w:rPr>
        <w:t>Nanjing Medical University</w:t>
      </w:r>
      <w:r w:rsidRPr="00F27A69">
        <w:rPr>
          <w:sz w:val="24"/>
          <w:szCs w:val="24"/>
        </w:rPr>
        <w:t xml:space="preserve">. He is the </w:t>
      </w:r>
      <w:r w:rsidR="00594A08">
        <w:rPr>
          <w:rFonts w:hint="eastAsia"/>
          <w:sz w:val="24"/>
          <w:szCs w:val="24"/>
        </w:rPr>
        <w:t>d</w:t>
      </w:r>
      <w:r w:rsidRPr="00F27A69">
        <w:rPr>
          <w:sz w:val="24"/>
          <w:szCs w:val="24"/>
        </w:rPr>
        <w:t xml:space="preserve">octor-in-charge </w:t>
      </w:r>
      <w:r w:rsidR="00594A08">
        <w:rPr>
          <w:rFonts w:hint="eastAsia"/>
          <w:sz w:val="24"/>
          <w:szCs w:val="24"/>
        </w:rPr>
        <w:t>and</w:t>
      </w:r>
      <w:r w:rsidR="00594A08">
        <w:rPr>
          <w:sz w:val="24"/>
          <w:szCs w:val="24"/>
        </w:rPr>
        <w:t xml:space="preserve"> </w:t>
      </w:r>
      <w:r w:rsidR="00594A08">
        <w:rPr>
          <w:rFonts w:hint="eastAsia"/>
          <w:sz w:val="24"/>
          <w:szCs w:val="24"/>
        </w:rPr>
        <w:t>a</w:t>
      </w:r>
      <w:r w:rsidR="00594A08" w:rsidRPr="00594A08">
        <w:rPr>
          <w:sz w:val="24"/>
          <w:szCs w:val="24"/>
        </w:rPr>
        <w:t xml:space="preserve">ssociate </w:t>
      </w:r>
      <w:r w:rsidR="00594A08">
        <w:rPr>
          <w:rFonts w:hint="eastAsia"/>
          <w:sz w:val="24"/>
          <w:szCs w:val="24"/>
        </w:rPr>
        <w:t>p</w:t>
      </w:r>
      <w:r w:rsidR="00594A08" w:rsidRPr="00594A08">
        <w:rPr>
          <w:sz w:val="24"/>
          <w:szCs w:val="24"/>
        </w:rPr>
        <w:t>rofessor</w:t>
      </w:r>
      <w:r w:rsidR="00594A08">
        <w:rPr>
          <w:rFonts w:hint="eastAsia"/>
          <w:sz w:val="24"/>
          <w:szCs w:val="24"/>
        </w:rPr>
        <w:t xml:space="preserve"> at</w:t>
      </w:r>
      <w:r w:rsidR="00594A08">
        <w:rPr>
          <w:sz w:val="24"/>
          <w:szCs w:val="24"/>
        </w:rPr>
        <w:t xml:space="preserve"> </w:t>
      </w:r>
      <w:r w:rsidR="00594A08">
        <w:rPr>
          <w:rFonts w:hint="eastAsia"/>
          <w:sz w:val="24"/>
          <w:szCs w:val="24"/>
        </w:rPr>
        <w:t>the</w:t>
      </w:r>
      <w:r w:rsidR="00594A08">
        <w:rPr>
          <w:sz w:val="24"/>
          <w:szCs w:val="24"/>
        </w:rPr>
        <w:t xml:space="preserve"> </w:t>
      </w:r>
      <w:r w:rsidR="00594A08" w:rsidRPr="00594A08">
        <w:rPr>
          <w:sz w:val="24"/>
          <w:szCs w:val="24"/>
        </w:rPr>
        <w:t>Department of Orthopaedics, Jinling Hospital of Nanjing Medical University</w:t>
      </w:r>
      <w:r w:rsidR="00344395">
        <w:rPr>
          <w:sz w:val="24"/>
          <w:szCs w:val="24"/>
        </w:rPr>
        <w:t xml:space="preserve">. </w:t>
      </w:r>
      <w:r w:rsidRPr="00F27A69">
        <w:rPr>
          <w:sz w:val="24"/>
          <w:szCs w:val="24"/>
        </w:rPr>
        <w:t xml:space="preserve">He worked mainly on the </w:t>
      </w:r>
      <w:r w:rsidR="00EF2136" w:rsidRPr="00EF2136">
        <w:rPr>
          <w:sz w:val="24"/>
          <w:szCs w:val="24"/>
        </w:rPr>
        <w:t>role of intracellular and extracellular GRP78/Bip</w:t>
      </w:r>
      <w:r w:rsidR="00EF2136">
        <w:rPr>
          <w:sz w:val="24"/>
          <w:szCs w:val="24"/>
        </w:rPr>
        <w:t xml:space="preserve"> </w:t>
      </w:r>
      <w:r w:rsidR="00EF2136" w:rsidRPr="00EF2136">
        <w:rPr>
          <w:sz w:val="24"/>
          <w:szCs w:val="24"/>
        </w:rPr>
        <w:t xml:space="preserve">in </w:t>
      </w:r>
      <w:r w:rsidR="00EF2136">
        <w:rPr>
          <w:rFonts w:hint="eastAsia"/>
          <w:sz w:val="24"/>
          <w:szCs w:val="24"/>
        </w:rPr>
        <w:t>p</w:t>
      </w:r>
      <w:r w:rsidR="00EF2136" w:rsidRPr="00EF2136">
        <w:rPr>
          <w:sz w:val="24"/>
          <w:szCs w:val="24"/>
        </w:rPr>
        <w:t>articles-induced periprosthetic osteolysis</w:t>
      </w:r>
      <w:r w:rsidR="00EF2136">
        <w:rPr>
          <w:sz w:val="24"/>
          <w:szCs w:val="24"/>
        </w:rPr>
        <w:t xml:space="preserve"> </w:t>
      </w:r>
      <w:r w:rsidR="00EF2136">
        <w:rPr>
          <w:rFonts w:hint="eastAsia"/>
          <w:sz w:val="24"/>
          <w:szCs w:val="24"/>
        </w:rPr>
        <w:t>and</w:t>
      </w:r>
      <w:r w:rsidR="00EF2136">
        <w:rPr>
          <w:sz w:val="24"/>
          <w:szCs w:val="24"/>
        </w:rPr>
        <w:t xml:space="preserve"> </w:t>
      </w:r>
      <w:r w:rsidR="00EF2136" w:rsidRPr="00EF2136">
        <w:rPr>
          <w:sz w:val="24"/>
          <w:szCs w:val="24"/>
        </w:rPr>
        <w:lastRenderedPageBreak/>
        <w:t>rheumatoid arthritis</w:t>
      </w:r>
      <w:r w:rsidR="00A07C03">
        <w:rPr>
          <w:sz w:val="24"/>
          <w:szCs w:val="24"/>
        </w:rPr>
        <w:t xml:space="preserve">; </w:t>
      </w:r>
      <w:r w:rsidR="00A07C03">
        <w:rPr>
          <w:rFonts w:hint="eastAsia"/>
          <w:sz w:val="24"/>
          <w:szCs w:val="24"/>
        </w:rPr>
        <w:t>the</w:t>
      </w:r>
      <w:r w:rsidR="00A07C03">
        <w:rPr>
          <w:sz w:val="24"/>
          <w:szCs w:val="24"/>
        </w:rPr>
        <w:t xml:space="preserve"> </w:t>
      </w:r>
      <w:r w:rsidR="00A07C03" w:rsidRPr="00A07C03">
        <w:rPr>
          <w:sz w:val="24"/>
          <w:szCs w:val="24"/>
        </w:rPr>
        <w:t>clinical application</w:t>
      </w:r>
      <w:r w:rsidR="00A07C03">
        <w:rPr>
          <w:sz w:val="24"/>
          <w:szCs w:val="24"/>
        </w:rPr>
        <w:t xml:space="preserve"> </w:t>
      </w:r>
      <w:r w:rsidR="00A07C03">
        <w:rPr>
          <w:rFonts w:hint="eastAsia"/>
          <w:sz w:val="24"/>
          <w:szCs w:val="24"/>
        </w:rPr>
        <w:t>of</w:t>
      </w:r>
      <w:r w:rsidR="00A07C03">
        <w:rPr>
          <w:sz w:val="24"/>
          <w:szCs w:val="24"/>
        </w:rPr>
        <w:t xml:space="preserve"> </w:t>
      </w:r>
      <w:r w:rsidR="00A07C03" w:rsidRPr="00A07C03">
        <w:rPr>
          <w:sz w:val="24"/>
          <w:szCs w:val="24"/>
        </w:rPr>
        <w:t>extracorporeal shock wave therapy</w:t>
      </w:r>
      <w:r w:rsidR="00A07C03">
        <w:rPr>
          <w:sz w:val="24"/>
          <w:szCs w:val="24"/>
        </w:rPr>
        <w:t>,</w:t>
      </w:r>
      <w:r w:rsidR="00A07C03" w:rsidRPr="00A07C03">
        <w:rPr>
          <w:sz w:val="24"/>
          <w:szCs w:val="24"/>
        </w:rPr>
        <w:t xml:space="preserve"> </w:t>
      </w:r>
      <w:r w:rsidR="00A07C03">
        <w:rPr>
          <w:rFonts w:hint="eastAsia"/>
          <w:sz w:val="24"/>
          <w:szCs w:val="24"/>
        </w:rPr>
        <w:t>c</w:t>
      </w:r>
      <w:r w:rsidR="00A07C03" w:rsidRPr="00A07C03">
        <w:rPr>
          <w:sz w:val="24"/>
          <w:szCs w:val="24"/>
        </w:rPr>
        <w:t xml:space="preserve">orticosteroid </w:t>
      </w:r>
      <w:r w:rsidR="00A07C03">
        <w:rPr>
          <w:rFonts w:hint="eastAsia"/>
          <w:sz w:val="24"/>
          <w:szCs w:val="24"/>
        </w:rPr>
        <w:t>i</w:t>
      </w:r>
      <w:r w:rsidR="00A07C03" w:rsidRPr="00A07C03">
        <w:rPr>
          <w:sz w:val="24"/>
          <w:szCs w:val="24"/>
        </w:rPr>
        <w:t>njection</w:t>
      </w:r>
      <w:r w:rsidR="00A07C03">
        <w:rPr>
          <w:sz w:val="24"/>
          <w:szCs w:val="24"/>
        </w:rPr>
        <w:t xml:space="preserve">, </w:t>
      </w:r>
      <w:r w:rsidR="00A07C03">
        <w:rPr>
          <w:rFonts w:hint="eastAsia"/>
          <w:sz w:val="24"/>
          <w:szCs w:val="24"/>
        </w:rPr>
        <w:t>and</w:t>
      </w:r>
      <w:r w:rsidR="00A07C03">
        <w:rPr>
          <w:sz w:val="24"/>
          <w:szCs w:val="24"/>
        </w:rPr>
        <w:t xml:space="preserve"> </w:t>
      </w:r>
      <w:r w:rsidR="00A07C03" w:rsidRPr="00A07C03">
        <w:rPr>
          <w:sz w:val="24"/>
          <w:szCs w:val="24"/>
        </w:rPr>
        <w:t>needle-knife therapy in the treatment of chronic plantar fasciitis</w:t>
      </w:r>
      <w:r w:rsidR="00A07C03">
        <w:rPr>
          <w:sz w:val="24"/>
          <w:szCs w:val="24"/>
        </w:rPr>
        <w:t xml:space="preserve">; </w:t>
      </w:r>
      <w:r w:rsidR="00A07C03">
        <w:rPr>
          <w:rFonts w:hint="eastAsia"/>
          <w:sz w:val="24"/>
          <w:szCs w:val="24"/>
        </w:rPr>
        <w:t>and</w:t>
      </w:r>
      <w:r w:rsidR="00A07C03">
        <w:rPr>
          <w:sz w:val="24"/>
          <w:szCs w:val="24"/>
        </w:rPr>
        <w:t xml:space="preserve"> </w:t>
      </w:r>
      <w:r w:rsidR="00A07C03">
        <w:rPr>
          <w:rFonts w:hint="eastAsia"/>
          <w:sz w:val="24"/>
          <w:szCs w:val="24"/>
        </w:rPr>
        <w:t>the</w:t>
      </w:r>
      <w:r w:rsidR="00A07C03">
        <w:rPr>
          <w:sz w:val="24"/>
          <w:szCs w:val="24"/>
        </w:rPr>
        <w:t xml:space="preserve"> </w:t>
      </w:r>
      <w:r w:rsidR="0087294F">
        <w:rPr>
          <w:rFonts w:hint="eastAsia"/>
          <w:sz w:val="24"/>
          <w:szCs w:val="24"/>
        </w:rPr>
        <w:t>a</w:t>
      </w:r>
      <w:r w:rsidR="0087294F" w:rsidRPr="0087294F">
        <w:rPr>
          <w:sz w:val="24"/>
          <w:szCs w:val="24"/>
        </w:rPr>
        <w:t xml:space="preserve">pplication of </w:t>
      </w:r>
      <w:r w:rsidR="0087294F">
        <w:rPr>
          <w:rFonts w:hint="eastAsia"/>
          <w:sz w:val="24"/>
          <w:szCs w:val="24"/>
        </w:rPr>
        <w:t>l</w:t>
      </w:r>
      <w:r w:rsidR="0087294F" w:rsidRPr="0087294F">
        <w:rPr>
          <w:sz w:val="24"/>
          <w:szCs w:val="24"/>
        </w:rPr>
        <w:t xml:space="preserve">amina </w:t>
      </w:r>
      <w:r w:rsidR="0087294F">
        <w:rPr>
          <w:rFonts w:hint="eastAsia"/>
          <w:sz w:val="24"/>
          <w:szCs w:val="24"/>
        </w:rPr>
        <w:t>o</w:t>
      </w:r>
      <w:r w:rsidR="0087294F" w:rsidRPr="0087294F">
        <w:rPr>
          <w:sz w:val="24"/>
          <w:szCs w:val="24"/>
        </w:rPr>
        <w:t xml:space="preserve">steotomy and </w:t>
      </w:r>
      <w:r w:rsidR="0087294F">
        <w:rPr>
          <w:rFonts w:hint="eastAsia"/>
          <w:sz w:val="24"/>
          <w:szCs w:val="24"/>
        </w:rPr>
        <w:t>r</w:t>
      </w:r>
      <w:r w:rsidR="0087294F" w:rsidRPr="0087294F">
        <w:rPr>
          <w:sz w:val="24"/>
          <w:szCs w:val="24"/>
        </w:rPr>
        <w:t xml:space="preserve">eplantation </w:t>
      </w:r>
      <w:r w:rsidR="0087294F">
        <w:rPr>
          <w:rFonts w:hint="eastAsia"/>
          <w:sz w:val="24"/>
          <w:szCs w:val="24"/>
        </w:rPr>
        <w:t>w</w:t>
      </w:r>
      <w:r w:rsidR="0087294F" w:rsidRPr="0087294F">
        <w:rPr>
          <w:sz w:val="24"/>
          <w:szCs w:val="24"/>
        </w:rPr>
        <w:t>ith</w:t>
      </w:r>
      <w:r w:rsidR="0087294F">
        <w:rPr>
          <w:rFonts w:hint="eastAsia"/>
          <w:sz w:val="24"/>
          <w:szCs w:val="24"/>
        </w:rPr>
        <w:t xml:space="preserve"> m</w:t>
      </w:r>
      <w:r w:rsidR="0087294F" w:rsidRPr="0087294F">
        <w:rPr>
          <w:sz w:val="24"/>
          <w:szCs w:val="24"/>
        </w:rPr>
        <w:t xml:space="preserve">iniplate </w:t>
      </w:r>
      <w:r w:rsidR="0087294F">
        <w:rPr>
          <w:rFonts w:hint="eastAsia"/>
          <w:sz w:val="24"/>
          <w:szCs w:val="24"/>
        </w:rPr>
        <w:t>f</w:t>
      </w:r>
      <w:r w:rsidR="0087294F" w:rsidRPr="0087294F">
        <w:rPr>
          <w:sz w:val="24"/>
          <w:szCs w:val="24"/>
        </w:rPr>
        <w:t xml:space="preserve">ixation (restorative laminoplasty) in </w:t>
      </w:r>
      <w:r w:rsidR="0087294F" w:rsidRPr="00B2578C">
        <w:rPr>
          <w:sz w:val="24"/>
          <w:szCs w:val="24"/>
        </w:rPr>
        <w:t>intraspinal occupying lesions</w:t>
      </w:r>
      <w:r w:rsidR="004E4481" w:rsidRPr="00B2578C">
        <w:rPr>
          <w:sz w:val="24"/>
          <w:szCs w:val="24"/>
        </w:rPr>
        <w:t>.</w:t>
      </w:r>
      <w:r w:rsidR="004D5565" w:rsidRPr="00B2578C">
        <w:rPr>
          <w:sz w:val="24"/>
          <w:szCs w:val="24"/>
        </w:rPr>
        <w:t xml:space="preserve"> H</w:t>
      </w:r>
      <w:r w:rsidR="004D5565" w:rsidRPr="00B2578C">
        <w:rPr>
          <w:rFonts w:hint="eastAsia"/>
          <w:sz w:val="24"/>
          <w:szCs w:val="24"/>
        </w:rPr>
        <w:t>e</w:t>
      </w:r>
      <w:r w:rsidR="004D5565" w:rsidRPr="00B2578C">
        <w:rPr>
          <w:sz w:val="24"/>
          <w:szCs w:val="24"/>
        </w:rPr>
        <w:t xml:space="preserve"> </w:t>
      </w:r>
      <w:r w:rsidR="004D5565" w:rsidRPr="00B2578C">
        <w:rPr>
          <w:rFonts w:hint="eastAsia"/>
          <w:sz w:val="24"/>
          <w:szCs w:val="24"/>
        </w:rPr>
        <w:t>had</w:t>
      </w:r>
      <w:r w:rsidR="004D5565" w:rsidRPr="00B2578C">
        <w:rPr>
          <w:sz w:val="24"/>
          <w:szCs w:val="24"/>
        </w:rPr>
        <w:t xml:space="preserve"> </w:t>
      </w:r>
      <w:r w:rsidR="004D5565" w:rsidRPr="00B2578C">
        <w:rPr>
          <w:rFonts w:hint="eastAsia"/>
          <w:sz w:val="24"/>
          <w:szCs w:val="24"/>
        </w:rPr>
        <w:t>been</w:t>
      </w:r>
      <w:r w:rsidR="004D5565" w:rsidRPr="00B2578C">
        <w:rPr>
          <w:sz w:val="24"/>
          <w:szCs w:val="24"/>
        </w:rPr>
        <w:t xml:space="preserve"> </w:t>
      </w:r>
      <w:r w:rsidR="004D5565" w:rsidRPr="00B2578C">
        <w:rPr>
          <w:rFonts w:hint="eastAsia"/>
          <w:sz w:val="24"/>
          <w:szCs w:val="24"/>
        </w:rPr>
        <w:t>invited</w:t>
      </w:r>
      <w:r w:rsidR="004D5565" w:rsidRPr="00B2578C">
        <w:rPr>
          <w:sz w:val="24"/>
          <w:szCs w:val="24"/>
        </w:rPr>
        <w:t xml:space="preserve"> </w:t>
      </w:r>
      <w:r w:rsidR="004D5565" w:rsidRPr="00B2578C">
        <w:rPr>
          <w:rFonts w:hint="eastAsia"/>
          <w:sz w:val="24"/>
          <w:szCs w:val="24"/>
        </w:rPr>
        <w:t>as</w:t>
      </w:r>
      <w:r w:rsidR="006F2B51" w:rsidRPr="00B2578C">
        <w:rPr>
          <w:sz w:val="24"/>
          <w:szCs w:val="24"/>
        </w:rPr>
        <w:t xml:space="preserve"> </w:t>
      </w:r>
      <w:r w:rsidR="006F2B51" w:rsidRPr="00B2578C">
        <w:rPr>
          <w:rFonts w:hint="eastAsia"/>
          <w:sz w:val="24"/>
          <w:szCs w:val="24"/>
        </w:rPr>
        <w:t>a</w:t>
      </w:r>
      <w:r w:rsidR="006F2B51" w:rsidRPr="00B2578C">
        <w:rPr>
          <w:sz w:val="24"/>
          <w:szCs w:val="24"/>
        </w:rPr>
        <w:t xml:space="preserve"> </w:t>
      </w:r>
      <w:r w:rsidR="006F2B51" w:rsidRPr="00557909">
        <w:rPr>
          <w:sz w:val="24"/>
          <w:szCs w:val="24"/>
        </w:rPr>
        <w:t>speaker to the “World Congress on Virology &amp; Infectious Diseases” during November 20-22, 2017 in Miami, FL, USA</w:t>
      </w:r>
      <w:r w:rsidR="006F2B51">
        <w:rPr>
          <w:rFonts w:hint="eastAsia"/>
          <w:sz w:val="24"/>
          <w:szCs w:val="24"/>
        </w:rPr>
        <w:t>,</w:t>
      </w:r>
      <w:r w:rsidR="006F2B51">
        <w:rPr>
          <w:sz w:val="24"/>
          <w:szCs w:val="24"/>
        </w:rPr>
        <w:t xml:space="preserve"> </w:t>
      </w:r>
      <w:r w:rsidR="006F2B51">
        <w:rPr>
          <w:rFonts w:hint="eastAsia"/>
          <w:sz w:val="24"/>
          <w:szCs w:val="24"/>
        </w:rPr>
        <w:t>and</w:t>
      </w:r>
      <w:r w:rsidR="006F2B51">
        <w:rPr>
          <w:sz w:val="24"/>
          <w:szCs w:val="24"/>
        </w:rPr>
        <w:t xml:space="preserve"> </w:t>
      </w:r>
      <w:r w:rsidR="006F2B51" w:rsidRPr="00B2578C">
        <w:rPr>
          <w:rFonts w:hint="eastAsia"/>
          <w:sz w:val="24"/>
          <w:szCs w:val="24"/>
        </w:rPr>
        <w:t>as</w:t>
      </w:r>
      <w:r w:rsidR="006F2B51" w:rsidRPr="00B2578C">
        <w:rPr>
          <w:sz w:val="24"/>
          <w:szCs w:val="24"/>
        </w:rPr>
        <w:t xml:space="preserve"> </w:t>
      </w:r>
      <w:r w:rsidR="006F2B51" w:rsidRPr="00B2578C">
        <w:rPr>
          <w:rFonts w:hint="eastAsia"/>
          <w:sz w:val="24"/>
          <w:szCs w:val="24"/>
        </w:rPr>
        <w:t>a</w:t>
      </w:r>
      <w:r w:rsidR="006F2B51" w:rsidRPr="00B2578C">
        <w:rPr>
          <w:sz w:val="24"/>
          <w:szCs w:val="24"/>
        </w:rPr>
        <w:t xml:space="preserve"> </w:t>
      </w:r>
      <w:r w:rsidR="006F2B51" w:rsidRPr="00557909">
        <w:rPr>
          <w:sz w:val="24"/>
          <w:szCs w:val="24"/>
        </w:rPr>
        <w:t>speaker to</w:t>
      </w:r>
      <w:r w:rsidR="006F2B51">
        <w:rPr>
          <w:sz w:val="24"/>
          <w:szCs w:val="24"/>
        </w:rPr>
        <w:t xml:space="preserve"> </w:t>
      </w:r>
      <w:r w:rsidR="006F2B51" w:rsidRPr="00557909">
        <w:rPr>
          <w:sz w:val="24"/>
          <w:szCs w:val="24"/>
        </w:rPr>
        <w:t>the International Conference on Biomarker Research in Clinical Medicine scheduled for February 19-21, 2018 in Paris, France</w:t>
      </w:r>
      <w:r w:rsidR="006F2B51">
        <w:rPr>
          <w:sz w:val="24"/>
          <w:szCs w:val="24"/>
        </w:rPr>
        <w:t xml:space="preserve"> </w:t>
      </w:r>
      <w:r w:rsidR="006F2B51" w:rsidRPr="00557909">
        <w:rPr>
          <w:sz w:val="24"/>
          <w:szCs w:val="24"/>
        </w:rPr>
        <w:t>(BRCM 2018)</w:t>
      </w:r>
      <w:r w:rsidR="006F2B51">
        <w:rPr>
          <w:sz w:val="24"/>
          <w:szCs w:val="24"/>
        </w:rPr>
        <w:t>.</w:t>
      </w:r>
      <w:r w:rsidR="001F723F">
        <w:rPr>
          <w:sz w:val="24"/>
          <w:szCs w:val="24"/>
        </w:rPr>
        <w:t xml:space="preserve"> H</w:t>
      </w:r>
      <w:r w:rsidR="001F723F">
        <w:rPr>
          <w:rFonts w:hint="eastAsia"/>
          <w:sz w:val="24"/>
          <w:szCs w:val="24"/>
        </w:rPr>
        <w:t>e</w:t>
      </w:r>
      <w:r w:rsidR="001F723F">
        <w:rPr>
          <w:sz w:val="24"/>
          <w:szCs w:val="24"/>
        </w:rPr>
        <w:t xml:space="preserve"> </w:t>
      </w:r>
      <w:r w:rsidR="001F723F">
        <w:rPr>
          <w:rFonts w:hint="eastAsia"/>
          <w:sz w:val="24"/>
          <w:szCs w:val="24"/>
        </w:rPr>
        <w:t>was</w:t>
      </w:r>
      <w:r w:rsidR="001F723F">
        <w:rPr>
          <w:sz w:val="24"/>
          <w:szCs w:val="24"/>
        </w:rPr>
        <w:t xml:space="preserve"> </w:t>
      </w:r>
      <w:r w:rsidR="001F723F" w:rsidRPr="001F723F">
        <w:rPr>
          <w:sz w:val="24"/>
          <w:szCs w:val="24"/>
        </w:rPr>
        <w:t>a member of the Standing Committee of the</w:t>
      </w:r>
      <w:r w:rsidR="001F723F">
        <w:rPr>
          <w:sz w:val="24"/>
          <w:szCs w:val="24"/>
        </w:rPr>
        <w:t xml:space="preserve"> </w:t>
      </w:r>
      <w:r w:rsidR="001F723F" w:rsidRPr="00B2578C">
        <w:rPr>
          <w:rFonts w:hint="eastAsia"/>
          <w:sz w:val="24"/>
          <w:szCs w:val="24"/>
        </w:rPr>
        <w:t>China Medicine Education Association</w:t>
      </w:r>
      <w:r w:rsidR="002311D3" w:rsidRPr="00B2578C">
        <w:rPr>
          <w:sz w:val="24"/>
          <w:szCs w:val="24"/>
        </w:rPr>
        <w:t xml:space="preserve"> </w:t>
      </w:r>
      <w:r w:rsidR="001F723F" w:rsidRPr="00B2578C">
        <w:rPr>
          <w:sz w:val="24"/>
          <w:szCs w:val="24"/>
        </w:rPr>
        <w:t>(</w:t>
      </w:r>
      <w:r w:rsidR="001F723F" w:rsidRPr="00B2578C">
        <w:rPr>
          <w:rFonts w:hint="eastAsia"/>
          <w:sz w:val="24"/>
          <w:szCs w:val="24"/>
        </w:rPr>
        <w:t>CMEA</w:t>
      </w:r>
      <w:r w:rsidR="001F723F" w:rsidRPr="00B2578C">
        <w:rPr>
          <w:sz w:val="24"/>
          <w:szCs w:val="24"/>
        </w:rPr>
        <w:t>)</w:t>
      </w:r>
      <w:r w:rsidR="00DE7219" w:rsidRPr="00B2578C">
        <w:rPr>
          <w:sz w:val="24"/>
          <w:szCs w:val="24"/>
        </w:rPr>
        <w:t xml:space="preserve">, </w:t>
      </w:r>
      <w:r w:rsidR="00DE7219" w:rsidRPr="00B2578C">
        <w:rPr>
          <w:rFonts w:hint="eastAsia"/>
          <w:sz w:val="24"/>
          <w:szCs w:val="24"/>
        </w:rPr>
        <w:t>and</w:t>
      </w:r>
      <w:r w:rsidR="00DE7219" w:rsidRPr="00B2578C">
        <w:rPr>
          <w:sz w:val="24"/>
          <w:szCs w:val="24"/>
        </w:rPr>
        <w:t xml:space="preserve"> </w:t>
      </w:r>
      <w:r w:rsidR="00DE7219" w:rsidRPr="001F723F">
        <w:rPr>
          <w:sz w:val="24"/>
          <w:szCs w:val="24"/>
        </w:rPr>
        <w:t xml:space="preserve">a </w:t>
      </w:r>
      <w:r w:rsidR="00DE7219" w:rsidRPr="00B2578C">
        <w:rPr>
          <w:sz w:val="24"/>
          <w:szCs w:val="24"/>
        </w:rPr>
        <w:t xml:space="preserve">managing director of </w:t>
      </w:r>
      <w:r w:rsidR="00DE7219" w:rsidRPr="001F723F">
        <w:rPr>
          <w:rFonts w:hint="eastAsia"/>
          <w:sz w:val="24"/>
          <w:szCs w:val="24"/>
        </w:rPr>
        <w:t>National Association of Health Industry and Enterprise Management</w:t>
      </w:r>
      <w:r w:rsidR="00DE7219">
        <w:rPr>
          <w:sz w:val="24"/>
          <w:szCs w:val="24"/>
        </w:rPr>
        <w:t xml:space="preserve"> </w:t>
      </w:r>
      <w:r w:rsidR="00DE7219" w:rsidRPr="001F723F">
        <w:rPr>
          <w:rFonts w:hint="eastAsia"/>
          <w:sz w:val="24"/>
          <w:szCs w:val="24"/>
        </w:rPr>
        <w:t>(NAHIEM)</w:t>
      </w:r>
      <w:r w:rsidR="00DE7219">
        <w:rPr>
          <w:sz w:val="24"/>
          <w:szCs w:val="24"/>
        </w:rPr>
        <w:t>. H</w:t>
      </w:r>
      <w:r w:rsidR="00DE7219">
        <w:rPr>
          <w:rFonts w:hint="eastAsia"/>
          <w:sz w:val="24"/>
          <w:szCs w:val="24"/>
        </w:rPr>
        <w:t>e</w:t>
      </w:r>
      <w:r w:rsidR="00DE7219">
        <w:rPr>
          <w:sz w:val="24"/>
          <w:szCs w:val="24"/>
        </w:rPr>
        <w:t xml:space="preserve"> </w:t>
      </w:r>
      <w:r w:rsidR="00DE7219">
        <w:rPr>
          <w:rFonts w:hint="eastAsia"/>
          <w:sz w:val="24"/>
          <w:szCs w:val="24"/>
        </w:rPr>
        <w:t>was</w:t>
      </w:r>
      <w:r w:rsidR="00DE7219">
        <w:rPr>
          <w:sz w:val="24"/>
          <w:szCs w:val="24"/>
        </w:rPr>
        <w:t xml:space="preserve"> </w:t>
      </w:r>
      <w:r w:rsidR="00DE7219">
        <w:rPr>
          <w:rFonts w:hint="eastAsia"/>
          <w:sz w:val="24"/>
          <w:szCs w:val="24"/>
        </w:rPr>
        <w:t>an</w:t>
      </w:r>
      <w:r w:rsidR="00DE7219">
        <w:rPr>
          <w:sz w:val="24"/>
          <w:szCs w:val="24"/>
        </w:rPr>
        <w:t xml:space="preserve"> </w:t>
      </w:r>
      <w:r w:rsidR="00DE7219" w:rsidRPr="00B2578C">
        <w:rPr>
          <w:rFonts w:hint="eastAsia"/>
          <w:sz w:val="24"/>
          <w:szCs w:val="24"/>
        </w:rPr>
        <w:t>e</w:t>
      </w:r>
      <w:r w:rsidR="00DE7219" w:rsidRPr="00B2578C">
        <w:rPr>
          <w:sz w:val="24"/>
          <w:szCs w:val="24"/>
        </w:rPr>
        <w:t xml:space="preserve">ditorial board member </w:t>
      </w:r>
      <w:r w:rsidR="00DE7219">
        <w:rPr>
          <w:rFonts w:hint="eastAsia"/>
          <w:sz w:val="24"/>
          <w:szCs w:val="24"/>
        </w:rPr>
        <w:t>for</w:t>
      </w:r>
      <w:r w:rsidR="00DE7219">
        <w:rPr>
          <w:sz w:val="24"/>
          <w:szCs w:val="24"/>
        </w:rPr>
        <w:t xml:space="preserve"> </w:t>
      </w:r>
      <w:r w:rsidR="00DE7219" w:rsidRPr="00B2578C">
        <w:rPr>
          <w:rFonts w:hint="eastAsia"/>
          <w:sz w:val="24"/>
          <w:szCs w:val="24"/>
        </w:rPr>
        <w:t>Journal of</w:t>
      </w:r>
      <w:r w:rsidR="00DE7219" w:rsidRPr="00B2578C">
        <w:rPr>
          <w:rFonts w:hint="eastAsia"/>
          <w:sz w:val="24"/>
          <w:szCs w:val="24"/>
        </w:rPr>
        <w:t>《</w:t>
      </w:r>
      <w:r w:rsidR="00DE7219" w:rsidRPr="00B2578C">
        <w:rPr>
          <w:rFonts w:hint="eastAsia"/>
          <w:sz w:val="24"/>
          <w:szCs w:val="24"/>
        </w:rPr>
        <w:t>Orthopaedic Surgery and Research</w:t>
      </w:r>
      <w:r w:rsidR="00DE7219" w:rsidRPr="00B2578C">
        <w:rPr>
          <w:rFonts w:hint="eastAsia"/>
          <w:sz w:val="24"/>
          <w:szCs w:val="24"/>
        </w:rPr>
        <w:t>》</w:t>
      </w:r>
      <w:r w:rsidR="00DE7219" w:rsidRPr="00B2578C">
        <w:rPr>
          <w:rFonts w:hint="eastAsia"/>
          <w:sz w:val="24"/>
          <w:szCs w:val="24"/>
        </w:rPr>
        <w:t>,</w:t>
      </w:r>
      <w:r w:rsidR="00DE7219" w:rsidRPr="00B2578C">
        <w:rPr>
          <w:sz w:val="24"/>
          <w:szCs w:val="24"/>
        </w:rPr>
        <w:t xml:space="preserve"> </w:t>
      </w:r>
      <w:r w:rsidR="00DE7219" w:rsidRPr="00B2578C">
        <w:rPr>
          <w:rFonts w:hint="eastAsia"/>
          <w:sz w:val="24"/>
          <w:szCs w:val="24"/>
        </w:rPr>
        <w:t>《</w:t>
      </w:r>
      <w:r w:rsidR="00DE7219" w:rsidRPr="00B2578C">
        <w:rPr>
          <w:rFonts w:hint="eastAsia"/>
          <w:sz w:val="24"/>
          <w:szCs w:val="24"/>
        </w:rPr>
        <w:t>Innate Immunity</w:t>
      </w:r>
      <w:r w:rsidR="00DE7219" w:rsidRPr="00B2578C">
        <w:rPr>
          <w:rFonts w:hint="eastAsia"/>
          <w:sz w:val="24"/>
          <w:szCs w:val="24"/>
        </w:rPr>
        <w:t>》</w:t>
      </w:r>
      <w:r w:rsidR="00DE7219" w:rsidRPr="00B2578C">
        <w:rPr>
          <w:rFonts w:hint="eastAsia"/>
          <w:sz w:val="24"/>
          <w:szCs w:val="24"/>
        </w:rPr>
        <w:t>,</w:t>
      </w:r>
      <w:r w:rsidR="00DE7219" w:rsidRPr="00B2578C">
        <w:rPr>
          <w:sz w:val="24"/>
          <w:szCs w:val="24"/>
        </w:rPr>
        <w:t xml:space="preserve"> </w:t>
      </w:r>
      <w:r w:rsidR="00DE7219" w:rsidRPr="00B2578C">
        <w:rPr>
          <w:rFonts w:hint="eastAsia"/>
          <w:sz w:val="24"/>
          <w:szCs w:val="24"/>
        </w:rPr>
        <w:t>《</w:t>
      </w:r>
      <w:r w:rsidR="00DE7219" w:rsidRPr="00B2578C">
        <w:rPr>
          <w:rFonts w:hint="eastAsia"/>
          <w:sz w:val="24"/>
          <w:szCs w:val="24"/>
        </w:rPr>
        <w:t>Frontiers in Bioscience-Landmark</w:t>
      </w:r>
      <w:r w:rsidR="00DE7219" w:rsidRPr="00B2578C">
        <w:rPr>
          <w:rFonts w:hint="eastAsia"/>
          <w:sz w:val="24"/>
          <w:szCs w:val="24"/>
        </w:rPr>
        <w:t>》</w:t>
      </w:r>
      <w:r w:rsidR="00DE7219" w:rsidRPr="00B2578C">
        <w:rPr>
          <w:rFonts w:hint="eastAsia"/>
          <w:sz w:val="24"/>
          <w:szCs w:val="24"/>
        </w:rPr>
        <w:t>,</w:t>
      </w:r>
      <w:r w:rsidR="00DE7219" w:rsidRPr="00B2578C">
        <w:rPr>
          <w:sz w:val="24"/>
          <w:szCs w:val="24"/>
        </w:rPr>
        <w:t xml:space="preserve"> </w:t>
      </w:r>
      <w:r w:rsidR="00DE7219" w:rsidRPr="00B2578C">
        <w:rPr>
          <w:rFonts w:hint="eastAsia"/>
          <w:sz w:val="24"/>
          <w:szCs w:val="24"/>
        </w:rPr>
        <w:t>《</w:t>
      </w:r>
      <w:r w:rsidR="00DE7219" w:rsidRPr="00B2578C">
        <w:rPr>
          <w:rFonts w:hint="eastAsia"/>
          <w:sz w:val="24"/>
          <w:szCs w:val="24"/>
        </w:rPr>
        <w:t>Current Molecular Medicine</w:t>
      </w:r>
      <w:r w:rsidR="00DE7219" w:rsidRPr="00B2578C">
        <w:rPr>
          <w:rFonts w:hint="eastAsia"/>
          <w:sz w:val="24"/>
          <w:szCs w:val="24"/>
        </w:rPr>
        <w:t>》</w:t>
      </w:r>
      <w:r w:rsidR="00DE7219" w:rsidRPr="00B2578C">
        <w:rPr>
          <w:rFonts w:hint="eastAsia"/>
          <w:sz w:val="24"/>
          <w:szCs w:val="24"/>
        </w:rPr>
        <w:t>and</w:t>
      </w:r>
      <w:r w:rsidR="00DE7219" w:rsidRPr="00B2578C">
        <w:rPr>
          <w:rFonts w:hint="eastAsia"/>
          <w:sz w:val="24"/>
          <w:szCs w:val="24"/>
        </w:rPr>
        <w:t>《</w:t>
      </w:r>
      <w:r w:rsidR="00DE7219" w:rsidRPr="00B2578C">
        <w:rPr>
          <w:rFonts w:hint="eastAsia"/>
          <w:sz w:val="24"/>
          <w:szCs w:val="24"/>
        </w:rPr>
        <w:t>Current Pharmaceutical Design</w:t>
      </w:r>
      <w:r w:rsidR="00DE7219" w:rsidRPr="00B2578C">
        <w:rPr>
          <w:rFonts w:hint="eastAsia"/>
          <w:sz w:val="24"/>
          <w:szCs w:val="24"/>
        </w:rPr>
        <w:t>》</w:t>
      </w:r>
      <w:r w:rsidR="00DE7219" w:rsidRPr="00B2578C">
        <w:rPr>
          <w:rFonts w:hint="eastAsia"/>
          <w:sz w:val="24"/>
          <w:szCs w:val="24"/>
        </w:rPr>
        <w:t>.</w:t>
      </w:r>
      <w:r w:rsidR="00DE7219" w:rsidRPr="00B2578C">
        <w:rPr>
          <w:sz w:val="24"/>
          <w:szCs w:val="24"/>
        </w:rPr>
        <w:t xml:space="preserve"> </w:t>
      </w:r>
      <w:r w:rsidR="00DE7219">
        <w:rPr>
          <w:sz w:val="24"/>
          <w:szCs w:val="24"/>
        </w:rPr>
        <w:t>H</w:t>
      </w:r>
      <w:r w:rsidR="00DE7219">
        <w:rPr>
          <w:rFonts w:hint="eastAsia"/>
          <w:sz w:val="24"/>
          <w:szCs w:val="24"/>
        </w:rPr>
        <w:t>e</w:t>
      </w:r>
      <w:r w:rsidR="00DE7219">
        <w:rPr>
          <w:sz w:val="24"/>
          <w:szCs w:val="24"/>
        </w:rPr>
        <w:t xml:space="preserve"> </w:t>
      </w:r>
      <w:r w:rsidR="00DE7219">
        <w:rPr>
          <w:rFonts w:hint="eastAsia"/>
          <w:sz w:val="24"/>
          <w:szCs w:val="24"/>
        </w:rPr>
        <w:t>was</w:t>
      </w:r>
      <w:r w:rsidR="00DE7219">
        <w:rPr>
          <w:sz w:val="24"/>
          <w:szCs w:val="24"/>
        </w:rPr>
        <w:t xml:space="preserve"> </w:t>
      </w:r>
      <w:r w:rsidR="00DE7219">
        <w:rPr>
          <w:rFonts w:hint="eastAsia"/>
          <w:sz w:val="24"/>
          <w:szCs w:val="24"/>
        </w:rPr>
        <w:t>also</w:t>
      </w:r>
      <w:r w:rsidR="00DE7219">
        <w:rPr>
          <w:sz w:val="24"/>
          <w:szCs w:val="24"/>
        </w:rPr>
        <w:t xml:space="preserve"> </w:t>
      </w:r>
      <w:r w:rsidR="00DE7219">
        <w:rPr>
          <w:rFonts w:hint="eastAsia"/>
          <w:sz w:val="24"/>
          <w:szCs w:val="24"/>
        </w:rPr>
        <w:t>an</w:t>
      </w:r>
      <w:r w:rsidR="00DE7219">
        <w:rPr>
          <w:sz w:val="24"/>
          <w:szCs w:val="24"/>
        </w:rPr>
        <w:t xml:space="preserve"> </w:t>
      </w:r>
      <w:r w:rsidR="00DE7219" w:rsidRPr="00B2578C">
        <w:rPr>
          <w:rFonts w:hint="eastAsia"/>
          <w:sz w:val="24"/>
          <w:szCs w:val="24"/>
        </w:rPr>
        <w:t>e</w:t>
      </w:r>
      <w:r w:rsidR="00DE7219" w:rsidRPr="00B2578C">
        <w:rPr>
          <w:sz w:val="24"/>
          <w:szCs w:val="24"/>
        </w:rPr>
        <w:t xml:space="preserve">ditorial board member </w:t>
      </w:r>
      <w:r w:rsidR="00DE7219">
        <w:rPr>
          <w:rFonts w:hint="eastAsia"/>
          <w:sz w:val="24"/>
          <w:szCs w:val="24"/>
        </w:rPr>
        <w:t>for</w:t>
      </w:r>
      <w:r w:rsidR="00DE7219">
        <w:rPr>
          <w:sz w:val="24"/>
          <w:szCs w:val="24"/>
        </w:rPr>
        <w:t xml:space="preserve"> </w:t>
      </w:r>
      <w:r w:rsidR="00DE7219" w:rsidRPr="00DE7219">
        <w:rPr>
          <w:sz w:val="24"/>
          <w:szCs w:val="24"/>
        </w:rPr>
        <w:t>Tianjin Medical Journal</w:t>
      </w:r>
      <w:r w:rsidR="00DE7219">
        <w:rPr>
          <w:sz w:val="24"/>
          <w:szCs w:val="24"/>
        </w:rPr>
        <w:t xml:space="preserve">, </w:t>
      </w:r>
      <w:r w:rsidR="00DE7219" w:rsidRPr="00DE7219">
        <w:rPr>
          <w:sz w:val="24"/>
          <w:szCs w:val="24"/>
        </w:rPr>
        <w:t xml:space="preserve">Chinese General Practice </w:t>
      </w:r>
      <w:r w:rsidR="002D0873">
        <w:rPr>
          <w:rFonts w:hint="eastAsia"/>
          <w:sz w:val="24"/>
          <w:szCs w:val="24"/>
        </w:rPr>
        <w:t>,</w:t>
      </w:r>
      <w:r w:rsidR="002D0873">
        <w:rPr>
          <w:sz w:val="24"/>
          <w:szCs w:val="24"/>
        </w:rPr>
        <w:t xml:space="preserve"> </w:t>
      </w:r>
      <w:r w:rsidR="002D0873" w:rsidRPr="002D0873">
        <w:rPr>
          <w:sz w:val="24"/>
          <w:szCs w:val="24"/>
        </w:rPr>
        <w:t>China Medical Herald</w:t>
      </w:r>
      <w:r w:rsidR="002D0873">
        <w:rPr>
          <w:rFonts w:hint="eastAsia"/>
          <w:sz w:val="24"/>
          <w:szCs w:val="24"/>
        </w:rPr>
        <w:t>，</w:t>
      </w:r>
      <w:r w:rsidR="002D0873" w:rsidRPr="002D0873">
        <w:rPr>
          <w:sz w:val="24"/>
          <w:szCs w:val="24"/>
        </w:rPr>
        <w:t>New Medicine</w:t>
      </w:r>
      <w:r w:rsidR="002D0873">
        <w:rPr>
          <w:sz w:val="24"/>
          <w:szCs w:val="24"/>
        </w:rPr>
        <w:t xml:space="preserve">, </w:t>
      </w:r>
      <w:r w:rsidR="002D0873" w:rsidRPr="002D0873">
        <w:rPr>
          <w:sz w:val="24"/>
          <w:szCs w:val="24"/>
        </w:rPr>
        <w:t>Drugs &amp; Clinic</w:t>
      </w:r>
      <w:r w:rsidR="002D0873">
        <w:rPr>
          <w:sz w:val="24"/>
          <w:szCs w:val="24"/>
        </w:rPr>
        <w:t xml:space="preserve">, </w:t>
      </w:r>
      <w:r w:rsidR="002D0873" w:rsidRPr="002D0873">
        <w:rPr>
          <w:sz w:val="24"/>
          <w:szCs w:val="24"/>
        </w:rPr>
        <w:t>Chinese Traditional and Herbal Drugs</w:t>
      </w:r>
      <w:r w:rsidR="002D0873">
        <w:rPr>
          <w:sz w:val="24"/>
          <w:szCs w:val="24"/>
        </w:rPr>
        <w:t>,</w:t>
      </w:r>
      <w:r w:rsidR="002C69B7">
        <w:rPr>
          <w:sz w:val="24"/>
          <w:szCs w:val="24"/>
        </w:rPr>
        <w:t xml:space="preserve"> </w:t>
      </w:r>
      <w:r w:rsidR="002C69B7" w:rsidRPr="002C69B7">
        <w:rPr>
          <w:sz w:val="24"/>
          <w:szCs w:val="24"/>
        </w:rPr>
        <w:t>Anhui Medical and Pharmaceutical Journal</w:t>
      </w:r>
      <w:r w:rsidR="002C69B7">
        <w:rPr>
          <w:rFonts w:hint="eastAsia"/>
          <w:sz w:val="24"/>
          <w:szCs w:val="24"/>
        </w:rPr>
        <w:t>,</w:t>
      </w:r>
      <w:r w:rsidR="002C69B7">
        <w:rPr>
          <w:sz w:val="24"/>
          <w:szCs w:val="24"/>
        </w:rPr>
        <w:t xml:space="preserve"> </w:t>
      </w:r>
      <w:r w:rsidR="002C69B7" w:rsidRPr="002C69B7">
        <w:rPr>
          <w:sz w:val="24"/>
          <w:szCs w:val="24"/>
        </w:rPr>
        <w:t>Anhui Medical Journal</w:t>
      </w:r>
      <w:r w:rsidR="002C69B7">
        <w:rPr>
          <w:sz w:val="24"/>
          <w:szCs w:val="24"/>
        </w:rPr>
        <w:t xml:space="preserve">, </w:t>
      </w:r>
      <w:r w:rsidR="002C69B7" w:rsidRPr="002C69B7">
        <w:rPr>
          <w:sz w:val="24"/>
          <w:szCs w:val="24"/>
        </w:rPr>
        <w:t>Translational Medicine Journal</w:t>
      </w:r>
      <w:r w:rsidR="002C69B7">
        <w:rPr>
          <w:sz w:val="24"/>
          <w:szCs w:val="24"/>
        </w:rPr>
        <w:t xml:space="preserve">, </w:t>
      </w:r>
      <w:r w:rsidR="002C69B7" w:rsidRPr="002C69B7">
        <w:rPr>
          <w:sz w:val="24"/>
          <w:szCs w:val="24"/>
        </w:rPr>
        <w:t>Journal of Medical Research</w:t>
      </w:r>
      <w:r w:rsidR="002C69B7">
        <w:rPr>
          <w:sz w:val="24"/>
          <w:szCs w:val="24"/>
        </w:rPr>
        <w:t xml:space="preserve">, </w:t>
      </w:r>
      <w:r w:rsidR="002C69B7" w:rsidRPr="002C69B7">
        <w:rPr>
          <w:sz w:val="24"/>
          <w:szCs w:val="24"/>
        </w:rPr>
        <w:t>Health Medicine Research and Practice</w:t>
      </w:r>
      <w:r w:rsidR="002C69B7">
        <w:rPr>
          <w:sz w:val="24"/>
          <w:szCs w:val="24"/>
        </w:rPr>
        <w:t xml:space="preserve">, </w:t>
      </w:r>
      <w:r w:rsidR="002C69B7" w:rsidRPr="002C69B7">
        <w:rPr>
          <w:sz w:val="24"/>
          <w:szCs w:val="24"/>
        </w:rPr>
        <w:t>Hebei Medicine</w:t>
      </w:r>
      <w:r w:rsidR="002C69B7">
        <w:rPr>
          <w:sz w:val="24"/>
          <w:szCs w:val="24"/>
        </w:rPr>
        <w:t xml:space="preserve">, </w:t>
      </w:r>
      <w:r w:rsidR="002C69B7" w:rsidRPr="002C69B7">
        <w:rPr>
          <w:sz w:val="24"/>
          <w:szCs w:val="24"/>
        </w:rPr>
        <w:t>Hainan Medical Journal</w:t>
      </w:r>
      <w:r w:rsidR="002C69B7">
        <w:rPr>
          <w:sz w:val="24"/>
          <w:szCs w:val="24"/>
        </w:rPr>
        <w:t xml:space="preserve">, </w:t>
      </w:r>
      <w:r w:rsidR="002C69B7" w:rsidRPr="002C69B7">
        <w:rPr>
          <w:sz w:val="24"/>
          <w:szCs w:val="24"/>
        </w:rPr>
        <w:t>Zhejiang Clinical Medical Journal</w:t>
      </w:r>
      <w:r w:rsidR="002C69B7">
        <w:rPr>
          <w:sz w:val="24"/>
          <w:szCs w:val="24"/>
        </w:rPr>
        <w:t xml:space="preserve">, </w:t>
      </w:r>
      <w:r w:rsidR="002C69B7" w:rsidRPr="002C69B7">
        <w:rPr>
          <w:sz w:val="24"/>
          <w:szCs w:val="24"/>
        </w:rPr>
        <w:t>China Modern Medicine</w:t>
      </w:r>
      <w:r w:rsidR="002C69B7">
        <w:rPr>
          <w:sz w:val="24"/>
          <w:szCs w:val="24"/>
        </w:rPr>
        <w:t xml:space="preserve">, </w:t>
      </w:r>
      <w:r w:rsidR="002C69B7" w:rsidRPr="002C69B7">
        <w:rPr>
          <w:sz w:val="24"/>
          <w:szCs w:val="24"/>
        </w:rPr>
        <w:t>China Modern Doctor</w:t>
      </w:r>
      <w:r w:rsidR="002C69B7">
        <w:rPr>
          <w:sz w:val="24"/>
          <w:szCs w:val="24"/>
        </w:rPr>
        <w:t xml:space="preserve">, </w:t>
      </w:r>
      <w:r w:rsidR="00723EF7">
        <w:rPr>
          <w:sz w:val="24"/>
          <w:szCs w:val="24"/>
        </w:rPr>
        <w:t xml:space="preserve">and </w:t>
      </w:r>
      <w:r w:rsidR="002C69B7" w:rsidRPr="002D0873">
        <w:rPr>
          <w:sz w:val="24"/>
          <w:szCs w:val="24"/>
        </w:rPr>
        <w:t>Henan Medical Research</w:t>
      </w:r>
      <w:r w:rsidR="00723EF7">
        <w:rPr>
          <w:sz w:val="24"/>
          <w:szCs w:val="24"/>
        </w:rPr>
        <w:t xml:space="preserve">. </w:t>
      </w:r>
      <w:r w:rsidR="00954C15" w:rsidRPr="00954C15">
        <w:rPr>
          <w:sz w:val="24"/>
          <w:szCs w:val="24"/>
        </w:rPr>
        <w:t xml:space="preserve">He have obtained several project: The National Natural Science Foundation of China (NSFC)(82102547), The Natural Science Foundation of Jiangsu Province (BK20181113), The Science and Technology Foundation of Nanjing City (201803059), Youth Science Foundation Project of Jingdu Hospital (20170302), Technological Innovation Foundation of Nanjing Military Region (15ZD020), The Science and Technology Foundation of Nanjing City (201503007) ,Clinical Scientific Project of Wu Jieping Medical Foundation (320-2745-16-115), Technological Innovation Foundation of Nanjing Military Region (14MS046). </w:t>
      </w:r>
    </w:p>
    <w:p w14:paraId="6FD03777" w14:textId="77777777" w:rsidR="00C86CF9" w:rsidRDefault="00C86CF9" w:rsidP="00D11F5E">
      <w:pPr>
        <w:rPr>
          <w:sz w:val="24"/>
          <w:szCs w:val="24"/>
        </w:rPr>
      </w:pPr>
    </w:p>
    <w:p w14:paraId="5F7F088E" w14:textId="22410CD4" w:rsidR="008C647E" w:rsidRPr="008C647E" w:rsidRDefault="00C86CF9" w:rsidP="00D11F5E">
      <w:pPr>
        <w:rPr>
          <w:b/>
          <w:sz w:val="24"/>
          <w:szCs w:val="24"/>
        </w:rPr>
      </w:pPr>
      <w:r w:rsidRPr="00C86CF9">
        <w:rPr>
          <w:b/>
          <w:sz w:val="24"/>
          <w:szCs w:val="24"/>
        </w:rPr>
        <w:t>About Research Topic</w:t>
      </w:r>
    </w:p>
    <w:p w14:paraId="1A9279C0" w14:textId="0E7DFFE0" w:rsidR="008C647E" w:rsidRDefault="008C647E" w:rsidP="008C647E">
      <w:pPr>
        <w:rPr>
          <w:sz w:val="24"/>
          <w:szCs w:val="24"/>
        </w:rPr>
      </w:pPr>
      <w:r w:rsidRPr="008C647E">
        <w:rPr>
          <w:sz w:val="24"/>
          <w:szCs w:val="24"/>
        </w:rPr>
        <w:t xml:space="preserve">The cell fate and growth in interface membrane, influenced by wear particles, </w:t>
      </w:r>
      <w:r>
        <w:rPr>
          <w:rFonts w:hint="eastAsia"/>
          <w:sz w:val="24"/>
          <w:szCs w:val="24"/>
        </w:rPr>
        <w:t>were</w:t>
      </w:r>
      <w:r w:rsidRPr="008C647E">
        <w:rPr>
          <w:sz w:val="24"/>
          <w:szCs w:val="24"/>
        </w:rPr>
        <w:t xml:space="preserve"> activated in response to ER stress; in addition, prolonged and enduring ER stress </w:t>
      </w:r>
      <w:r>
        <w:rPr>
          <w:rFonts w:hint="eastAsia"/>
          <w:sz w:val="24"/>
          <w:szCs w:val="24"/>
        </w:rPr>
        <w:t>was</w:t>
      </w:r>
      <w:r>
        <w:rPr>
          <w:sz w:val="24"/>
          <w:szCs w:val="24"/>
        </w:rPr>
        <w:t xml:space="preserve"> </w:t>
      </w:r>
      <w:r w:rsidRPr="008C647E">
        <w:rPr>
          <w:sz w:val="24"/>
          <w:szCs w:val="24"/>
        </w:rPr>
        <w:t>thought to be essential to the pathogenesis of</w:t>
      </w:r>
      <w:r>
        <w:rPr>
          <w:rFonts w:hint="eastAsia"/>
          <w:sz w:val="24"/>
          <w:szCs w:val="24"/>
        </w:rPr>
        <w:t xml:space="preserve"> </w:t>
      </w:r>
      <w:r w:rsidRPr="008C647E">
        <w:rPr>
          <w:sz w:val="24"/>
          <w:szCs w:val="24"/>
        </w:rPr>
        <w:t>inflammatory diseases. However, previous work has provided</w:t>
      </w:r>
      <w:r>
        <w:rPr>
          <w:rFonts w:hint="eastAsia"/>
          <w:sz w:val="24"/>
          <w:szCs w:val="24"/>
        </w:rPr>
        <w:t xml:space="preserve"> </w:t>
      </w:r>
      <w:r w:rsidRPr="008C647E">
        <w:rPr>
          <w:sz w:val="24"/>
          <w:szCs w:val="24"/>
        </w:rPr>
        <w:t>only a limited viewpoint regarding the influence of ER stress</w:t>
      </w:r>
      <w:r>
        <w:rPr>
          <w:rFonts w:hint="eastAsia"/>
          <w:sz w:val="24"/>
          <w:szCs w:val="24"/>
        </w:rPr>
        <w:t xml:space="preserve"> </w:t>
      </w:r>
      <w:r w:rsidRPr="008C647E">
        <w:rPr>
          <w:sz w:val="24"/>
          <w:szCs w:val="24"/>
        </w:rPr>
        <w:t>on inflammatory osteolysis and reports describing the straight</w:t>
      </w:r>
      <w:r>
        <w:rPr>
          <w:rFonts w:hint="eastAsia"/>
          <w:sz w:val="24"/>
          <w:szCs w:val="24"/>
        </w:rPr>
        <w:t xml:space="preserve"> </w:t>
      </w:r>
      <w:r w:rsidRPr="008C647E">
        <w:rPr>
          <w:sz w:val="24"/>
          <w:szCs w:val="24"/>
        </w:rPr>
        <w:t xml:space="preserve">effect of ER stress on particle-induced inflammation and osteoclastogenesis </w:t>
      </w:r>
      <w:r>
        <w:rPr>
          <w:rFonts w:hint="eastAsia"/>
          <w:sz w:val="24"/>
          <w:szCs w:val="24"/>
        </w:rPr>
        <w:t>were</w:t>
      </w:r>
      <w:r>
        <w:rPr>
          <w:sz w:val="24"/>
          <w:szCs w:val="24"/>
        </w:rPr>
        <w:t xml:space="preserve"> </w:t>
      </w:r>
      <w:r w:rsidRPr="008C647E">
        <w:rPr>
          <w:sz w:val="24"/>
          <w:szCs w:val="24"/>
        </w:rPr>
        <w:t>scarce. Thus, we</w:t>
      </w:r>
      <w:r>
        <w:rPr>
          <w:sz w:val="24"/>
          <w:szCs w:val="24"/>
        </w:rPr>
        <w:t xml:space="preserve"> </w:t>
      </w:r>
      <w:r w:rsidRPr="008C647E">
        <w:rPr>
          <w:sz w:val="24"/>
          <w:szCs w:val="24"/>
        </w:rPr>
        <w:t>hypothesized that</w:t>
      </w:r>
      <w:r>
        <w:rPr>
          <w:rFonts w:hint="eastAsia"/>
          <w:sz w:val="24"/>
          <w:szCs w:val="24"/>
        </w:rPr>
        <w:t xml:space="preserve"> </w:t>
      </w:r>
      <w:r w:rsidRPr="008C647E">
        <w:rPr>
          <w:sz w:val="24"/>
          <w:szCs w:val="24"/>
        </w:rPr>
        <w:t>particle-induced inflammatory signaling pathways within</w:t>
      </w:r>
      <w:r>
        <w:rPr>
          <w:rFonts w:hint="eastAsia"/>
          <w:sz w:val="24"/>
          <w:szCs w:val="24"/>
        </w:rPr>
        <w:t xml:space="preserve"> </w:t>
      </w:r>
      <w:r w:rsidRPr="008C647E">
        <w:rPr>
          <w:sz w:val="24"/>
          <w:szCs w:val="24"/>
        </w:rPr>
        <w:t>the osteolytic interface membrane in periprosthetic</w:t>
      </w:r>
      <w:r>
        <w:rPr>
          <w:rFonts w:hint="eastAsia"/>
          <w:sz w:val="24"/>
          <w:szCs w:val="24"/>
        </w:rPr>
        <w:t xml:space="preserve"> </w:t>
      </w:r>
      <w:r w:rsidRPr="008C647E">
        <w:rPr>
          <w:sz w:val="24"/>
          <w:szCs w:val="24"/>
        </w:rPr>
        <w:t xml:space="preserve">osteolysis are mediated by ER stress and that the inhibition of the ER-stress response in osteolytic tissue macrophages, which </w:t>
      </w:r>
      <w:r>
        <w:rPr>
          <w:rFonts w:hint="eastAsia"/>
          <w:sz w:val="24"/>
          <w:szCs w:val="24"/>
        </w:rPr>
        <w:t>could</w:t>
      </w:r>
      <w:r>
        <w:rPr>
          <w:sz w:val="24"/>
          <w:szCs w:val="24"/>
        </w:rPr>
        <w:t xml:space="preserve"> </w:t>
      </w:r>
      <w:r w:rsidRPr="008C647E">
        <w:rPr>
          <w:sz w:val="24"/>
          <w:szCs w:val="24"/>
        </w:rPr>
        <w:t>further cause changes in particle</w:t>
      </w:r>
      <w:r>
        <w:rPr>
          <w:sz w:val="24"/>
          <w:szCs w:val="24"/>
        </w:rPr>
        <w:t>-</w:t>
      </w:r>
      <w:r w:rsidRPr="008C647E">
        <w:rPr>
          <w:sz w:val="24"/>
          <w:szCs w:val="24"/>
        </w:rPr>
        <w:t>induced inflammation and osteoclastogenesis, is undoubtedly a good therapeutic option. Therefore, in our study,</w:t>
      </w:r>
      <w:r>
        <w:rPr>
          <w:rFonts w:hint="eastAsia"/>
          <w:sz w:val="24"/>
          <w:szCs w:val="24"/>
        </w:rPr>
        <w:t xml:space="preserve"> </w:t>
      </w:r>
      <w:r w:rsidRPr="008C647E">
        <w:rPr>
          <w:sz w:val="24"/>
          <w:szCs w:val="24"/>
        </w:rPr>
        <w:t>we determined the potential effect of ER stress on wear</w:t>
      </w:r>
      <w:r>
        <w:rPr>
          <w:sz w:val="24"/>
          <w:szCs w:val="24"/>
        </w:rPr>
        <w:t xml:space="preserve"> </w:t>
      </w:r>
      <w:r w:rsidRPr="008C647E">
        <w:rPr>
          <w:sz w:val="24"/>
          <w:szCs w:val="24"/>
        </w:rPr>
        <w:t>particle-induced osteolysis, osteoclastogenesis and macrophage inflammation within osteolytic tissues in an effort</w:t>
      </w:r>
      <w:r>
        <w:rPr>
          <w:rFonts w:hint="eastAsia"/>
          <w:sz w:val="24"/>
          <w:szCs w:val="24"/>
        </w:rPr>
        <w:t xml:space="preserve"> </w:t>
      </w:r>
      <w:r w:rsidRPr="008C647E">
        <w:rPr>
          <w:sz w:val="24"/>
          <w:szCs w:val="24"/>
        </w:rPr>
        <w:t>to identify the mechanism of the inflammatory response</w:t>
      </w:r>
      <w:r>
        <w:rPr>
          <w:rFonts w:hint="eastAsia"/>
          <w:sz w:val="24"/>
          <w:szCs w:val="24"/>
        </w:rPr>
        <w:t xml:space="preserve"> </w:t>
      </w:r>
      <w:r w:rsidRPr="008C647E">
        <w:rPr>
          <w:sz w:val="24"/>
          <w:szCs w:val="24"/>
        </w:rPr>
        <w:t>caused by wear particles.</w:t>
      </w:r>
    </w:p>
    <w:p w14:paraId="6BC4F74C" w14:textId="77777777" w:rsidR="008C647E" w:rsidRPr="00731210" w:rsidRDefault="008C647E" w:rsidP="008C647E">
      <w:pPr>
        <w:rPr>
          <w:sz w:val="24"/>
          <w:szCs w:val="24"/>
        </w:rPr>
      </w:pPr>
    </w:p>
    <w:p w14:paraId="4374431E" w14:textId="77777777" w:rsidR="005F6CAE" w:rsidRDefault="005F6CAE" w:rsidP="00D11F5E">
      <w:pPr>
        <w:autoSpaceDE w:val="0"/>
        <w:autoSpaceDN w:val="0"/>
        <w:adjustRightInd w:val="0"/>
      </w:pPr>
    </w:p>
    <w:p w14:paraId="241968BE" w14:textId="325AF5C2" w:rsidR="0054526C" w:rsidRDefault="008C647E" w:rsidP="001D67F6">
      <w:pPr>
        <w:rPr>
          <w:b/>
          <w:sz w:val="24"/>
          <w:szCs w:val="24"/>
        </w:rPr>
      </w:pPr>
      <w:r w:rsidRPr="008C647E">
        <w:rPr>
          <w:b/>
          <w:sz w:val="24"/>
          <w:szCs w:val="24"/>
        </w:rPr>
        <w:lastRenderedPageBreak/>
        <w:t>Endoplasmic reticulum stress-mediated inflammatory signaling pathways</w:t>
      </w:r>
      <w:r w:rsidR="001D67F6">
        <w:rPr>
          <w:b/>
          <w:sz w:val="24"/>
          <w:szCs w:val="24"/>
        </w:rPr>
        <w:t xml:space="preserve"> </w:t>
      </w:r>
      <w:r w:rsidR="00EC5FF5">
        <w:rPr>
          <w:rFonts w:hint="eastAsia"/>
          <w:b/>
          <w:sz w:val="24"/>
          <w:szCs w:val="24"/>
        </w:rPr>
        <w:t>is</w:t>
      </w:r>
      <w:r w:rsidR="00EC5FF5">
        <w:rPr>
          <w:b/>
          <w:sz w:val="24"/>
          <w:szCs w:val="24"/>
        </w:rPr>
        <w:t xml:space="preserve"> </w:t>
      </w:r>
      <w:r w:rsidR="0054526C" w:rsidRPr="0054526C">
        <w:rPr>
          <w:b/>
          <w:sz w:val="24"/>
          <w:szCs w:val="24"/>
        </w:rPr>
        <w:t>as follows:</w:t>
      </w:r>
    </w:p>
    <w:p w14:paraId="3DF42F8C" w14:textId="77777777" w:rsidR="008C647E" w:rsidRDefault="008C647E" w:rsidP="001D67F6">
      <w:pPr>
        <w:rPr>
          <w:b/>
          <w:sz w:val="24"/>
          <w:szCs w:val="24"/>
        </w:rPr>
      </w:pPr>
    </w:p>
    <w:p w14:paraId="2426B87D" w14:textId="080C1968" w:rsidR="008C647E" w:rsidRDefault="0025563F" w:rsidP="001D67F6">
      <w:pPr>
        <w:rPr>
          <w:b/>
          <w:sz w:val="24"/>
          <w:szCs w:val="24"/>
        </w:rPr>
      </w:pPr>
      <w:r w:rsidRPr="0025563F">
        <w:rPr>
          <w:b/>
          <w:noProof/>
          <w:sz w:val="24"/>
          <w:szCs w:val="24"/>
        </w:rPr>
        <w:drawing>
          <wp:inline distT="0" distB="0" distL="0" distR="0" wp14:anchorId="53375F01" wp14:editId="1A89E8B4">
            <wp:extent cx="5274310" cy="3954780"/>
            <wp:effectExtent l="0" t="0" r="2540" b="7620"/>
            <wp:docPr id="12301" name="Picture 13" descr="F:\World Congress on Virology &amp; Infectious Diseases\炎症信号.tif">
              <a:extLst xmlns:a="http://schemas.openxmlformats.org/drawingml/2006/main">
                <a:ext uri="{FF2B5EF4-FFF2-40B4-BE49-F238E27FC236}">
                  <a16:creationId xmlns:a16="http://schemas.microsoft.com/office/drawing/2014/main" id="{A0DAA4B3-13D1-C699-F41D-8F876B8C4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1" name="Picture 13" descr="F:\World Congress on Virology &amp; Infectious Diseases\炎症信号.tif">
                      <a:extLst>
                        <a:ext uri="{FF2B5EF4-FFF2-40B4-BE49-F238E27FC236}">
                          <a16:creationId xmlns:a16="http://schemas.microsoft.com/office/drawing/2014/main" id="{A0DAA4B3-13D1-C699-F41D-8F876B8C4B8A}"/>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954780"/>
                    </a:xfrm>
                    <a:prstGeom prst="rect">
                      <a:avLst/>
                    </a:prstGeom>
                    <a:noFill/>
                    <a:ln>
                      <a:noFill/>
                    </a:ln>
                  </pic:spPr>
                </pic:pic>
              </a:graphicData>
            </a:graphic>
          </wp:inline>
        </w:drawing>
      </w:r>
    </w:p>
    <w:p w14:paraId="3FFFDAFC" w14:textId="05FAE862" w:rsidR="008C647E" w:rsidRPr="008C647E" w:rsidRDefault="008C647E" w:rsidP="008C647E">
      <w:pPr>
        <w:rPr>
          <w:sz w:val="24"/>
          <w:szCs w:val="24"/>
        </w:rPr>
      </w:pPr>
      <w:r w:rsidRPr="008C647E">
        <w:rPr>
          <w:sz w:val="24"/>
          <w:szCs w:val="24"/>
        </w:rPr>
        <w:t>ER-stress-mediated inflammatory signaling pathways proposed in</w:t>
      </w:r>
      <w:r w:rsidR="00CF7084">
        <w:rPr>
          <w:rFonts w:hint="eastAsia"/>
          <w:sz w:val="24"/>
          <w:szCs w:val="24"/>
        </w:rPr>
        <w:t xml:space="preserve"> </w:t>
      </w:r>
      <w:r w:rsidRPr="008C647E">
        <w:rPr>
          <w:sz w:val="24"/>
          <w:szCs w:val="24"/>
        </w:rPr>
        <w:t>particle-induced periprosthesis osteolysis. Wear particles phagocytosed</w:t>
      </w:r>
      <w:r w:rsidR="00CF7084">
        <w:rPr>
          <w:rFonts w:hint="eastAsia"/>
          <w:sz w:val="24"/>
          <w:szCs w:val="24"/>
        </w:rPr>
        <w:t xml:space="preserve"> </w:t>
      </w:r>
      <w:r w:rsidRPr="008C647E">
        <w:rPr>
          <w:sz w:val="24"/>
          <w:szCs w:val="24"/>
        </w:rPr>
        <w:t>by macrophages might induce ER stress and several potential avenues</w:t>
      </w:r>
      <w:r w:rsidR="00CF7084">
        <w:rPr>
          <w:rFonts w:hint="eastAsia"/>
          <w:sz w:val="24"/>
          <w:szCs w:val="24"/>
        </w:rPr>
        <w:t xml:space="preserve"> </w:t>
      </w:r>
      <w:r w:rsidRPr="008C647E">
        <w:rPr>
          <w:sz w:val="24"/>
          <w:szCs w:val="24"/>
        </w:rPr>
        <w:t>might link ER stress and inflammatory signaling. Normally, the ER chaperone Grp78/BiP binds the N-termini of ER-stress sensors IRE1α, PERK</w:t>
      </w:r>
      <w:r w:rsidR="00CF7084">
        <w:rPr>
          <w:rFonts w:hint="eastAsia"/>
          <w:sz w:val="24"/>
          <w:szCs w:val="24"/>
        </w:rPr>
        <w:t xml:space="preserve"> </w:t>
      </w:r>
      <w:r w:rsidRPr="008C647E">
        <w:rPr>
          <w:sz w:val="24"/>
          <w:szCs w:val="24"/>
        </w:rPr>
        <w:t>and ATF6, preventing their activation. In response to particle-induced ER</w:t>
      </w:r>
      <w:r w:rsidR="00CF7084">
        <w:rPr>
          <w:rFonts w:hint="eastAsia"/>
          <w:sz w:val="24"/>
          <w:szCs w:val="24"/>
        </w:rPr>
        <w:t xml:space="preserve"> </w:t>
      </w:r>
      <w:r w:rsidRPr="008C647E">
        <w:rPr>
          <w:sz w:val="24"/>
          <w:szCs w:val="24"/>
        </w:rPr>
        <w:t>stress, Ca2+ is released from ER and Grp78/BiP preferentially binds to</w:t>
      </w:r>
      <w:r w:rsidR="00CF7084">
        <w:rPr>
          <w:rFonts w:hint="eastAsia"/>
          <w:sz w:val="24"/>
          <w:szCs w:val="24"/>
        </w:rPr>
        <w:t xml:space="preserve"> </w:t>
      </w:r>
      <w:r w:rsidRPr="008C647E">
        <w:rPr>
          <w:sz w:val="24"/>
          <w:szCs w:val="24"/>
        </w:rPr>
        <w:t>unfolded or misfolded proteins, thus driving the equilibrium of Grp78/</w:t>
      </w:r>
      <w:r w:rsidR="00CF7084">
        <w:rPr>
          <w:rFonts w:hint="eastAsia"/>
          <w:sz w:val="24"/>
          <w:szCs w:val="24"/>
        </w:rPr>
        <w:t xml:space="preserve"> </w:t>
      </w:r>
      <w:r w:rsidRPr="008C647E">
        <w:rPr>
          <w:sz w:val="24"/>
          <w:szCs w:val="24"/>
        </w:rPr>
        <w:t>BiP binding away from IRE1α, PERK and ATF6. Upregulation of these</w:t>
      </w:r>
      <w:r w:rsidR="00CF7084">
        <w:rPr>
          <w:rFonts w:hint="eastAsia"/>
          <w:sz w:val="24"/>
          <w:szCs w:val="24"/>
        </w:rPr>
        <w:t xml:space="preserve"> </w:t>
      </w:r>
      <w:r w:rsidRPr="008C647E">
        <w:rPr>
          <w:sz w:val="24"/>
          <w:szCs w:val="24"/>
        </w:rPr>
        <w:t>genes triggers ER stress and thereby activates their downstream mediators</w:t>
      </w:r>
      <w:r w:rsidR="00CF7084">
        <w:rPr>
          <w:rFonts w:hint="eastAsia"/>
          <w:sz w:val="24"/>
          <w:szCs w:val="24"/>
        </w:rPr>
        <w:t xml:space="preserve"> </w:t>
      </w:r>
      <w:r w:rsidRPr="008C647E">
        <w:rPr>
          <w:sz w:val="24"/>
          <w:szCs w:val="24"/>
        </w:rPr>
        <w:t>of inflammation and leads to the release of NF-κB, AP-1 and ROS. These</w:t>
      </w:r>
      <w:r w:rsidR="00CF7084">
        <w:rPr>
          <w:rFonts w:hint="eastAsia"/>
          <w:sz w:val="24"/>
          <w:szCs w:val="24"/>
        </w:rPr>
        <w:t xml:space="preserve"> </w:t>
      </w:r>
      <w:r w:rsidRPr="008C647E">
        <w:rPr>
          <w:sz w:val="24"/>
          <w:szCs w:val="24"/>
        </w:rPr>
        <w:t>molecules move to the nucleus and switch on the expression of a variety</w:t>
      </w:r>
      <w:r w:rsidR="00CF7084">
        <w:rPr>
          <w:rFonts w:hint="eastAsia"/>
          <w:sz w:val="24"/>
          <w:szCs w:val="24"/>
        </w:rPr>
        <w:t xml:space="preserve"> </w:t>
      </w:r>
      <w:r w:rsidRPr="008C647E">
        <w:rPr>
          <w:sz w:val="24"/>
          <w:szCs w:val="24"/>
        </w:rPr>
        <w:t>of genes involved in inflammation, such as TNF-α, IL-1β and IL-6,</w:t>
      </w:r>
      <w:r w:rsidR="00CF7084">
        <w:rPr>
          <w:rFonts w:hint="eastAsia"/>
          <w:sz w:val="24"/>
          <w:szCs w:val="24"/>
        </w:rPr>
        <w:t xml:space="preserve"> </w:t>
      </w:r>
      <w:r w:rsidRPr="008C647E">
        <w:rPr>
          <w:sz w:val="24"/>
          <w:szCs w:val="24"/>
        </w:rPr>
        <w:t>leading to inflammatory responses</w:t>
      </w:r>
    </w:p>
    <w:p w14:paraId="1540151B" w14:textId="77777777" w:rsidR="00B2578C" w:rsidRDefault="00B2578C">
      <w:pPr>
        <w:rPr>
          <w:sz w:val="24"/>
          <w:szCs w:val="24"/>
        </w:rPr>
      </w:pPr>
    </w:p>
    <w:p w14:paraId="5344C650" w14:textId="363316AC" w:rsidR="00F95CB2" w:rsidRPr="006E4BD1" w:rsidRDefault="00B2578C">
      <w:pPr>
        <w:rPr>
          <w:b/>
          <w:bCs/>
          <w:sz w:val="24"/>
          <w:szCs w:val="24"/>
        </w:rPr>
      </w:pPr>
      <w:r w:rsidRPr="00F859F3">
        <w:rPr>
          <w:b/>
          <w:bCs/>
          <w:sz w:val="24"/>
          <w:szCs w:val="24"/>
        </w:rPr>
        <w:t>About Institution:</w:t>
      </w:r>
    </w:p>
    <w:p w14:paraId="63D473FC" w14:textId="1DCC1498" w:rsidR="000306D6" w:rsidRDefault="00F95CB2" w:rsidP="00F95CB2">
      <w:pPr>
        <w:rPr>
          <w:sz w:val="24"/>
          <w:szCs w:val="24"/>
        </w:rPr>
      </w:pPr>
      <w:r w:rsidRPr="00F95CB2">
        <w:rPr>
          <w:sz w:val="24"/>
          <w:szCs w:val="24"/>
        </w:rPr>
        <w:t xml:space="preserve">Jinling Hospital of Nanjing Medical University, </w:t>
      </w:r>
      <w:r w:rsidR="000306D6">
        <w:rPr>
          <w:sz w:val="24"/>
          <w:szCs w:val="24"/>
        </w:rPr>
        <w:t>a</w:t>
      </w:r>
      <w:r w:rsidR="000306D6" w:rsidRPr="000306D6">
        <w:rPr>
          <w:sz w:val="24"/>
          <w:szCs w:val="24"/>
        </w:rPr>
        <w:t xml:space="preserve">lso named as </w:t>
      </w:r>
      <w:r w:rsidR="000306D6" w:rsidRPr="000306D6">
        <w:rPr>
          <w:rFonts w:hint="eastAsia"/>
          <w:sz w:val="24"/>
          <w:szCs w:val="24"/>
        </w:rPr>
        <w:t>General Hospital of</w:t>
      </w:r>
      <w:r w:rsidR="000306D6">
        <w:rPr>
          <w:sz w:val="24"/>
          <w:szCs w:val="24"/>
        </w:rPr>
        <w:t xml:space="preserve"> Eastern</w:t>
      </w:r>
      <w:r w:rsidR="000306D6">
        <w:rPr>
          <w:rFonts w:hint="eastAsia"/>
          <w:sz w:val="24"/>
          <w:szCs w:val="24"/>
        </w:rPr>
        <w:t xml:space="preserve"> </w:t>
      </w:r>
      <w:r w:rsidR="000306D6">
        <w:rPr>
          <w:sz w:val="24"/>
          <w:szCs w:val="24"/>
        </w:rPr>
        <w:t xml:space="preserve">Theater Command, </w:t>
      </w:r>
      <w:r w:rsidRPr="00F95CB2">
        <w:rPr>
          <w:sz w:val="24"/>
          <w:szCs w:val="24"/>
        </w:rPr>
        <w:t xml:space="preserve">located in </w:t>
      </w:r>
      <w:r>
        <w:rPr>
          <w:sz w:val="24"/>
          <w:szCs w:val="24"/>
        </w:rPr>
        <w:t>Nanjing</w:t>
      </w:r>
      <w:r w:rsidRPr="00F95CB2">
        <w:rPr>
          <w:sz w:val="24"/>
          <w:szCs w:val="24"/>
        </w:rPr>
        <w:t xml:space="preserve">, </w:t>
      </w:r>
      <w:r w:rsidRPr="0066174F">
        <w:rPr>
          <w:sz w:val="24"/>
          <w:szCs w:val="24"/>
        </w:rPr>
        <w:t>China</w:t>
      </w:r>
      <w:r w:rsidRPr="00F95CB2">
        <w:rPr>
          <w:sz w:val="24"/>
          <w:szCs w:val="24"/>
        </w:rPr>
        <w:t xml:space="preserve">, is </w:t>
      </w:r>
      <w:r w:rsidR="006E4BD1" w:rsidRPr="006E4BD1">
        <w:rPr>
          <w:sz w:val="24"/>
          <w:szCs w:val="24"/>
        </w:rPr>
        <w:t xml:space="preserve">a tertiary </w:t>
      </w:r>
      <w:r w:rsidR="006E4BD1">
        <w:rPr>
          <w:sz w:val="24"/>
          <w:szCs w:val="24"/>
        </w:rPr>
        <w:t>hospital</w:t>
      </w:r>
      <w:r w:rsidR="000306D6">
        <w:rPr>
          <w:sz w:val="24"/>
          <w:szCs w:val="24"/>
        </w:rPr>
        <w:t>.</w:t>
      </w:r>
    </w:p>
    <w:p w14:paraId="1CB5A90D" w14:textId="77777777" w:rsidR="00BF1EE6" w:rsidRDefault="00BF1EE6" w:rsidP="00F95CB2">
      <w:pPr>
        <w:rPr>
          <w:sz w:val="24"/>
          <w:szCs w:val="24"/>
        </w:rPr>
      </w:pPr>
    </w:p>
    <w:p w14:paraId="5F4B68D7" w14:textId="29A0D3F7" w:rsidR="00BF1EE6" w:rsidRPr="005B184E" w:rsidRDefault="005B184E" w:rsidP="00F95CB2">
      <w:pPr>
        <w:rPr>
          <w:b/>
          <w:bCs/>
          <w:sz w:val="24"/>
          <w:szCs w:val="24"/>
        </w:rPr>
      </w:pPr>
      <w:r w:rsidRPr="005B184E">
        <w:rPr>
          <w:b/>
          <w:bCs/>
          <w:sz w:val="24"/>
          <w:szCs w:val="24"/>
        </w:rPr>
        <w:t>References:</w:t>
      </w:r>
    </w:p>
    <w:p w14:paraId="337715AD"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1</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 xml:space="preserve">Liu G, Guo T, Zhang Y, Liu N, Chen J, Chen J, et al. Apoptotic pathways of macrophages within osteolytic interface membrane in periprosthestic osteolysis after total hip replacement. APMIS 2017 </w:t>
      </w:r>
      <w:r w:rsidRPr="00AD625F">
        <w:rPr>
          <w:color w:val="000000"/>
          <w:kern w:val="0"/>
          <w:sz w:val="20"/>
          <w:szCs w:val="20"/>
        </w:rPr>
        <w:lastRenderedPageBreak/>
        <w:t>2017-06-01;125(6):565-578.</w:t>
      </w:r>
    </w:p>
    <w:p w14:paraId="7A875613"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2</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Liu G, Liu N, Xu Y, Ti Y, Chen J, Chen J, et al. Endoplasmic reticulum stress-mediated inflammatory signaling pathways within the  osteolytic periosteum and interface membrane in particle-induced osteolysis. CELL TISSUE RES 2016 2016-02-01;363(2):427-447.</w:t>
      </w:r>
    </w:p>
    <w:p w14:paraId="34FE1B00"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sidRPr="00AD625F">
        <w:rPr>
          <w:rFonts w:hint="eastAsia"/>
          <w:color w:val="000000"/>
          <w:kern w:val="0"/>
          <w:sz w:val="20"/>
          <w:szCs w:val="20"/>
        </w:rPr>
        <w:t>3</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Wang Z, Liu N, Liu K, Zhou G, Gan J, Wang Z, et al. Autophagy mediated CoCrMo particle-induced peri-implant osteolysis by promoting osteoblast apoptosis. AUTOPHAGY 2015 2015-01-20;11(12):2358-2369</w:t>
      </w:r>
      <w:r w:rsidRPr="00AD625F">
        <w:rPr>
          <w:rFonts w:hint="eastAsia"/>
          <w:color w:val="000000"/>
          <w:kern w:val="0"/>
          <w:sz w:val="20"/>
          <w:szCs w:val="20"/>
        </w:rPr>
        <w:t>.</w:t>
      </w:r>
    </w:p>
    <w:p w14:paraId="135EB1D5"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sidRPr="00AD625F">
        <w:rPr>
          <w:rFonts w:hint="eastAsia"/>
          <w:color w:val="000000"/>
          <w:kern w:val="0"/>
          <w:sz w:val="20"/>
          <w:szCs w:val="20"/>
        </w:rPr>
        <w:t>4</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Wang Z, Liu N, Shi T, Zhou G, Wang Z, Gan J, et al. ER Stress Mediates TiAl6V4 Particle-Induced Peri-Implant Osteolysis by Promoting  RANKL Expression in Fibroblasts. PLOS ONE 2015 2015-01-20;10(9):e137774.</w:t>
      </w:r>
    </w:p>
    <w:p w14:paraId="32D90242"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5</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Wang R, Wang Z, Ma Y, Liu G, Shi H, Chen J, et al. Particle-induced osteolysis mediated by endoplasmic reticulum stress in prosthesis loosening. BIOMATERIALS 2013 2013-04-01;34(11):2611-2623</w:t>
      </w:r>
    </w:p>
    <w:p w14:paraId="4A387B90"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sidRPr="00AD625F">
        <w:rPr>
          <w:rFonts w:hint="eastAsia"/>
          <w:color w:val="000000"/>
          <w:kern w:val="0"/>
          <w:sz w:val="20"/>
          <w:szCs w:val="20"/>
        </w:rPr>
        <w:t>6</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Wang Z, Huang Z, Gan J, Liu N, Zhou G, Shi T, et al. The fibroblast expression of RANKL in CoCrMo-particle-induced osteolysis is mediated by ER stress and XBP1s. ACTA BIOMATER 2015 2015-09-01;24:352-360</w:t>
      </w:r>
    </w:p>
    <w:p w14:paraId="73E91821"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7</w:t>
      </w:r>
      <w:bookmarkStart w:id="19" w:name="_neb74B8DE27_5226_4773_8057_D2C5B0201D16"/>
      <w:bookmarkStart w:id="20" w:name="_nebFDFB2792_9500_4D53_9DF8_DCE3A9667CFC"/>
      <w:r>
        <w:rPr>
          <w:color w:val="000000"/>
          <w:kern w:val="0"/>
          <w:sz w:val="20"/>
          <w:szCs w:val="20"/>
        </w:rPr>
        <w:t>]</w:t>
      </w:r>
      <w:r>
        <w:rPr>
          <w:rFonts w:hint="eastAsia"/>
          <w:color w:val="000000"/>
          <w:kern w:val="0"/>
          <w:sz w:val="20"/>
          <w:szCs w:val="20"/>
        </w:rPr>
        <w:t xml:space="preserve"> </w:t>
      </w:r>
      <w:r w:rsidRPr="00AD625F">
        <w:rPr>
          <w:color w:val="000000"/>
          <w:kern w:val="0"/>
          <w:sz w:val="20"/>
          <w:szCs w:val="20"/>
        </w:rPr>
        <w:t>Liu L, Zhou M, Zhu R, et al. Hydrogen sulfide protects against particle-induced inflammatory response and osteolysis via SIRT1 pathway in prosthesis loosening[J]. FASEB J,2020,34(3):3743-3754</w:t>
      </w:r>
      <w:bookmarkEnd w:id="19"/>
      <w:r w:rsidRPr="00AD625F">
        <w:rPr>
          <w:color w:val="000000"/>
          <w:kern w:val="0"/>
          <w:sz w:val="20"/>
          <w:szCs w:val="20"/>
        </w:rPr>
        <w:t>.</w:t>
      </w:r>
      <w:bookmarkEnd w:id="20"/>
    </w:p>
    <w:p w14:paraId="504F9B81"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8</w:t>
      </w:r>
      <w:bookmarkStart w:id="21" w:name="_neb92CBCF7E_C293_48F7_BA41_7913DF37A5F1"/>
      <w:r>
        <w:rPr>
          <w:color w:val="000000"/>
          <w:kern w:val="0"/>
          <w:sz w:val="20"/>
          <w:szCs w:val="20"/>
        </w:rPr>
        <w:t>]</w:t>
      </w:r>
      <w:r>
        <w:rPr>
          <w:rFonts w:hint="eastAsia"/>
          <w:color w:val="000000"/>
          <w:kern w:val="0"/>
          <w:sz w:val="20"/>
          <w:szCs w:val="20"/>
        </w:rPr>
        <w:t xml:space="preserve"> </w:t>
      </w:r>
      <w:r w:rsidRPr="00AD625F">
        <w:rPr>
          <w:color w:val="000000"/>
          <w:kern w:val="0"/>
          <w:sz w:val="20"/>
          <w:szCs w:val="20"/>
        </w:rPr>
        <w:t>Zou B, Zhang Y, Li T, et al. A mutation of cysteine 46 in IKK-beta promotes mPGES-1 and caveolin-1 expression  to exacerbate osteoclast differentiation and osteolysis[J]. Biochem Pharmacol,2020,172:113762.</w:t>
      </w:r>
      <w:bookmarkEnd w:id="21"/>
    </w:p>
    <w:p w14:paraId="190D84E6" w14:textId="77777777" w:rsidR="0035625E" w:rsidRPr="00AD625F" w:rsidRDefault="0035625E" w:rsidP="0035625E">
      <w:pPr>
        <w:autoSpaceDE w:val="0"/>
        <w:autoSpaceDN w:val="0"/>
        <w:adjustRightInd w:val="0"/>
        <w:rPr>
          <w:kern w:val="0"/>
          <w:sz w:val="24"/>
        </w:rPr>
      </w:pPr>
      <w:r w:rsidRPr="00AD625F">
        <w:rPr>
          <w:color w:val="000000"/>
          <w:kern w:val="0"/>
          <w:sz w:val="20"/>
          <w:szCs w:val="20"/>
        </w:rPr>
        <w:t>[</w:t>
      </w:r>
      <w:r w:rsidRPr="00AD625F">
        <w:rPr>
          <w:rFonts w:hint="eastAsia"/>
          <w:color w:val="000000"/>
          <w:kern w:val="0"/>
          <w:sz w:val="20"/>
          <w:szCs w:val="20"/>
        </w:rPr>
        <w:t>9</w:t>
      </w:r>
      <w:r>
        <w:rPr>
          <w:color w:val="000000"/>
          <w:kern w:val="0"/>
          <w:sz w:val="20"/>
          <w:szCs w:val="20"/>
        </w:rPr>
        <w:t>]</w:t>
      </w:r>
      <w:r>
        <w:rPr>
          <w:rFonts w:hint="eastAsia"/>
          <w:color w:val="000000"/>
          <w:kern w:val="0"/>
          <w:sz w:val="20"/>
          <w:szCs w:val="20"/>
        </w:rPr>
        <w:t xml:space="preserve"> </w:t>
      </w:r>
      <w:r w:rsidRPr="00AD625F">
        <w:rPr>
          <w:color w:val="000000"/>
          <w:kern w:val="0"/>
          <w:sz w:val="20"/>
          <w:szCs w:val="20"/>
        </w:rPr>
        <w:t>Hu J, Li X, Chen Y, et al. The protective effect of WKYMVm peptide on inflammatory osteolysis through regulating NF-kappaB and CD9/gp130/STAT3 signalling pathway[J]. J Cell Mol Med,2020,24(2):1893-1905.</w:t>
      </w:r>
    </w:p>
    <w:p w14:paraId="36B027A6"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w:t>
      </w:r>
      <w:r w:rsidRPr="00AD625F">
        <w:rPr>
          <w:rFonts w:hint="eastAsia"/>
          <w:color w:val="000000"/>
          <w:kern w:val="0"/>
          <w:sz w:val="20"/>
          <w:szCs w:val="20"/>
        </w:rPr>
        <w:t>0</w:t>
      </w:r>
      <w:r w:rsidRPr="00AD625F">
        <w:rPr>
          <w:color w:val="000000"/>
          <w:kern w:val="0"/>
          <w:sz w:val="20"/>
          <w:szCs w:val="20"/>
        </w:rPr>
        <w:t>]</w:t>
      </w:r>
      <w:r>
        <w:rPr>
          <w:rFonts w:hint="eastAsia"/>
          <w:color w:val="000000"/>
          <w:kern w:val="0"/>
          <w:sz w:val="20"/>
          <w:szCs w:val="20"/>
        </w:rPr>
        <w:t xml:space="preserve"> </w:t>
      </w:r>
      <w:r w:rsidRPr="00AD625F">
        <w:rPr>
          <w:color w:val="000000"/>
          <w:kern w:val="0"/>
          <w:sz w:val="20"/>
          <w:szCs w:val="20"/>
        </w:rPr>
        <w:t>Enogieru A B, Omoruyi S I, Hiss D C, et al. GRP78/BIP/HSPA5 as a Therapeutic Target in Models of Parkinson's Disease: A Mini  Review[J]. Adv Pharmacol Sci,2019,2019:2706783.</w:t>
      </w:r>
    </w:p>
    <w:p w14:paraId="1EEDD8B5"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w:t>
      </w:r>
      <w:r w:rsidRPr="00AD625F">
        <w:rPr>
          <w:rFonts w:hint="eastAsia"/>
          <w:color w:val="000000"/>
          <w:kern w:val="0"/>
          <w:sz w:val="20"/>
          <w:szCs w:val="20"/>
        </w:rPr>
        <w:t>1</w:t>
      </w:r>
      <w:r w:rsidRPr="00AD625F">
        <w:rPr>
          <w:color w:val="000000"/>
          <w:kern w:val="0"/>
          <w:sz w:val="20"/>
          <w:szCs w:val="20"/>
        </w:rPr>
        <w:t>] Girona J, Rodriguez-Borjabad C, Ibarretxe D, et al. The Circulating GRP78/BiP Is a Marker of Metabolic Diseases and Atherosclerosis:  Bringing Endoplasmic Reticulum Stress into the Clinical Scenario[J]. J Clin Med,2019,8(11).</w:t>
      </w:r>
    </w:p>
    <w:p w14:paraId="259F6395"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w:t>
      </w:r>
      <w:r w:rsidRPr="00AD625F">
        <w:rPr>
          <w:rFonts w:hint="eastAsia"/>
          <w:color w:val="000000"/>
          <w:kern w:val="0"/>
          <w:sz w:val="20"/>
          <w:szCs w:val="20"/>
        </w:rPr>
        <w:t>2</w:t>
      </w:r>
      <w:r w:rsidRPr="00AD625F">
        <w:rPr>
          <w:color w:val="000000"/>
          <w:kern w:val="0"/>
          <w:sz w:val="20"/>
          <w:szCs w:val="20"/>
        </w:rPr>
        <w:t>] Ghaderi S, Ahmadian S, Soheili Z S, et al. AAV delivery of GRP78/BiP promotes adaptation of human RPE cell to ER stress[J]. J Cell Biochem,2018,119(2):1355-1367.</w:t>
      </w:r>
    </w:p>
    <w:p w14:paraId="6EBC1E12"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w:t>
      </w:r>
      <w:r w:rsidRPr="00AD625F">
        <w:rPr>
          <w:rFonts w:hint="eastAsia"/>
          <w:color w:val="000000"/>
          <w:kern w:val="0"/>
          <w:sz w:val="20"/>
          <w:szCs w:val="20"/>
        </w:rPr>
        <w:t>3</w:t>
      </w:r>
      <w:r w:rsidRPr="00AD625F">
        <w:rPr>
          <w:color w:val="000000"/>
          <w:kern w:val="0"/>
          <w:sz w:val="20"/>
          <w:szCs w:val="20"/>
        </w:rPr>
        <w:t>] Ruggiero C, Doghman-Bouguerra M, Ronco C, et al. The GRP78/BiP inhibitor HA15 synergizes with mitotane action against adrenocortical carcinoma cells through convergent activation of ER stress pathways[J]. Mol Cell Endocrinol,2018,474:57-64.</w:t>
      </w:r>
    </w:p>
    <w:p w14:paraId="41DA9BAA" w14:textId="77777777" w:rsidR="0035625E" w:rsidRPr="00AD625F" w:rsidRDefault="0035625E" w:rsidP="0035625E">
      <w:pPr>
        <w:autoSpaceDE w:val="0"/>
        <w:autoSpaceDN w:val="0"/>
        <w:adjustRightInd w:val="0"/>
        <w:rPr>
          <w:rFonts w:ascii="宋体"/>
          <w:kern w:val="0"/>
          <w:sz w:val="24"/>
        </w:rPr>
      </w:pPr>
      <w:r w:rsidRPr="00AD625F">
        <w:rPr>
          <w:color w:val="000000"/>
          <w:kern w:val="0"/>
          <w:sz w:val="20"/>
          <w:szCs w:val="20"/>
        </w:rPr>
        <w:t>[</w:t>
      </w:r>
      <w:r>
        <w:rPr>
          <w:color w:val="000000"/>
          <w:kern w:val="0"/>
          <w:sz w:val="20"/>
          <w:szCs w:val="20"/>
        </w:rPr>
        <w:t>14</w:t>
      </w:r>
      <w:r w:rsidRPr="00AD625F">
        <w:rPr>
          <w:color w:val="000000"/>
          <w:kern w:val="0"/>
          <w:sz w:val="20"/>
          <w:szCs w:val="20"/>
        </w:rPr>
        <w:t xml:space="preserve">] </w:t>
      </w:r>
      <w:bookmarkStart w:id="22" w:name="_neb5801F92B_12CD_4F1B_B66E_853BF38900A6"/>
      <w:r w:rsidRPr="00AD625F">
        <w:rPr>
          <w:color w:val="000000"/>
          <w:kern w:val="0"/>
          <w:sz w:val="20"/>
          <w:szCs w:val="20"/>
        </w:rPr>
        <w:t>Cubillos-Ruiz J R, Bettigole S E, Glimcher L H. Tumorigenic and Immunosuppressive Effects of Endoplasmic Reticulum Stress in Cancer[J]. Cell,2017,168(4):692-706.</w:t>
      </w:r>
      <w:bookmarkEnd w:id="22"/>
    </w:p>
    <w:p w14:paraId="7A929DCC" w14:textId="77777777" w:rsidR="0035625E" w:rsidRPr="00AD625F" w:rsidRDefault="0035625E" w:rsidP="0035625E">
      <w:pPr>
        <w:autoSpaceDE w:val="0"/>
        <w:autoSpaceDN w:val="0"/>
        <w:adjustRightInd w:val="0"/>
        <w:rPr>
          <w:rFonts w:ascii="宋体"/>
          <w:kern w:val="0"/>
          <w:sz w:val="24"/>
        </w:rPr>
      </w:pPr>
      <w:r>
        <w:rPr>
          <w:color w:val="000000"/>
          <w:kern w:val="0"/>
          <w:sz w:val="20"/>
          <w:szCs w:val="20"/>
        </w:rPr>
        <w:t>[15</w:t>
      </w:r>
      <w:r w:rsidRPr="00AD625F">
        <w:rPr>
          <w:color w:val="000000"/>
          <w:kern w:val="0"/>
          <w:sz w:val="20"/>
          <w:szCs w:val="20"/>
        </w:rPr>
        <w:t xml:space="preserve">] </w:t>
      </w:r>
      <w:bookmarkStart w:id="23" w:name="_nebB985ED4B_2B81_4D42_A540_A866DC7C56DB"/>
      <w:r w:rsidRPr="00AD625F">
        <w:rPr>
          <w:color w:val="000000"/>
          <w:kern w:val="0"/>
          <w:sz w:val="20"/>
          <w:szCs w:val="20"/>
        </w:rPr>
        <w:t>Ghosh R, Wang L, Wang E S, et al. Allosteric inhibition of the IRE1alpha RNase preserves cell viability and function during endoplasmic reticulum stress[J]. Cell,2014,158(3):534-548.</w:t>
      </w:r>
      <w:bookmarkEnd w:id="23"/>
    </w:p>
    <w:p w14:paraId="65BCA187"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16</w:t>
      </w:r>
      <w:r w:rsidRPr="00AD625F">
        <w:rPr>
          <w:color w:val="000000"/>
          <w:kern w:val="0"/>
          <w:sz w:val="20"/>
          <w:szCs w:val="20"/>
        </w:rPr>
        <w:t xml:space="preserve">] </w:t>
      </w:r>
      <w:bookmarkStart w:id="24" w:name="_neb94626988_C41D_435D_928A_105C33723870"/>
      <w:r w:rsidRPr="00AD625F">
        <w:rPr>
          <w:color w:val="000000"/>
          <w:kern w:val="0"/>
          <w:sz w:val="20"/>
          <w:szCs w:val="20"/>
        </w:rPr>
        <w:t>Hotamisligil G S. Endoplasmic reticulum stress and the inflammatory basis of metabolic disease[J]. Cell,2010,140(6):900-917.</w:t>
      </w:r>
      <w:bookmarkEnd w:id="24"/>
    </w:p>
    <w:p w14:paraId="108DB327" w14:textId="77777777" w:rsidR="0035625E" w:rsidRPr="00AD625F" w:rsidRDefault="0035625E" w:rsidP="0035625E">
      <w:pPr>
        <w:autoSpaceDE w:val="0"/>
        <w:autoSpaceDN w:val="0"/>
        <w:adjustRightInd w:val="0"/>
        <w:rPr>
          <w:rFonts w:ascii="宋体"/>
          <w:kern w:val="0"/>
          <w:sz w:val="24"/>
        </w:rPr>
      </w:pPr>
      <w:r w:rsidRPr="00AD625F">
        <w:rPr>
          <w:color w:val="000000"/>
          <w:kern w:val="0"/>
          <w:sz w:val="20"/>
          <w:szCs w:val="20"/>
        </w:rPr>
        <w:t>[</w:t>
      </w:r>
      <w:r>
        <w:rPr>
          <w:color w:val="000000"/>
          <w:kern w:val="0"/>
          <w:sz w:val="20"/>
          <w:szCs w:val="20"/>
        </w:rPr>
        <w:t>17</w:t>
      </w:r>
      <w:r w:rsidRPr="00AD625F">
        <w:rPr>
          <w:color w:val="000000"/>
          <w:kern w:val="0"/>
          <w:sz w:val="20"/>
          <w:szCs w:val="20"/>
        </w:rPr>
        <w:t xml:space="preserve">] </w:t>
      </w:r>
      <w:bookmarkStart w:id="25" w:name="_nebBBC3582D_56E2_43DE_BE03_D15C793A824C"/>
      <w:r w:rsidRPr="00AD625F">
        <w:rPr>
          <w:color w:val="000000"/>
          <w:kern w:val="0"/>
          <w:sz w:val="20"/>
          <w:szCs w:val="20"/>
        </w:rPr>
        <w:t>Pfaffenbach K T, Lee A S. The critical role of GRP78 in physiologic and pathologic stress[J]. Curr Opin Cell Biol,2011,23(2):150-156.</w:t>
      </w:r>
      <w:bookmarkEnd w:id="25"/>
    </w:p>
    <w:p w14:paraId="271EA35B" w14:textId="77777777" w:rsidR="0035625E" w:rsidRPr="00AD625F" w:rsidRDefault="0035625E" w:rsidP="0035625E">
      <w:pPr>
        <w:autoSpaceDE w:val="0"/>
        <w:autoSpaceDN w:val="0"/>
        <w:adjustRightInd w:val="0"/>
        <w:rPr>
          <w:rFonts w:ascii="宋体"/>
          <w:kern w:val="0"/>
          <w:sz w:val="24"/>
        </w:rPr>
      </w:pPr>
      <w:r>
        <w:rPr>
          <w:color w:val="000000"/>
          <w:kern w:val="0"/>
          <w:sz w:val="20"/>
          <w:szCs w:val="20"/>
        </w:rPr>
        <w:t>[18</w:t>
      </w:r>
      <w:r w:rsidRPr="00AD625F">
        <w:rPr>
          <w:color w:val="000000"/>
          <w:kern w:val="0"/>
          <w:sz w:val="20"/>
          <w:szCs w:val="20"/>
        </w:rPr>
        <w:t xml:space="preserve">] </w:t>
      </w:r>
      <w:bookmarkStart w:id="26" w:name="_neb4104B4F6_CC06_43E2_906C_395F820BA1C9"/>
      <w:r w:rsidRPr="00AD625F">
        <w:rPr>
          <w:color w:val="000000"/>
          <w:kern w:val="0"/>
          <w:sz w:val="20"/>
          <w:szCs w:val="20"/>
        </w:rPr>
        <w:t xml:space="preserve">Salganik M, Sergeyev V G, Shinde V, et al. The loss of glucose-regulated protein 78 (GRP78) during normal aging or from siRNA knockdown augments human alpha-synuclein (alpha-syn) toxicity to rat </w:t>
      </w:r>
      <w:r w:rsidRPr="00AD625F">
        <w:rPr>
          <w:color w:val="000000"/>
          <w:kern w:val="0"/>
          <w:sz w:val="20"/>
          <w:szCs w:val="20"/>
        </w:rPr>
        <w:lastRenderedPageBreak/>
        <w:t>nigral neurons[J]. Neurobiol Aging,2015,36(6):2213-2223.</w:t>
      </w:r>
      <w:bookmarkEnd w:id="26"/>
    </w:p>
    <w:p w14:paraId="5D6D98C6" w14:textId="77777777" w:rsidR="0035625E"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19</w:t>
      </w:r>
      <w:r w:rsidRPr="00AD625F">
        <w:rPr>
          <w:color w:val="000000"/>
          <w:kern w:val="0"/>
          <w:sz w:val="20"/>
          <w:szCs w:val="20"/>
        </w:rPr>
        <w:t xml:space="preserve">] </w:t>
      </w:r>
      <w:bookmarkStart w:id="27" w:name="_nebCDCDC428_96FF_4D61_8824_3802C2722B7D"/>
      <w:r w:rsidRPr="00AD625F">
        <w:rPr>
          <w:color w:val="000000"/>
          <w:kern w:val="0"/>
          <w:sz w:val="20"/>
          <w:szCs w:val="20"/>
        </w:rPr>
        <w:t>Ruggiero C, Doghman-Bouguerra M, Ronco C, et al. The GRP78/BiP inhibitor HA15 synergizes with mitotane action against adrenocortical carcinoma cells through convergent activation of ER stress pathways[J]. Mol Cell Endocrinol,2018,474:57-64.</w:t>
      </w:r>
      <w:bookmarkEnd w:id="27"/>
      <w:r w:rsidRPr="00AD625F">
        <w:rPr>
          <w:color w:val="000000"/>
          <w:kern w:val="0"/>
          <w:sz w:val="20"/>
          <w:szCs w:val="20"/>
        </w:rPr>
        <w:t xml:space="preserve"> </w:t>
      </w:r>
    </w:p>
    <w:p w14:paraId="508ABF0B" w14:textId="77777777" w:rsidR="0035625E" w:rsidRPr="00AD625F" w:rsidRDefault="0035625E" w:rsidP="0035625E">
      <w:pPr>
        <w:autoSpaceDE w:val="0"/>
        <w:autoSpaceDN w:val="0"/>
        <w:adjustRightInd w:val="0"/>
        <w:rPr>
          <w:rFonts w:ascii="宋体"/>
          <w:kern w:val="0"/>
          <w:sz w:val="24"/>
        </w:rPr>
      </w:pPr>
      <w:r w:rsidRPr="00AD625F">
        <w:rPr>
          <w:color w:val="000000"/>
          <w:kern w:val="0"/>
          <w:sz w:val="20"/>
          <w:szCs w:val="20"/>
        </w:rPr>
        <w:t>[</w:t>
      </w:r>
      <w:r>
        <w:rPr>
          <w:color w:val="000000"/>
          <w:kern w:val="0"/>
          <w:sz w:val="20"/>
          <w:szCs w:val="20"/>
        </w:rPr>
        <w:t>20</w:t>
      </w:r>
      <w:r w:rsidRPr="00AD625F">
        <w:rPr>
          <w:color w:val="000000"/>
          <w:kern w:val="0"/>
          <w:sz w:val="20"/>
          <w:szCs w:val="20"/>
        </w:rPr>
        <w:t xml:space="preserve">] </w:t>
      </w:r>
      <w:bookmarkStart w:id="28" w:name="_neb913FDB31_DE6D_4F4A_BA86_DF1CF61BBA35"/>
      <w:r w:rsidRPr="00AD625F">
        <w:rPr>
          <w:color w:val="000000"/>
          <w:kern w:val="0"/>
          <w:sz w:val="20"/>
          <w:szCs w:val="20"/>
        </w:rPr>
        <w:t>Ghaderi S, Ahmadian S, Soheili Z S, et al. AAV delivery of GRP78/BiP promotes adaptation of human RPE cell to ER stress[J]. J Cell Biochem,2018,119(2):1355-1367.</w:t>
      </w:r>
      <w:bookmarkEnd w:id="28"/>
    </w:p>
    <w:p w14:paraId="75CFDE09" w14:textId="77777777" w:rsidR="0035625E" w:rsidRPr="00AD625F" w:rsidRDefault="0035625E" w:rsidP="0035625E">
      <w:pPr>
        <w:autoSpaceDE w:val="0"/>
        <w:autoSpaceDN w:val="0"/>
        <w:adjustRightInd w:val="0"/>
        <w:rPr>
          <w:color w:val="000000"/>
          <w:kern w:val="0"/>
          <w:sz w:val="20"/>
          <w:szCs w:val="20"/>
        </w:rPr>
      </w:pPr>
      <w:r w:rsidRPr="00AD625F">
        <w:rPr>
          <w:color w:val="000000"/>
          <w:kern w:val="0"/>
          <w:sz w:val="20"/>
          <w:szCs w:val="20"/>
        </w:rPr>
        <w:t>[</w:t>
      </w:r>
      <w:r>
        <w:rPr>
          <w:color w:val="000000"/>
          <w:kern w:val="0"/>
          <w:sz w:val="20"/>
          <w:szCs w:val="20"/>
        </w:rPr>
        <w:t>21</w:t>
      </w:r>
      <w:r w:rsidRPr="00AD625F">
        <w:rPr>
          <w:color w:val="000000"/>
          <w:kern w:val="0"/>
          <w:sz w:val="20"/>
          <w:szCs w:val="20"/>
        </w:rPr>
        <w:t xml:space="preserve">] </w:t>
      </w:r>
      <w:bookmarkStart w:id="29" w:name="_nebBEAF3F6E_BBC8_4634_874C_67EA3994BCC8"/>
      <w:r w:rsidRPr="00AD625F">
        <w:rPr>
          <w:color w:val="000000"/>
          <w:kern w:val="0"/>
          <w:sz w:val="20"/>
          <w:szCs w:val="20"/>
        </w:rPr>
        <w:t>Lev A, Lulla A R, Wagner J, et al. Anti-pancreatic cancer activity of ONC212 involves the unfolded protein response  (UPR) and is reduced by IGF1-R and GRP78/BIP[J]. Oncotarget,2017,8(47):81776-81793.</w:t>
      </w:r>
      <w:bookmarkEnd w:id="29"/>
    </w:p>
    <w:p w14:paraId="428605B1" w14:textId="77777777" w:rsidR="0035625E" w:rsidRPr="00AD625F" w:rsidRDefault="0035625E" w:rsidP="0035625E">
      <w:pPr>
        <w:autoSpaceDE w:val="0"/>
        <w:autoSpaceDN w:val="0"/>
        <w:adjustRightInd w:val="0"/>
        <w:rPr>
          <w:rFonts w:ascii="宋体"/>
          <w:kern w:val="0"/>
          <w:sz w:val="24"/>
        </w:rPr>
      </w:pPr>
      <w:bookmarkStart w:id="30" w:name="_nebDEE872B7_EA7B_4F92_B3D3_496FED6A0DAB"/>
      <w:r w:rsidRPr="00AD625F">
        <w:rPr>
          <w:color w:val="000000"/>
          <w:kern w:val="0"/>
          <w:sz w:val="20"/>
          <w:szCs w:val="20"/>
        </w:rPr>
        <w:t>[</w:t>
      </w:r>
      <w:r>
        <w:rPr>
          <w:color w:val="000000"/>
          <w:kern w:val="0"/>
          <w:sz w:val="20"/>
          <w:szCs w:val="20"/>
        </w:rPr>
        <w:t>22</w:t>
      </w:r>
      <w:r w:rsidRPr="00AD625F">
        <w:rPr>
          <w:color w:val="000000"/>
          <w:kern w:val="0"/>
          <w:sz w:val="20"/>
          <w:szCs w:val="20"/>
        </w:rPr>
        <w:t>] Park K W, Eun K G, Morales R, et al. The Endoplasmic Reticulum Chaperone GRP78/BiP Modulates Prion Propagation in vitro and in vivo[J]. Sci Rep,2017,7:44723.</w:t>
      </w:r>
      <w:bookmarkEnd w:id="30"/>
    </w:p>
    <w:p w14:paraId="034E62EE" w14:textId="097882FC" w:rsidR="0035625E" w:rsidRDefault="0035625E" w:rsidP="0035625E">
      <w:pPr>
        <w:autoSpaceDE w:val="0"/>
        <w:autoSpaceDN w:val="0"/>
        <w:adjustRightInd w:val="0"/>
        <w:rPr>
          <w:color w:val="000000"/>
          <w:kern w:val="0"/>
          <w:sz w:val="20"/>
          <w:szCs w:val="20"/>
        </w:rPr>
      </w:pPr>
      <w:r w:rsidRPr="00AD625F">
        <w:rPr>
          <w:color w:val="000000"/>
          <w:kern w:val="0"/>
          <w:sz w:val="20"/>
          <w:szCs w:val="20"/>
        </w:rPr>
        <w:t>[</w:t>
      </w:r>
      <w:bookmarkStart w:id="31" w:name="_neb8CBE2DAE_C279_4613_9BED_83D1115188B6"/>
      <w:bookmarkStart w:id="32" w:name="_neb6C6D88B6_B15F_45CB_B128_B89E6F977694"/>
      <w:r>
        <w:rPr>
          <w:color w:val="000000"/>
          <w:kern w:val="0"/>
          <w:sz w:val="20"/>
          <w:szCs w:val="20"/>
        </w:rPr>
        <w:t>23]Zaiss M M, Hall C, Mcgowan N, et al. Binding Immunoglobulin Protein (BIP) Inhibits TNF-alpha-Induced Osteoclast Differentiation and Systemic Bone Loss in an Erosive Arthritis Model[J]. ACR Open Rheumatol,2019,1(6):382-393</w:t>
      </w:r>
      <w:bookmarkEnd w:id="31"/>
      <w:r w:rsidRPr="00AD625F">
        <w:rPr>
          <w:color w:val="000000"/>
          <w:kern w:val="0"/>
          <w:sz w:val="20"/>
          <w:szCs w:val="20"/>
        </w:rPr>
        <w:t>.</w:t>
      </w:r>
      <w:bookmarkEnd w:id="32"/>
    </w:p>
    <w:p w14:paraId="41E4CF88" w14:textId="77777777" w:rsidR="00BF1EE6" w:rsidRDefault="00BF1EE6" w:rsidP="00F95CB2">
      <w:pPr>
        <w:rPr>
          <w:color w:val="000000"/>
          <w:kern w:val="0"/>
          <w:sz w:val="20"/>
          <w:szCs w:val="20"/>
        </w:rPr>
      </w:pPr>
    </w:p>
    <w:p w14:paraId="271F5824" w14:textId="77777777" w:rsidR="00FC5E4F" w:rsidRPr="006E4BD1" w:rsidRDefault="00FC5E4F" w:rsidP="00F95CB2">
      <w:pPr>
        <w:rPr>
          <w:sz w:val="24"/>
          <w:szCs w:val="24"/>
        </w:rPr>
      </w:pPr>
    </w:p>
    <w:sectPr w:rsidR="00FC5E4F" w:rsidRPr="006E4B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3ECD" w14:textId="77777777" w:rsidR="001B79C6" w:rsidRDefault="001B79C6" w:rsidP="004368CD">
      <w:r>
        <w:separator/>
      </w:r>
    </w:p>
  </w:endnote>
  <w:endnote w:type="continuationSeparator" w:id="0">
    <w:p w14:paraId="23B0234D" w14:textId="77777777" w:rsidR="001B79C6" w:rsidRDefault="001B79C6" w:rsidP="0043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微软雅黑"/>
    <w:charset w:val="86"/>
    <w:family w:val="modern"/>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CA843" w14:textId="77777777" w:rsidR="001B79C6" w:rsidRDefault="001B79C6" w:rsidP="004368CD">
      <w:r>
        <w:separator/>
      </w:r>
    </w:p>
  </w:footnote>
  <w:footnote w:type="continuationSeparator" w:id="0">
    <w:p w14:paraId="1110A429" w14:textId="77777777" w:rsidR="001B79C6" w:rsidRDefault="001B79C6" w:rsidP="004368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82E6E"/>
    <w:multiLevelType w:val="singleLevel"/>
    <w:tmpl w:val="53982E6E"/>
    <w:lvl w:ilvl="0">
      <w:start w:val="1"/>
      <w:numFmt w:val="bullet"/>
      <w:lvlText w:val=""/>
      <w:lvlJc w:val="left"/>
      <w:pPr>
        <w:tabs>
          <w:tab w:val="num" w:pos="420"/>
        </w:tabs>
        <w:ind w:left="420" w:hanging="420"/>
      </w:pPr>
      <w:rPr>
        <w:rFonts w:ascii="Wingdings" w:hAnsi="Wingdings" w:hint="default"/>
      </w:rPr>
    </w:lvl>
  </w:abstractNum>
  <w:num w:numId="1" w16cid:durableId="191732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F4"/>
    <w:rsid w:val="00027FF4"/>
    <w:rsid w:val="000306D6"/>
    <w:rsid w:val="000A3DC3"/>
    <w:rsid w:val="00185937"/>
    <w:rsid w:val="001A559A"/>
    <w:rsid w:val="001B79C6"/>
    <w:rsid w:val="001D67F6"/>
    <w:rsid w:val="001F723F"/>
    <w:rsid w:val="002311D3"/>
    <w:rsid w:val="00254106"/>
    <w:rsid w:val="0025563F"/>
    <w:rsid w:val="002C69B7"/>
    <w:rsid w:val="002D0873"/>
    <w:rsid w:val="00344395"/>
    <w:rsid w:val="0035625E"/>
    <w:rsid w:val="00363222"/>
    <w:rsid w:val="00420D72"/>
    <w:rsid w:val="004368CD"/>
    <w:rsid w:val="00477E4B"/>
    <w:rsid w:val="004C7504"/>
    <w:rsid w:val="004D5565"/>
    <w:rsid w:val="004E4481"/>
    <w:rsid w:val="0054526C"/>
    <w:rsid w:val="00557909"/>
    <w:rsid w:val="00594A08"/>
    <w:rsid w:val="005B184E"/>
    <w:rsid w:val="005F6CAE"/>
    <w:rsid w:val="0066174F"/>
    <w:rsid w:val="006E4BD1"/>
    <w:rsid w:val="006F2B51"/>
    <w:rsid w:val="00723EF7"/>
    <w:rsid w:val="00731210"/>
    <w:rsid w:val="0073167A"/>
    <w:rsid w:val="0087294F"/>
    <w:rsid w:val="008C647E"/>
    <w:rsid w:val="00954C15"/>
    <w:rsid w:val="009F5E53"/>
    <w:rsid w:val="009F6A22"/>
    <w:rsid w:val="00A07C03"/>
    <w:rsid w:val="00A47005"/>
    <w:rsid w:val="00A844BC"/>
    <w:rsid w:val="00AC32FC"/>
    <w:rsid w:val="00B2578C"/>
    <w:rsid w:val="00BF1EE6"/>
    <w:rsid w:val="00C250CB"/>
    <w:rsid w:val="00C86CF9"/>
    <w:rsid w:val="00C90983"/>
    <w:rsid w:val="00CF7084"/>
    <w:rsid w:val="00D07C30"/>
    <w:rsid w:val="00D11F5E"/>
    <w:rsid w:val="00DD2CF8"/>
    <w:rsid w:val="00DE7219"/>
    <w:rsid w:val="00E03B40"/>
    <w:rsid w:val="00E70F3A"/>
    <w:rsid w:val="00E94AE9"/>
    <w:rsid w:val="00EC5FF5"/>
    <w:rsid w:val="00EF2136"/>
    <w:rsid w:val="00F24A92"/>
    <w:rsid w:val="00F27A69"/>
    <w:rsid w:val="00F859F3"/>
    <w:rsid w:val="00F95CB2"/>
    <w:rsid w:val="00FC5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22B95"/>
  <w15:chartTrackingRefBased/>
  <w15:docId w15:val="{EA28FDF8-DB43-4E7F-A7FC-2628D90D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8CD"/>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68C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368CD"/>
    <w:rPr>
      <w:sz w:val="18"/>
      <w:szCs w:val="18"/>
    </w:rPr>
  </w:style>
  <w:style w:type="paragraph" w:styleId="a5">
    <w:name w:val="footer"/>
    <w:basedOn w:val="a"/>
    <w:link w:val="a6"/>
    <w:uiPriority w:val="99"/>
    <w:unhideWhenUsed/>
    <w:rsid w:val="004368C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368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894">
      <w:bodyDiv w:val="1"/>
      <w:marLeft w:val="0"/>
      <w:marRight w:val="0"/>
      <w:marTop w:val="0"/>
      <w:marBottom w:val="0"/>
      <w:divBdr>
        <w:top w:val="none" w:sz="0" w:space="0" w:color="auto"/>
        <w:left w:val="none" w:sz="0" w:space="0" w:color="auto"/>
        <w:bottom w:val="none" w:sz="0" w:space="0" w:color="auto"/>
        <w:right w:val="none" w:sz="0" w:space="0" w:color="auto"/>
      </w:divBdr>
    </w:div>
    <w:div w:id="83262243">
      <w:bodyDiv w:val="1"/>
      <w:marLeft w:val="0"/>
      <w:marRight w:val="0"/>
      <w:marTop w:val="0"/>
      <w:marBottom w:val="0"/>
      <w:divBdr>
        <w:top w:val="none" w:sz="0" w:space="0" w:color="auto"/>
        <w:left w:val="none" w:sz="0" w:space="0" w:color="auto"/>
        <w:bottom w:val="none" w:sz="0" w:space="0" w:color="auto"/>
        <w:right w:val="none" w:sz="0" w:space="0" w:color="auto"/>
      </w:divBdr>
    </w:div>
    <w:div w:id="153029939">
      <w:bodyDiv w:val="1"/>
      <w:marLeft w:val="0"/>
      <w:marRight w:val="0"/>
      <w:marTop w:val="0"/>
      <w:marBottom w:val="0"/>
      <w:divBdr>
        <w:top w:val="none" w:sz="0" w:space="0" w:color="auto"/>
        <w:left w:val="none" w:sz="0" w:space="0" w:color="auto"/>
        <w:bottom w:val="none" w:sz="0" w:space="0" w:color="auto"/>
        <w:right w:val="none" w:sz="0" w:space="0" w:color="auto"/>
      </w:divBdr>
    </w:div>
    <w:div w:id="288363411">
      <w:bodyDiv w:val="1"/>
      <w:marLeft w:val="0"/>
      <w:marRight w:val="0"/>
      <w:marTop w:val="0"/>
      <w:marBottom w:val="0"/>
      <w:divBdr>
        <w:top w:val="none" w:sz="0" w:space="0" w:color="auto"/>
        <w:left w:val="none" w:sz="0" w:space="0" w:color="auto"/>
        <w:bottom w:val="none" w:sz="0" w:space="0" w:color="auto"/>
        <w:right w:val="none" w:sz="0" w:space="0" w:color="auto"/>
      </w:divBdr>
    </w:div>
    <w:div w:id="351541870">
      <w:bodyDiv w:val="1"/>
      <w:marLeft w:val="0"/>
      <w:marRight w:val="0"/>
      <w:marTop w:val="0"/>
      <w:marBottom w:val="0"/>
      <w:divBdr>
        <w:top w:val="none" w:sz="0" w:space="0" w:color="auto"/>
        <w:left w:val="none" w:sz="0" w:space="0" w:color="auto"/>
        <w:bottom w:val="none" w:sz="0" w:space="0" w:color="auto"/>
        <w:right w:val="none" w:sz="0" w:space="0" w:color="auto"/>
      </w:divBdr>
    </w:div>
    <w:div w:id="443114549">
      <w:bodyDiv w:val="1"/>
      <w:marLeft w:val="0"/>
      <w:marRight w:val="0"/>
      <w:marTop w:val="0"/>
      <w:marBottom w:val="0"/>
      <w:divBdr>
        <w:top w:val="none" w:sz="0" w:space="0" w:color="auto"/>
        <w:left w:val="none" w:sz="0" w:space="0" w:color="auto"/>
        <w:bottom w:val="none" w:sz="0" w:space="0" w:color="auto"/>
        <w:right w:val="none" w:sz="0" w:space="0" w:color="auto"/>
      </w:divBdr>
    </w:div>
    <w:div w:id="558250433">
      <w:bodyDiv w:val="1"/>
      <w:marLeft w:val="0"/>
      <w:marRight w:val="0"/>
      <w:marTop w:val="0"/>
      <w:marBottom w:val="0"/>
      <w:divBdr>
        <w:top w:val="none" w:sz="0" w:space="0" w:color="auto"/>
        <w:left w:val="none" w:sz="0" w:space="0" w:color="auto"/>
        <w:bottom w:val="none" w:sz="0" w:space="0" w:color="auto"/>
        <w:right w:val="none" w:sz="0" w:space="0" w:color="auto"/>
      </w:divBdr>
    </w:div>
    <w:div w:id="612784186">
      <w:bodyDiv w:val="1"/>
      <w:marLeft w:val="0"/>
      <w:marRight w:val="0"/>
      <w:marTop w:val="0"/>
      <w:marBottom w:val="0"/>
      <w:divBdr>
        <w:top w:val="none" w:sz="0" w:space="0" w:color="auto"/>
        <w:left w:val="none" w:sz="0" w:space="0" w:color="auto"/>
        <w:bottom w:val="none" w:sz="0" w:space="0" w:color="auto"/>
        <w:right w:val="none" w:sz="0" w:space="0" w:color="auto"/>
      </w:divBdr>
    </w:div>
    <w:div w:id="699016240">
      <w:bodyDiv w:val="1"/>
      <w:marLeft w:val="0"/>
      <w:marRight w:val="0"/>
      <w:marTop w:val="0"/>
      <w:marBottom w:val="0"/>
      <w:divBdr>
        <w:top w:val="none" w:sz="0" w:space="0" w:color="auto"/>
        <w:left w:val="none" w:sz="0" w:space="0" w:color="auto"/>
        <w:bottom w:val="none" w:sz="0" w:space="0" w:color="auto"/>
        <w:right w:val="none" w:sz="0" w:space="0" w:color="auto"/>
      </w:divBdr>
    </w:div>
    <w:div w:id="723799689">
      <w:bodyDiv w:val="1"/>
      <w:marLeft w:val="0"/>
      <w:marRight w:val="0"/>
      <w:marTop w:val="0"/>
      <w:marBottom w:val="0"/>
      <w:divBdr>
        <w:top w:val="none" w:sz="0" w:space="0" w:color="auto"/>
        <w:left w:val="none" w:sz="0" w:space="0" w:color="auto"/>
        <w:bottom w:val="none" w:sz="0" w:space="0" w:color="auto"/>
        <w:right w:val="none" w:sz="0" w:space="0" w:color="auto"/>
      </w:divBdr>
    </w:div>
    <w:div w:id="1336811030">
      <w:bodyDiv w:val="1"/>
      <w:marLeft w:val="0"/>
      <w:marRight w:val="0"/>
      <w:marTop w:val="0"/>
      <w:marBottom w:val="0"/>
      <w:divBdr>
        <w:top w:val="none" w:sz="0" w:space="0" w:color="auto"/>
        <w:left w:val="none" w:sz="0" w:space="0" w:color="auto"/>
        <w:bottom w:val="none" w:sz="0" w:space="0" w:color="auto"/>
        <w:right w:val="none" w:sz="0" w:space="0" w:color="auto"/>
      </w:divBdr>
    </w:div>
    <w:div w:id="1826821285">
      <w:bodyDiv w:val="1"/>
      <w:marLeft w:val="0"/>
      <w:marRight w:val="0"/>
      <w:marTop w:val="0"/>
      <w:marBottom w:val="0"/>
      <w:divBdr>
        <w:top w:val="none" w:sz="0" w:space="0" w:color="auto"/>
        <w:left w:val="none" w:sz="0" w:space="0" w:color="auto"/>
        <w:bottom w:val="none" w:sz="0" w:space="0" w:color="auto"/>
        <w:right w:val="none" w:sz="0" w:space="0" w:color="auto"/>
      </w:divBdr>
    </w:div>
    <w:div w:id="1834375689">
      <w:bodyDiv w:val="1"/>
      <w:marLeft w:val="0"/>
      <w:marRight w:val="0"/>
      <w:marTop w:val="0"/>
      <w:marBottom w:val="0"/>
      <w:divBdr>
        <w:top w:val="none" w:sz="0" w:space="0" w:color="auto"/>
        <w:left w:val="none" w:sz="0" w:space="0" w:color="auto"/>
        <w:bottom w:val="none" w:sz="0" w:space="0" w:color="auto"/>
        <w:right w:val="none" w:sz="0" w:space="0" w:color="auto"/>
      </w:divBdr>
    </w:div>
    <w:div w:id="1853763317">
      <w:bodyDiv w:val="1"/>
      <w:marLeft w:val="0"/>
      <w:marRight w:val="0"/>
      <w:marTop w:val="0"/>
      <w:marBottom w:val="0"/>
      <w:divBdr>
        <w:top w:val="none" w:sz="0" w:space="0" w:color="auto"/>
        <w:left w:val="none" w:sz="0" w:space="0" w:color="auto"/>
        <w:bottom w:val="none" w:sz="0" w:space="0" w:color="auto"/>
        <w:right w:val="none" w:sz="0" w:space="0" w:color="auto"/>
      </w:divBdr>
    </w:div>
    <w:div w:id="1856380492">
      <w:bodyDiv w:val="1"/>
      <w:marLeft w:val="0"/>
      <w:marRight w:val="0"/>
      <w:marTop w:val="0"/>
      <w:marBottom w:val="0"/>
      <w:divBdr>
        <w:top w:val="none" w:sz="0" w:space="0" w:color="auto"/>
        <w:left w:val="none" w:sz="0" w:space="0" w:color="auto"/>
        <w:bottom w:val="none" w:sz="0" w:space="0" w:color="auto"/>
        <w:right w:val="none" w:sz="0" w:space="0" w:color="auto"/>
      </w:divBdr>
    </w:div>
    <w:div w:id="1997031751">
      <w:bodyDiv w:val="1"/>
      <w:marLeft w:val="0"/>
      <w:marRight w:val="0"/>
      <w:marTop w:val="0"/>
      <w:marBottom w:val="0"/>
      <w:divBdr>
        <w:top w:val="none" w:sz="0" w:space="0" w:color="auto"/>
        <w:left w:val="none" w:sz="0" w:space="0" w:color="auto"/>
        <w:bottom w:val="none" w:sz="0" w:space="0" w:color="auto"/>
        <w:right w:val="none" w:sz="0" w:space="0" w:color="auto"/>
      </w:divBdr>
    </w:div>
    <w:div w:id="2012953187">
      <w:bodyDiv w:val="1"/>
      <w:marLeft w:val="0"/>
      <w:marRight w:val="0"/>
      <w:marTop w:val="0"/>
      <w:marBottom w:val="0"/>
      <w:divBdr>
        <w:top w:val="none" w:sz="0" w:space="0" w:color="auto"/>
        <w:left w:val="none" w:sz="0" w:space="0" w:color="auto"/>
        <w:bottom w:val="none" w:sz="0" w:space="0" w:color="auto"/>
        <w:right w:val="none" w:sz="0" w:space="0" w:color="auto"/>
      </w:divBdr>
    </w:div>
    <w:div w:id="2047676152">
      <w:bodyDiv w:val="1"/>
      <w:marLeft w:val="0"/>
      <w:marRight w:val="0"/>
      <w:marTop w:val="0"/>
      <w:marBottom w:val="0"/>
      <w:divBdr>
        <w:top w:val="none" w:sz="0" w:space="0" w:color="auto"/>
        <w:left w:val="none" w:sz="0" w:space="0" w:color="auto"/>
        <w:bottom w:val="none" w:sz="0" w:space="0" w:color="auto"/>
        <w:right w:val="none" w:sz="0" w:space="0" w:color="auto"/>
      </w:divBdr>
    </w:div>
    <w:div w:id="208313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1196</TotalTime>
  <Pages>5</Pages>
  <Words>1744</Words>
  <Characters>9941</Characters>
  <Application>Microsoft Office Word</Application>
  <DocSecurity>0</DocSecurity>
  <Lines>82</Lines>
  <Paragraphs>23</Paragraphs>
  <ScaleCrop>false</ScaleCrop>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国印</dc:creator>
  <cp:keywords/>
  <dc:description/>
  <cp:lastModifiedBy>国印 刘</cp:lastModifiedBy>
  <cp:revision>53</cp:revision>
  <dcterms:created xsi:type="dcterms:W3CDTF">2023-04-25T13:44:00Z</dcterms:created>
  <dcterms:modified xsi:type="dcterms:W3CDTF">2023-06-24T08:24:00Z</dcterms:modified>
</cp:coreProperties>
</file>