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610B5" w:rsidRDefault="001610B5" w:rsidP="00494130">
      <w:pPr>
        <w:pStyle w:val="Ttulo1"/>
        <w:spacing w:before="170"/>
        <w:ind w:left="0"/>
        <w:rPr>
          <w:color w:val="337AB7"/>
          <w:lang w:val="en"/>
        </w:rPr>
      </w:pPr>
      <w:bookmarkStart w:id="0" w:name="_GoBack"/>
      <w:proofErr w:type="gramStart"/>
      <w:r w:rsidRPr="001610B5">
        <w:rPr>
          <w:color w:val="337AB7"/>
        </w:rPr>
        <w:t>Can Metallic Surgical Implants Influence the Body’s Health?</w:t>
      </w:r>
      <w:proofErr w:type="gramEnd"/>
      <w:r w:rsidRPr="001610B5">
        <w:rPr>
          <w:color w:val="337AB7"/>
        </w:rPr>
        <w:t xml:space="preserve">  </w:t>
      </w:r>
    </w:p>
    <w:bookmarkEnd w:id="0"/>
    <w:p w:rsidR="00482BEC" w:rsidRDefault="00482BEC" w:rsidP="005973B9">
      <w:pPr>
        <w:pStyle w:val="Corpodetexto"/>
        <w:spacing w:before="73" w:line="198" w:lineRule="exact"/>
        <w:ind w:left="100" w:right="5987"/>
        <w:rPr>
          <w:rFonts w:ascii="Arial"/>
        </w:rPr>
      </w:pPr>
    </w:p>
    <w:p w:rsidR="00482BEC" w:rsidRPr="00482BEC" w:rsidRDefault="00482BEC" w:rsidP="00482BEC">
      <w:pPr>
        <w:pStyle w:val="Corpodetexto"/>
        <w:rPr>
          <w:rFonts w:ascii="Arial"/>
          <w:sz w:val="20"/>
          <w:lang w:val="en-GB"/>
        </w:rPr>
      </w:pPr>
      <w:r w:rsidRPr="00482BEC">
        <w:rPr>
          <w:rFonts w:ascii="Arial"/>
          <w:sz w:val="20"/>
          <w:lang w:val="en-GB"/>
        </w:rPr>
        <w:t>Huang Wei Ling</w:t>
      </w:r>
    </w:p>
    <w:p w:rsidR="00AE3E37" w:rsidRPr="00482BEC" w:rsidRDefault="00482BEC" w:rsidP="00482BEC">
      <w:pPr>
        <w:pStyle w:val="Corpodetexto"/>
        <w:rPr>
          <w:rFonts w:ascii="Arial"/>
          <w:sz w:val="20"/>
          <w:lang w:val="en-GB"/>
        </w:rPr>
      </w:pPr>
      <w:r w:rsidRPr="00482BEC">
        <w:rPr>
          <w:rFonts w:ascii="Arial"/>
          <w:sz w:val="20"/>
          <w:lang w:val="en-GB"/>
        </w:rPr>
        <w:t>Medical Acupuncture and Pain 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1610B5" w:rsidRPr="001610B5" w:rsidRDefault="001610B5" w:rsidP="001610B5">
      <w:pPr>
        <w:pStyle w:val="Ttulo3"/>
        <w:spacing w:before="74"/>
        <w:ind w:left="0"/>
        <w:jc w:val="both"/>
        <w:rPr>
          <w:b w:val="0"/>
        </w:rPr>
      </w:pPr>
      <w:r w:rsidRPr="001610B5">
        <w:t>Statement of the problem</w:t>
      </w:r>
      <w:r w:rsidRPr="001610B5">
        <w:rPr>
          <w:b w:val="0"/>
        </w:rPr>
        <w:t>:  The necessity of surgical implants use is a consequence of the increase of life expectancy. Therefore, there is a range of studies regarding the implant materials and their interactions. However, thos</w:t>
      </w:r>
      <w:r>
        <w:rPr>
          <w:b w:val="0"/>
        </w:rPr>
        <w:t>e studies are carried out analyz</w:t>
      </w:r>
      <w:r w:rsidRPr="001610B5">
        <w:rPr>
          <w:b w:val="0"/>
        </w:rPr>
        <w:t xml:space="preserve">ing the factory and interaction of materials, and often, they do not consider the effects of those materials in the normal functioning of the human body. </w:t>
      </w:r>
      <w:r w:rsidRPr="001610B5">
        <w:t xml:space="preserve">Purpose: </w:t>
      </w:r>
      <w:r w:rsidRPr="001610B5">
        <w:rPr>
          <w:b w:val="0"/>
        </w:rPr>
        <w:t xml:space="preserve">Demonstrate that the placement of metal implants can influence body’s health, leading to a decrease in vital energy. </w:t>
      </w:r>
      <w:r w:rsidRPr="001610B5">
        <w:t>Methods:</w:t>
      </w:r>
      <w:r w:rsidRPr="001610B5">
        <w:rPr>
          <w:b w:val="0"/>
        </w:rPr>
        <w:t xml:space="preserve">  Two clinical cases, the first, of a 30-year-old male patient, who suffered an accident and broke the right elbow and right leg, requiring surgery with surgical implant of titanium rod in both limbs. Two months after surgery the patient presented a very severe depression, that would not improve with the use of antidepressants. The second case is from 60-years-old female patient, who implanted a titanium dental prosthesis. Three months after the implant, the patient started feeling weakness, indisposition for the daily activities, in contrast to her normal behavior, in addition to precocious aging with the wrath of her hair. The chakras energies of both patients were measured through a crystal pendulum. All chakras were energy depleted. </w:t>
      </w:r>
      <w:r w:rsidRPr="001610B5">
        <w:t>Results:</w:t>
      </w:r>
      <w:r w:rsidRPr="001610B5">
        <w:rPr>
          <w:b w:val="0"/>
        </w:rPr>
        <w:t xml:space="preserve"> In the first case, the patient was instructed to try to remove the implant. Two hours after the removal, the patient presented extreme improvement of the symptoms. The second patient did not remove the implant yet, and continued to present symptoms of low vital energy. </w:t>
      </w:r>
      <w:r w:rsidRPr="001610B5">
        <w:t>Conclusion:</w:t>
      </w:r>
      <w:r w:rsidRPr="001610B5">
        <w:rPr>
          <w:b w:val="0"/>
        </w:rPr>
        <w:t xml:space="preserve">  The implantation of metallic material inside the human body, can lead to reductio</w:t>
      </w:r>
      <w:r>
        <w:rPr>
          <w:b w:val="0"/>
        </w:rPr>
        <w:t xml:space="preserve">n of vital energy, inducing </w:t>
      </w:r>
      <w:r w:rsidRPr="001610B5">
        <w:rPr>
          <w:b w:val="0"/>
        </w:rPr>
        <w:t>different symptoms, like depression</w:t>
      </w:r>
      <w:r>
        <w:rPr>
          <w:b w:val="0"/>
        </w:rPr>
        <w:t>, according to these two case reports</w:t>
      </w:r>
      <w:r w:rsidRPr="001610B5">
        <w:rPr>
          <w:b w:val="0"/>
        </w:rPr>
        <w:t xml:space="preserve">. </w:t>
      </w: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5973B9" w:rsidRDefault="000B3002" w:rsidP="00482BEC">
      <w:pPr>
        <w:pStyle w:val="Ttulo3"/>
        <w:spacing w:before="74"/>
        <w:ind w:left="0"/>
        <w:rPr>
          <w:b w:val="0"/>
        </w:rPr>
      </w:pPr>
      <w:r>
        <w:rPr>
          <w:b w:val="0"/>
          <w:color w:val="BF5A14"/>
        </w:rPr>
        <w:t>R</w:t>
      </w:r>
      <w:r w:rsidR="00482BEC">
        <w:rPr>
          <w:b w:val="0"/>
          <w:color w:val="BF5A14"/>
        </w:rPr>
        <w:t>ecent Publications</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W.L. Can Hospital Osteomyelitis Be Treated Without the Use of Antibiotics? </w:t>
      </w:r>
      <w:proofErr w:type="spellStart"/>
      <w:r w:rsidRPr="00506786">
        <w:rPr>
          <w:rFonts w:asciiTheme="minorHAnsi" w:hAnsiTheme="minorHAnsi"/>
          <w:sz w:val="18"/>
          <w:szCs w:val="18"/>
        </w:rPr>
        <w:t>Int</w:t>
      </w:r>
      <w:proofErr w:type="spellEnd"/>
      <w:r w:rsidRPr="00506786">
        <w:rPr>
          <w:rFonts w:asciiTheme="minorHAnsi" w:hAnsiTheme="minorHAnsi"/>
          <w:sz w:val="18"/>
          <w:szCs w:val="18"/>
        </w:rPr>
        <w:t xml:space="preserve"> J </w:t>
      </w:r>
      <w:proofErr w:type="spellStart"/>
      <w:r w:rsidRPr="00506786">
        <w:rPr>
          <w:rFonts w:asciiTheme="minorHAnsi" w:hAnsiTheme="minorHAnsi"/>
          <w:sz w:val="18"/>
          <w:szCs w:val="18"/>
        </w:rPr>
        <w:t>Microbiol</w:t>
      </w:r>
      <w:proofErr w:type="spellEnd"/>
      <w:r w:rsidRPr="00506786">
        <w:rPr>
          <w:rFonts w:asciiTheme="minorHAnsi" w:hAnsiTheme="minorHAnsi"/>
          <w:sz w:val="18"/>
          <w:szCs w:val="18"/>
        </w:rPr>
        <w:t xml:space="preserve"> Infect Dis. 2018</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2(1): 1-6.</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Wei Ling. “Why do Patients Still Catch Hospital Infections </w:t>
      </w:r>
      <w:proofErr w:type="gramStart"/>
      <w:r w:rsidRPr="00506786">
        <w:rPr>
          <w:rFonts w:asciiTheme="minorHAnsi" w:hAnsiTheme="minorHAnsi"/>
          <w:sz w:val="18"/>
          <w:szCs w:val="18"/>
        </w:rPr>
        <w:t>Despite</w:t>
      </w:r>
      <w:proofErr w:type="gramEnd"/>
      <w:r w:rsidRPr="00506786">
        <w:rPr>
          <w:rFonts w:asciiTheme="minorHAnsi" w:hAnsiTheme="minorHAnsi"/>
          <w:sz w:val="18"/>
          <w:szCs w:val="18"/>
        </w:rPr>
        <w:t xml:space="preserve"> the Practice of Infection Prevention and Control Programs?”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1.4 (2018) 34-43.</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“Can Recurrent Furunculosis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04-12.</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W.L. Can Leptospirosis Be Treated Without Any Kind of Medication? Journal of Clinical Review &amp; Case Reports. V.3, I.4, 01-04</w:t>
      </w:r>
    </w:p>
    <w:p w:rsidR="00506786"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“Could Postsurgical Nosocomial Cellulitis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24-31.</w:t>
      </w:r>
    </w:p>
    <w:p w:rsidR="00506786" w:rsidRPr="00506786" w:rsidRDefault="00506786" w:rsidP="00506786">
      <w:pPr>
        <w:pStyle w:val="PargrafodaLista"/>
        <w:numPr>
          <w:ilvl w:val="0"/>
          <w:numId w:val="9"/>
        </w:numPr>
        <w:tabs>
          <w:tab w:val="left" w:pos="384"/>
        </w:tabs>
        <w:ind w:right="117"/>
        <w:rPr>
          <w:rFonts w:asciiTheme="minorHAnsi" w:hAnsiTheme="minorHAnsi" w:cs="Times New Roman"/>
          <w:b/>
          <w:iCs/>
          <w:sz w:val="18"/>
          <w:szCs w:val="18"/>
        </w:rPr>
      </w:pPr>
      <w:r w:rsidRPr="00506786">
        <w:rPr>
          <w:rFonts w:asciiTheme="minorHAnsi" w:hAnsiTheme="minorHAnsi" w:cs="Times New Roman"/>
          <w:sz w:val="18"/>
          <w:szCs w:val="18"/>
        </w:rPr>
        <w:t xml:space="preserve">Huang, W.L. How Do You Treat Back Pain in Your Practice? Part 2. MEDICAL ACUPUNCTURE, Volume 30, Number 1, 2018. 50-53. </w:t>
      </w:r>
    </w:p>
    <w:p w:rsidR="00506786" w:rsidRPr="00506786" w:rsidRDefault="00506786" w:rsidP="00506786">
      <w:pPr>
        <w:pStyle w:val="PargrafodaLista"/>
        <w:tabs>
          <w:tab w:val="left" w:pos="384"/>
        </w:tabs>
        <w:ind w:left="720" w:right="117" w:firstLine="0"/>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52A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B3002" w:rsidRDefault="001610B5" w:rsidP="00404E5B">
      <w:pPr>
        <w:spacing w:before="92"/>
        <w:ind w:right="4234"/>
        <w:rPr>
          <w:noProof/>
        </w:rPr>
      </w:pPr>
      <w:r>
        <w:rPr>
          <w:rFonts w:ascii="Arial"/>
          <w:noProof/>
          <w:color w:val="BF5A14"/>
          <w:lang w:val="pt-BR" w:eastAsia="pt-BR"/>
        </w:rPr>
        <w:drawing>
          <wp:anchor distT="0" distB="0" distL="114300" distR="114300" simplePos="0" relativeHeight="251658240" behindDoc="0" locked="0" layoutInCell="1" allowOverlap="1">
            <wp:simplePos x="0" y="0"/>
            <wp:positionH relativeFrom="column">
              <wp:posOffset>44450</wp:posOffset>
            </wp:positionH>
            <wp:positionV relativeFrom="paragraph">
              <wp:posOffset>60325</wp:posOffset>
            </wp:positionV>
            <wp:extent cx="1428750" cy="1209675"/>
            <wp:effectExtent l="0" t="0" r="0" b="9525"/>
            <wp:wrapThrough wrapText="bothSides">
              <wp:wrapPolygon edited="0">
                <wp:start x="0" y="0"/>
                <wp:lineTo x="0" y="21430"/>
                <wp:lineTo x="21312" y="21430"/>
                <wp:lineTo x="21312"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2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8750" cy="1209675"/>
                    </a:xfrm>
                    <a:prstGeom prst="rect">
                      <a:avLst/>
                    </a:prstGeom>
                  </pic:spPr>
                </pic:pic>
              </a:graphicData>
            </a:graphic>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1610B5" w:rsidRDefault="00DB631D" w:rsidP="001610B5">
      <w:pPr>
        <w:spacing w:before="62"/>
        <w:ind w:right="4235"/>
        <w:rPr>
          <w:rFonts w:ascii="Arial"/>
        </w:rPr>
      </w:pPr>
      <w:r w:rsidRPr="000C10C3">
        <w:rPr>
          <w:rFonts w:ascii="Arial"/>
        </w:rPr>
        <w:t xml:space="preserve">Email: </w:t>
      </w:r>
      <w:hyperlink r:id="rId10" w:history="1">
        <w:r w:rsidR="001610B5" w:rsidRPr="00240C51">
          <w:rPr>
            <w:rStyle w:val="Hyperlink"/>
            <w:rFonts w:ascii="Arial"/>
          </w:rPr>
          <w:t>welingmg@gmail.com</w:t>
        </w:r>
      </w:hyperlink>
    </w:p>
    <w:p w:rsidR="005A41D2" w:rsidRPr="001610B5" w:rsidRDefault="005A41D2" w:rsidP="001610B5">
      <w:pPr>
        <w:jc w:val="both"/>
        <w:rPr>
          <w:rFonts w:ascii="Times New Roman" w:hAnsi="Times New Roman" w:cs="Times New Roman"/>
          <w:sz w:val="18"/>
          <w:szCs w:val="18"/>
        </w:rPr>
      </w:pPr>
      <w:r w:rsidRPr="001610B5">
        <w:rPr>
          <w:rFonts w:ascii="Times New Roman" w:hAnsi="Times New Roman" w:cs="Times New Roman"/>
          <w:sz w:val="18"/>
          <w:szCs w:val="18"/>
        </w:rPr>
        <w:t xml:space="preserve">Huang Wei Ling, born in Taiwan, raised and graduated in medicine </w:t>
      </w:r>
      <w:r w:rsidR="001610B5" w:rsidRPr="001610B5">
        <w:rPr>
          <w:rFonts w:ascii="Times New Roman" w:hAnsi="Times New Roman" w:cs="Times New Roman"/>
          <w:sz w:val="18"/>
          <w:szCs w:val="18"/>
        </w:rPr>
        <w:t>i</w:t>
      </w:r>
      <w:r w:rsidRPr="001610B5">
        <w:rPr>
          <w:rFonts w:ascii="Times New Roman" w:hAnsi="Times New Roman" w:cs="Times New Roman"/>
          <w:sz w:val="18"/>
          <w:szCs w:val="18"/>
        </w:rPr>
        <w:t xml:space="preserve">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w:t>
      </w:r>
      <w:r w:rsidR="001610B5">
        <w:rPr>
          <w:rFonts w:ascii="Times New Roman" w:hAnsi="Times New Roman" w:cs="Times New Roman"/>
          <w:sz w:val="18"/>
          <w:szCs w:val="18"/>
        </w:rPr>
        <w:t xml:space="preserve">             </w:t>
      </w:r>
      <w:r w:rsidRPr="001610B5">
        <w:rPr>
          <w:rFonts w:ascii="Times New Roman" w:hAnsi="Times New Roman" w:cs="Times New Roman"/>
          <w:sz w:val="18"/>
          <w:szCs w:val="18"/>
        </w:rPr>
        <w:t>Medicine and Hippocrates.</w:t>
      </w:r>
    </w:p>
    <w:p w:rsidR="00AE3E37" w:rsidRPr="001610B5" w:rsidRDefault="00AE3E37" w:rsidP="001610B5">
      <w:pPr>
        <w:jc w:val="both"/>
        <w:rPr>
          <w:rFonts w:ascii="Times New Roman" w:hAnsi="Times New Roman" w:cs="Times New Roman"/>
          <w:sz w:val="18"/>
          <w:szCs w:val="18"/>
        </w:rPr>
      </w:pPr>
    </w:p>
    <w:p w:rsidR="00AE3E37" w:rsidRPr="001610B5" w:rsidRDefault="00AE3E37" w:rsidP="001610B5">
      <w:pPr>
        <w:jc w:val="both"/>
        <w:rPr>
          <w:rFonts w:ascii="Times New Roman" w:hAnsi="Times New Roman" w:cs="Times New Roman"/>
          <w:sz w:val="18"/>
          <w:szCs w:val="18"/>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BA0" w:rsidRDefault="00A96BA0">
      <w:r>
        <w:separator/>
      </w:r>
    </w:p>
  </w:endnote>
  <w:endnote w:type="continuationSeparator" w:id="0">
    <w:p w:rsidR="00A96BA0" w:rsidRDefault="00A9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BA0" w:rsidRDefault="00A96BA0">
      <w:r>
        <w:separator/>
      </w:r>
    </w:p>
  </w:footnote>
  <w:footnote w:type="continuationSeparator" w:id="0">
    <w:p w:rsidR="00A96BA0" w:rsidRDefault="00A96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237A3C"/>
    <w:multiLevelType w:val="hybridMultilevel"/>
    <w:tmpl w:val="2DA8F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E734FD2"/>
    <w:multiLevelType w:val="hybridMultilevel"/>
    <w:tmpl w:val="07103B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A5654DD"/>
    <w:multiLevelType w:val="hybridMultilevel"/>
    <w:tmpl w:val="BC662A5E"/>
    <w:lvl w:ilvl="0" w:tplc="3DAA0C78">
      <w:numFmt w:val="bullet"/>
      <w:lvlText w:val="•"/>
      <w:lvlJc w:val="left"/>
      <w:pPr>
        <w:ind w:left="1110" w:hanging="390"/>
      </w:pPr>
      <w:rPr>
        <w:rFonts w:ascii="Tw Cen MT" w:eastAsia="Tw Cen MT" w:hAnsi="Tw Cen MT" w:cs="Tw Cen MT" w:hint="default"/>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7184CCA"/>
    <w:multiLevelType w:val="hybridMultilevel"/>
    <w:tmpl w:val="4EC8BC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6C1C3FDC"/>
    <w:multiLevelType w:val="hybridMultilevel"/>
    <w:tmpl w:val="EBA267D4"/>
    <w:lvl w:ilvl="0" w:tplc="3DAA0C78">
      <w:numFmt w:val="bullet"/>
      <w:lvlText w:val="•"/>
      <w:lvlJc w:val="left"/>
      <w:pPr>
        <w:ind w:left="750" w:hanging="390"/>
      </w:pPr>
      <w:rPr>
        <w:rFonts w:ascii="Tw Cen MT" w:eastAsia="Tw Cen MT" w:hAnsi="Tw Cen MT" w:cs="Tw Cen MT"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6"/>
  </w:num>
  <w:num w:numId="6">
    <w:abstractNumId w:val="2"/>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3002"/>
    <w:rsid w:val="000E2911"/>
    <w:rsid w:val="001263DF"/>
    <w:rsid w:val="001610B5"/>
    <w:rsid w:val="002455EC"/>
    <w:rsid w:val="00292ED9"/>
    <w:rsid w:val="00404E5B"/>
    <w:rsid w:val="00414F7B"/>
    <w:rsid w:val="004355DC"/>
    <w:rsid w:val="004749B4"/>
    <w:rsid w:val="00482BEC"/>
    <w:rsid w:val="00494130"/>
    <w:rsid w:val="004F3523"/>
    <w:rsid w:val="00506786"/>
    <w:rsid w:val="005973B9"/>
    <w:rsid w:val="005A41D2"/>
    <w:rsid w:val="005B3A56"/>
    <w:rsid w:val="006060CE"/>
    <w:rsid w:val="0063497F"/>
    <w:rsid w:val="006759A6"/>
    <w:rsid w:val="00680C30"/>
    <w:rsid w:val="0068590A"/>
    <w:rsid w:val="0082578F"/>
    <w:rsid w:val="00873DF0"/>
    <w:rsid w:val="008756E6"/>
    <w:rsid w:val="008A08B6"/>
    <w:rsid w:val="009B2D44"/>
    <w:rsid w:val="00A07E82"/>
    <w:rsid w:val="00A96BA0"/>
    <w:rsid w:val="00A9710C"/>
    <w:rsid w:val="00AE3E37"/>
    <w:rsid w:val="00B21A57"/>
    <w:rsid w:val="00B63D03"/>
    <w:rsid w:val="00C33602"/>
    <w:rsid w:val="00CD6F55"/>
    <w:rsid w:val="00DB631D"/>
    <w:rsid w:val="00DE3104"/>
    <w:rsid w:val="00E26B10"/>
    <w:rsid w:val="00F0259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DB63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B631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389836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3049</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usuario</cp:lastModifiedBy>
  <cp:revision>2</cp:revision>
  <dcterms:created xsi:type="dcterms:W3CDTF">2018-11-03T13:20:00Z</dcterms:created>
  <dcterms:modified xsi:type="dcterms:W3CDTF">2018-11-03T13:20:00Z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