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F3A" w:rsidRDefault="009861E2" w:rsidP="002A3166">
      <w:pPr>
        <w:pStyle w:val="BodyText"/>
        <w:rPr>
          <w:sz w:val="20"/>
        </w:rPr>
      </w:pPr>
      <w:r>
        <w:rPr>
          <w:noProof/>
          <w:sz w:val="20"/>
          <w:lang w:val="en-IN" w:eastAsia="en-IN"/>
        </w:rPr>
        <w:drawing>
          <wp:inline distT="0" distB="0" distL="0" distR="0">
            <wp:extent cx="7386762" cy="1081377"/>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International Conference on (1).jpg"/>
                    <pic:cNvPicPr/>
                  </pic:nvPicPr>
                  <pic:blipFill>
                    <a:blip r:embed="rId7">
                      <a:extLst>
                        <a:ext uri="{28A0092B-C50C-407E-A947-70E740481C1C}">
                          <a14:useLocalDpi xmlns:a14="http://schemas.microsoft.com/office/drawing/2010/main" val="0"/>
                        </a:ext>
                      </a:extLst>
                    </a:blip>
                    <a:stretch>
                      <a:fillRect/>
                    </a:stretch>
                  </pic:blipFill>
                  <pic:spPr>
                    <a:xfrm>
                      <a:off x="0" y="0"/>
                      <a:ext cx="7400752" cy="1083425"/>
                    </a:xfrm>
                    <a:prstGeom prst="rect">
                      <a:avLst/>
                    </a:prstGeom>
                  </pic:spPr>
                </pic:pic>
              </a:graphicData>
            </a:graphic>
          </wp:inline>
        </w:drawing>
      </w:r>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BE523"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" strokecolor="#5a5a5a" strokeweight="2pt">
                <w10:wrap type="topAndBottom" anchorx="page"/>
              </v:line>
            </w:pict>
          </mc:Fallback>
        </mc:AlternateContent>
      </w:r>
    </w:p>
    <w:p w:rsidR="00225F3A" w:rsidRDefault="00225F3A">
      <w:pPr>
        <w:pStyle w:val="BodyText"/>
        <w:rPr>
          <w:b/>
          <w:sz w:val="14"/>
        </w:rPr>
      </w:pPr>
    </w:p>
    <w:p w:rsidR="00225F3A" w:rsidRPr="00A67B40" w:rsidRDefault="00A67B40">
      <w:pPr>
        <w:spacing w:before="92"/>
        <w:ind w:left="594" w:right="151"/>
        <w:rPr>
          <w:b/>
          <w:color w:val="585858"/>
        </w:rPr>
      </w:pPr>
      <w:r w:rsidRPr="00A67B40">
        <w:rPr>
          <w:b/>
          <w:color w:val="585858"/>
        </w:rPr>
        <w:t>Comparison of Decellularized Cow and Human Bone for Engineering Bone Grafts with Human iPS Cells</w:t>
      </w:r>
    </w:p>
    <w:p w:rsidR="00225F3A" w:rsidRPr="00A67B40" w:rsidRDefault="00A67B40">
      <w:pPr>
        <w:pStyle w:val="Heading3"/>
        <w:spacing w:line="214" w:lineRule="exact"/>
        <w:ind w:left="594" w:firstLine="0"/>
        <w:rPr>
          <w:color w:val="585858"/>
        </w:rPr>
      </w:pPr>
      <w:r w:rsidRPr="00A67B40">
        <w:rPr>
          <w:color w:val="585858"/>
        </w:rPr>
        <w:t>Jiayi Cheng</w:t>
      </w:r>
      <w:r>
        <w:rPr>
          <w:color w:val="585858"/>
          <w:position w:val="9"/>
          <w:sz w:val="12"/>
        </w:rPr>
        <w:t>1</w:t>
      </w:r>
      <w:r>
        <w:rPr>
          <w:color w:val="585858"/>
          <w:position w:val="9"/>
          <w:sz w:val="12"/>
        </w:rPr>
        <w:t>, 2, 3</w:t>
      </w:r>
    </w:p>
    <w:p w:rsidR="00225F3A" w:rsidRDefault="00B259F3">
      <w:pPr>
        <w:pStyle w:val="BodyText"/>
        <w:spacing w:before="126" w:line="231" w:lineRule="exact"/>
        <w:ind w:left="594"/>
      </w:pPr>
      <w:r>
        <w:rPr>
          <w:color w:val="585858"/>
          <w:position w:val="9"/>
          <w:sz w:val="12"/>
        </w:rPr>
        <w:t>1</w:t>
      </w:r>
      <w:r w:rsidR="00A67B40">
        <w:rPr>
          <w:color w:val="585858"/>
        </w:rPr>
        <w:t>Columbia University College of Dental Medicine, New York, NY</w:t>
      </w:r>
    </w:p>
    <w:p w:rsidR="00225F3A" w:rsidRDefault="00B259F3">
      <w:pPr>
        <w:pStyle w:val="BodyText"/>
        <w:spacing w:line="231" w:lineRule="exact"/>
        <w:ind w:left="594"/>
        <w:rPr>
          <w:color w:val="585858"/>
        </w:rPr>
      </w:pPr>
      <w:r>
        <w:rPr>
          <w:color w:val="585858"/>
          <w:position w:val="9"/>
          <w:sz w:val="12"/>
        </w:rPr>
        <w:t>2</w:t>
      </w:r>
      <w:r>
        <w:rPr>
          <w:color w:val="585858"/>
        </w:rPr>
        <w:t>D</w:t>
      </w:r>
      <w:r w:rsidR="00A67B40">
        <w:rPr>
          <w:color w:val="585858"/>
        </w:rPr>
        <w:t>ental and Craniofacial Regeneration Foundation, New York, NY</w:t>
      </w:r>
    </w:p>
    <w:p w:rsidR="00A67B40" w:rsidRDefault="00A67B40">
      <w:pPr>
        <w:pStyle w:val="BodyText"/>
        <w:spacing w:line="231" w:lineRule="exact"/>
        <w:ind w:left="594"/>
        <w:rPr>
          <w:color w:val="585858"/>
        </w:rPr>
      </w:pPr>
      <w:r>
        <w:rPr>
          <w:color w:val="585858"/>
          <w:position w:val="9"/>
          <w:sz w:val="12"/>
        </w:rPr>
        <w:t>3</w:t>
      </w:r>
      <w:r>
        <w:rPr>
          <w:color w:val="585858"/>
        </w:rPr>
        <w:t xml:space="preserve">New York Stem Cell </w:t>
      </w:r>
      <w:r>
        <w:rPr>
          <w:color w:val="585858"/>
        </w:rPr>
        <w:t>Foundation</w:t>
      </w:r>
      <w:r>
        <w:rPr>
          <w:color w:val="585858"/>
        </w:rPr>
        <w:t xml:space="preserve"> Research Institute</w:t>
      </w:r>
      <w:r>
        <w:rPr>
          <w:color w:val="585858"/>
        </w:rPr>
        <w:t>, New York, NY</w:t>
      </w:r>
    </w:p>
    <w:p w:rsidR="00A67B40" w:rsidRDefault="00A67B40" w:rsidP="00A67B40">
      <w:pPr>
        <w:pStyle w:val="BodyText"/>
        <w:spacing w:line="231" w:lineRule="exact"/>
      </w:pPr>
    </w:p>
    <w:p w:rsidR="00225F3A" w:rsidRDefault="00225F3A">
      <w:pPr>
        <w:sectPr w:rsidR="00225F3A">
          <w:type w:val="continuous"/>
          <w:pgSz w:w="11910" w:h="16840"/>
          <w:pgMar w:top="600" w:right="180" w:bottom="280" w:left="140" w:header="720" w:footer="720" w:gutter="0"/>
          <w:cols w:space="720"/>
        </w:sectPr>
      </w:pPr>
    </w:p>
    <w:p w:rsidR="00A67B40" w:rsidRDefault="00B259F3">
      <w:pPr>
        <w:pStyle w:val="Heading3"/>
        <w:spacing w:before="114"/>
        <w:ind w:left="426" w:right="9" w:firstLine="0"/>
        <w:jc w:val="both"/>
      </w:pPr>
      <w:r>
        <w:rPr>
          <w:color w:val="585858"/>
        </w:rPr>
        <w:t xml:space="preserve">Keywords: </w:t>
      </w:r>
      <w:r w:rsidR="00A67B40">
        <w:rPr>
          <w:color w:val="585858"/>
        </w:rPr>
        <w:t>Biomaterial scaffold, bone engineering, induced pluripotent stem cells, mesenchymal stem cells, osteogenic differentiation, tissue decellularization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A67B40" w:rsidRPr="00B07031" w:rsidRDefault="00A67B40" w:rsidP="00B07031">
      <w:pPr>
        <w:pStyle w:val="BodyText"/>
        <w:spacing w:before="117"/>
        <w:ind w:left="426"/>
        <w:jc w:val="both"/>
        <w:rPr>
          <w:color w:val="585858"/>
        </w:rPr>
      </w:pPr>
      <w:r w:rsidRPr="00A67B40">
        <w:rPr>
          <w:color w:val="585858"/>
        </w:rPr>
        <w:t>Bone engineering makes it possible to grow unlimited amounts of viable tissue products for basic and applied research, and for clinical applications. A common trend in tissue engineering is the use of decellularized tissue matrices as scaffolding materials, which display structural, mechanical, and biological attributes typical of the native tissue. Due to the limited availability and high cost of human samples, decellularized tissue matrices are typically derived from animal sources. It is unclear, however, whether interspecies differences in tissue parameters will influence the quality of tissue grafts that are engineered using human stem cells. In the present study, decellularized cow and human bone scaffolds were compared for engineering bone grafts using human induced pluripotent stem cell-derived mesodermal progenitor cells. After seeding, the cell-scaffo</w:t>
      </w:r>
      <w:r w:rsidRPr="00A67B40">
        <w:rPr>
          <w:rFonts w:hint="eastAsia"/>
          <w:color w:val="585858"/>
        </w:rPr>
        <w:t>l</w:t>
      </w:r>
      <w:r w:rsidRPr="00A67B40">
        <w:rPr>
          <w:color w:val="585858"/>
        </w:rPr>
        <w:t>d constructs were cultured for five weeks in osteogenic medium under dynamic conditions in perfusion bioreactors. The architectural and chemical properties of the scaffolds were studied using microscopic, spectroscopic, and thermogravimetric techniques, while cell behavior and formation of mineralized tissue were assessed using a combination of molecular assays, histological methods and imaging technologies. The results show that while scaffolds derived from cow and human bone differ somewhat in architecture and composition, both equally support cell viability, tissue growth and formation of mineralized bone matrix. Taken together, the results suggest that scaffolds derived from cow bone represent a suitable and convenient alternative to engineer human bone grafts for various biomedical applications.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r w:rsidR="004B4823" w:rsidRPr="004B4823">
        <w:rPr>
          <w:sz w:val="20"/>
        </w:rPr>
        <w:t xml:space="preserve"> </w:t>
      </w:r>
    </w:p>
    <w:p w:rsidR="00225F3A" w:rsidRDefault="00B07031">
      <w:pPr>
        <w:pStyle w:val="BodyText"/>
        <w:ind w:left="1238"/>
        <w:rPr>
          <w:sz w:val="20"/>
        </w:rPr>
      </w:pPr>
      <w:r w:rsidRPr="004B4823">
        <w:rPr>
          <w:sz w:val="20"/>
        </w:rPr>
        <w:drawing>
          <wp:anchor distT="0" distB="0" distL="114300" distR="114300" simplePos="0" relativeHeight="251657728" behindDoc="0" locked="0" layoutInCell="1" allowOverlap="1" wp14:anchorId="46C19B27">
            <wp:simplePos x="0" y="0"/>
            <wp:positionH relativeFrom="column">
              <wp:posOffset>2246526</wp:posOffset>
            </wp:positionH>
            <wp:positionV relativeFrom="paragraph">
              <wp:posOffset>57116</wp:posOffset>
            </wp:positionV>
            <wp:extent cx="877969" cy="71222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9680" cy="713617"/>
                    </a:xfrm>
                    <a:prstGeom prst="rect">
                      <a:avLst/>
                    </a:prstGeom>
                  </pic:spPr>
                </pic:pic>
              </a:graphicData>
            </a:graphic>
            <wp14:sizeRelH relativeFrom="page">
              <wp14:pctWidth>0</wp14:pctWidth>
            </wp14:sizeRelH>
            <wp14:sizeRelV relativeFrom="page">
              <wp14:pctHeight>0</wp14:pctHeight>
            </wp14:sizeRelV>
          </wp:anchor>
        </w:drawing>
      </w:r>
      <w:r w:rsidRPr="00717A00">
        <w:rPr>
          <w:sz w:val="20"/>
        </w:rPr>
        <w:drawing>
          <wp:anchor distT="0" distB="0" distL="114300" distR="114300" simplePos="0" relativeHeight="251671040" behindDoc="0" locked="0" layoutInCell="1" allowOverlap="1" wp14:anchorId="7535C224">
            <wp:simplePos x="0" y="0"/>
            <wp:positionH relativeFrom="column">
              <wp:posOffset>1615869</wp:posOffset>
            </wp:positionH>
            <wp:positionV relativeFrom="paragraph">
              <wp:posOffset>18303</wp:posOffset>
            </wp:positionV>
            <wp:extent cx="547128" cy="74955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7128" cy="749555"/>
                    </a:xfrm>
                    <a:prstGeom prst="rect">
                      <a:avLst/>
                    </a:prstGeom>
                  </pic:spPr>
                </pic:pic>
              </a:graphicData>
            </a:graphic>
            <wp14:sizeRelH relativeFrom="page">
              <wp14:pctWidth>0</wp14:pctWidth>
            </wp14:sizeRelH>
            <wp14:sizeRelV relativeFrom="page">
              <wp14:pctHeight>0</wp14:pctHeight>
            </wp14:sizeRelV>
          </wp:anchor>
        </w:drawing>
      </w:r>
      <w:r w:rsidRPr="00717A00">
        <w:rPr>
          <w:noProof/>
          <w:lang w:val="en-IN" w:eastAsia="en-IN"/>
        </w:rPr>
        <w:drawing>
          <wp:anchor distT="0" distB="0" distL="114300" distR="114300" simplePos="0" relativeHeight="251667968" behindDoc="0" locked="0" layoutInCell="1" allowOverlap="1" wp14:anchorId="2C6FC0CD" wp14:editId="56444D24">
            <wp:simplePos x="0" y="0"/>
            <wp:positionH relativeFrom="column">
              <wp:posOffset>988712</wp:posOffset>
            </wp:positionH>
            <wp:positionV relativeFrom="paragraph">
              <wp:posOffset>32042</wp:posOffset>
            </wp:positionV>
            <wp:extent cx="541005" cy="735868"/>
            <wp:effectExtent l="0" t="0" r="5715"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005" cy="735868"/>
                    </a:xfrm>
                    <a:prstGeom prst="rect">
                      <a:avLst/>
                    </a:prstGeom>
                  </pic:spPr>
                </pic:pic>
              </a:graphicData>
            </a:graphic>
            <wp14:sizeRelH relativeFrom="page">
              <wp14:pctWidth>0</wp14:pctWidth>
            </wp14:sizeRelH>
            <wp14:sizeRelV relativeFrom="page">
              <wp14:pctHeight>0</wp14:pctHeight>
            </wp14:sizeRelV>
          </wp:anchor>
        </w:drawing>
      </w:r>
      <w:r w:rsidRPr="004B4823">
        <w:drawing>
          <wp:anchor distT="0" distB="0" distL="114300" distR="114300" simplePos="0" relativeHeight="251664896" behindDoc="0" locked="0" layoutInCell="1" allowOverlap="1" wp14:anchorId="70860C76">
            <wp:simplePos x="0" y="0"/>
            <wp:positionH relativeFrom="column">
              <wp:posOffset>380657</wp:posOffset>
            </wp:positionH>
            <wp:positionV relativeFrom="paragraph">
              <wp:posOffset>32403</wp:posOffset>
            </wp:positionV>
            <wp:extent cx="497415" cy="72722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0475" cy="731698"/>
                    </a:xfrm>
                    <a:prstGeom prst="rect">
                      <a:avLst/>
                    </a:prstGeom>
                  </pic:spPr>
                </pic:pic>
              </a:graphicData>
            </a:graphic>
            <wp14:sizeRelH relativeFrom="page">
              <wp14:pctWidth>0</wp14:pctWidth>
            </wp14:sizeRelH>
            <wp14:sizeRelV relativeFrom="page">
              <wp14:pctHeight>0</wp14:pctHeight>
            </wp14:sizeRelV>
          </wp:anchor>
        </w:drawing>
      </w:r>
    </w:p>
    <w:p w:rsidR="00225F3A" w:rsidRPr="00B07031" w:rsidRDefault="00B07031" w:rsidP="00D22F40">
      <w:pPr>
        <w:pStyle w:val="ListParagraph"/>
        <w:tabs>
          <w:tab w:val="left" w:pos="1758"/>
        </w:tabs>
        <w:spacing w:before="92"/>
        <w:ind w:left="1866" w:right="243" w:firstLine="0"/>
        <w:rPr>
          <w:b/>
          <w:sz w:val="19"/>
        </w:rPr>
      </w:pPr>
      <w:r w:rsidRPr="00717A00">
        <w:rPr>
          <w:b/>
          <w:sz w:val="15"/>
        </w:rPr>
        <w:drawing>
          <wp:anchor distT="0" distB="0" distL="114300" distR="114300" simplePos="0" relativeHeight="251668992" behindDoc="0" locked="0" layoutInCell="1" allowOverlap="1" wp14:anchorId="24E91536">
            <wp:simplePos x="0" y="0"/>
            <wp:positionH relativeFrom="column">
              <wp:posOffset>1147102</wp:posOffset>
            </wp:positionH>
            <wp:positionV relativeFrom="paragraph">
              <wp:posOffset>692150</wp:posOffset>
            </wp:positionV>
            <wp:extent cx="492760" cy="553085"/>
            <wp:effectExtent l="0" t="0" r="2540"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2760" cy="553085"/>
                    </a:xfrm>
                    <a:prstGeom prst="rect">
                      <a:avLst/>
                    </a:prstGeom>
                  </pic:spPr>
                </pic:pic>
              </a:graphicData>
            </a:graphic>
            <wp14:sizeRelH relativeFrom="page">
              <wp14:pctWidth>0</wp14:pctWidth>
            </wp14:sizeRelH>
            <wp14:sizeRelV relativeFrom="page">
              <wp14:pctHeight>0</wp14:pctHeight>
            </wp14:sizeRelV>
          </wp:anchor>
        </w:drawing>
      </w:r>
      <w:r w:rsidRPr="00717A00">
        <w:rPr>
          <w:sz w:val="20"/>
        </w:rPr>
        <w:drawing>
          <wp:anchor distT="0" distB="0" distL="114300" distR="114300" simplePos="0" relativeHeight="251670016" behindDoc="0" locked="0" layoutInCell="1" allowOverlap="1" wp14:anchorId="2577AD9A">
            <wp:simplePos x="0" y="0"/>
            <wp:positionH relativeFrom="column">
              <wp:posOffset>1703997</wp:posOffset>
            </wp:positionH>
            <wp:positionV relativeFrom="paragraph">
              <wp:posOffset>695960</wp:posOffset>
            </wp:positionV>
            <wp:extent cx="469265" cy="546100"/>
            <wp:effectExtent l="0" t="0" r="63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9265" cy="546100"/>
                    </a:xfrm>
                    <a:prstGeom prst="rect">
                      <a:avLst/>
                    </a:prstGeom>
                  </pic:spPr>
                </pic:pic>
              </a:graphicData>
            </a:graphic>
            <wp14:sizeRelH relativeFrom="page">
              <wp14:pctWidth>0</wp14:pctWidth>
            </wp14:sizeRelH>
            <wp14:sizeRelV relativeFrom="page">
              <wp14:pctHeight>0</wp14:pctHeight>
            </wp14:sizeRelV>
          </wp:anchor>
        </w:drawing>
      </w:r>
      <w:r w:rsidRPr="004B4823">
        <w:rPr>
          <w:b/>
          <w:color w:val="585858"/>
          <w:w w:val="99"/>
          <w:sz w:val="19"/>
        </w:rPr>
        <w:drawing>
          <wp:anchor distT="0" distB="0" distL="114300" distR="114300" simplePos="0" relativeHeight="251660800" behindDoc="0" locked="0" layoutInCell="1" allowOverlap="1" wp14:anchorId="204C77C7">
            <wp:simplePos x="0" y="0"/>
            <wp:positionH relativeFrom="column">
              <wp:posOffset>2218982</wp:posOffset>
            </wp:positionH>
            <wp:positionV relativeFrom="paragraph">
              <wp:posOffset>704215</wp:posOffset>
            </wp:positionV>
            <wp:extent cx="866057" cy="543697"/>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6057" cy="543697"/>
                    </a:xfrm>
                    <a:prstGeom prst="rect">
                      <a:avLst/>
                    </a:prstGeom>
                  </pic:spPr>
                </pic:pic>
              </a:graphicData>
            </a:graphic>
            <wp14:sizeRelH relativeFrom="page">
              <wp14:pctWidth>0</wp14:pctWidth>
            </wp14:sizeRelH>
            <wp14:sizeRelV relativeFrom="page">
              <wp14:pctHeight>0</wp14:pctHeight>
            </wp14:sizeRelV>
          </wp:anchor>
        </w:drawing>
      </w:r>
      <w:r w:rsidRPr="00717A00">
        <w:drawing>
          <wp:anchor distT="0" distB="0" distL="114300" distR="114300" simplePos="0" relativeHeight="251665920" behindDoc="0" locked="0" layoutInCell="1" allowOverlap="1" wp14:anchorId="557240F5">
            <wp:simplePos x="0" y="0"/>
            <wp:positionH relativeFrom="column">
              <wp:posOffset>379490</wp:posOffset>
            </wp:positionH>
            <wp:positionV relativeFrom="paragraph">
              <wp:posOffset>684736</wp:posOffset>
            </wp:positionV>
            <wp:extent cx="694806" cy="553544"/>
            <wp:effectExtent l="0" t="0" r="381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94806" cy="553544"/>
                    </a:xfrm>
                    <a:prstGeom prst="rect">
                      <a:avLst/>
                    </a:prstGeom>
                  </pic:spPr>
                </pic:pic>
              </a:graphicData>
            </a:graphic>
            <wp14:sizeRelH relativeFrom="page">
              <wp14:pctWidth>0</wp14:pctWidth>
            </wp14:sizeRelH>
            <wp14:sizeRelV relativeFrom="page">
              <wp14:pctHeight>0</wp14:pctHeight>
            </wp14:sizeRelV>
          </wp:anchor>
        </w:drawing>
      </w:r>
      <w:r w:rsidR="00B259F3">
        <w:rPr>
          <w:b/>
          <w:color w:val="585858"/>
          <w:w w:val="99"/>
          <w:sz w:val="19"/>
        </w:rPr>
        <w:br w:type="column"/>
      </w:r>
      <w:r w:rsidR="00B259F3" w:rsidRPr="00B07031">
        <w:rPr>
          <w:b/>
          <w:color w:val="585858"/>
          <w:sz w:val="19"/>
        </w:rPr>
        <w:t>Reference:</w:t>
      </w:r>
    </w:p>
    <w:p w:rsidR="001555DB" w:rsidRPr="00984C5D" w:rsidRDefault="001555DB" w:rsidP="001555DB">
      <w:pPr>
        <w:pStyle w:val="ListParagraph"/>
        <w:numPr>
          <w:ilvl w:val="0"/>
          <w:numId w:val="2"/>
        </w:numPr>
        <w:jc w:val="both"/>
        <w:rPr>
          <w:sz w:val="18"/>
          <w:szCs w:val="18"/>
        </w:rPr>
      </w:pPr>
      <w:r w:rsidRPr="00984C5D">
        <w:rPr>
          <w:sz w:val="18"/>
          <w:szCs w:val="18"/>
        </w:rPr>
        <w:t>Pirnay, J. P., Baudoux, E., Cornu, O., Delforge, A., Delloye, C., Guns, J., … Sterckx, S. (2015). Access to human tissues for research and product development: From EU regulation to alarming legal developments in Belgium. EMBO Reports, 16(5), 557-562.</w:t>
      </w:r>
    </w:p>
    <w:p w:rsidR="001555DB" w:rsidRPr="00984C5D" w:rsidRDefault="001555DB" w:rsidP="001555DB">
      <w:pPr>
        <w:pStyle w:val="ListParagraph"/>
        <w:numPr>
          <w:ilvl w:val="0"/>
          <w:numId w:val="2"/>
        </w:numPr>
        <w:jc w:val="both"/>
        <w:rPr>
          <w:sz w:val="18"/>
          <w:szCs w:val="18"/>
        </w:rPr>
      </w:pPr>
      <w:r w:rsidRPr="00984C5D">
        <w:rPr>
          <w:sz w:val="18"/>
          <w:szCs w:val="18"/>
        </w:rPr>
        <w:t>Hillier ML, Bell LS. Differentiating human bone from animal bone: a review of histological methods. J Forensic Sci. 2007 Mar; 52(2): 249-63Wang X, Mabrey JD, Agrawal CM. An interspecies comparison of bone fracture properties. Biomed Mater Eng. 1998;8(1):1-9.</w:t>
      </w:r>
    </w:p>
    <w:p w:rsidR="001555DB" w:rsidRPr="00984C5D" w:rsidRDefault="001555DB" w:rsidP="001555DB">
      <w:pPr>
        <w:pStyle w:val="ListParagraph"/>
        <w:numPr>
          <w:ilvl w:val="0"/>
          <w:numId w:val="2"/>
        </w:numPr>
        <w:jc w:val="both"/>
        <w:rPr>
          <w:sz w:val="18"/>
          <w:szCs w:val="18"/>
        </w:rPr>
      </w:pPr>
      <w:r w:rsidRPr="00984C5D">
        <w:rPr>
          <w:sz w:val="18"/>
          <w:szCs w:val="18"/>
        </w:rPr>
        <w:t>Aerssens J, Boonen S, Lowet G, Dequeker J. Interspecies differences in bone composition, density, and quality: potential implications for in vivo bone research. Endocrinology. 1998 Feb;139(2): 663-70.</w:t>
      </w:r>
    </w:p>
    <w:p w:rsidR="001555DB" w:rsidRDefault="001555DB" w:rsidP="001555DB">
      <w:pPr>
        <w:pStyle w:val="ListParagraph"/>
        <w:numPr>
          <w:ilvl w:val="0"/>
          <w:numId w:val="2"/>
        </w:numPr>
        <w:jc w:val="both"/>
        <w:rPr>
          <w:sz w:val="18"/>
          <w:szCs w:val="18"/>
          <w:lang w:eastAsia="zh-CN"/>
        </w:rPr>
      </w:pPr>
      <w:r w:rsidRPr="00984C5D">
        <w:rPr>
          <w:sz w:val="18"/>
          <w:szCs w:val="18"/>
        </w:rPr>
        <w:t>S</w:t>
      </w:r>
      <w:r w:rsidRPr="00984C5D">
        <w:rPr>
          <w:rFonts w:hint="eastAsia"/>
          <w:sz w:val="18"/>
          <w:szCs w:val="18"/>
          <w:lang w:eastAsia="zh-CN"/>
        </w:rPr>
        <w:t>lad</w:t>
      </w:r>
      <w:r w:rsidRPr="00984C5D">
        <w:rPr>
          <w:sz w:val="18"/>
          <w:szCs w:val="18"/>
          <w:lang w:eastAsia="zh-CN"/>
        </w:rPr>
        <w:t xml:space="preserve">kova M, Palmer M, Ohman C, Cheng J, Al-Ansari S, Saad M, Engqvist H, de Peppo GM. Engineering human bone grafts with new microporous calcium phosphate cement scaffolds. </w:t>
      </w:r>
      <w:r>
        <w:rPr>
          <w:sz w:val="18"/>
          <w:szCs w:val="18"/>
          <w:lang w:eastAsia="zh-CN"/>
        </w:rPr>
        <w:t>J Tissue Eng Regen Med. 2018 Mar</w:t>
      </w:r>
      <w:r w:rsidRPr="00984C5D">
        <w:rPr>
          <w:sz w:val="18"/>
          <w:szCs w:val="18"/>
          <w:lang w:eastAsia="zh-CN"/>
        </w:rPr>
        <w:t>; 12(3): 715-726.</w:t>
      </w:r>
    </w:p>
    <w:p w:rsidR="00BB494E" w:rsidRPr="00BB494E" w:rsidRDefault="00BB494E" w:rsidP="00BB494E">
      <w:pPr>
        <w:pStyle w:val="ListParagraph"/>
        <w:numPr>
          <w:ilvl w:val="0"/>
          <w:numId w:val="2"/>
        </w:numPr>
        <w:jc w:val="both"/>
        <w:rPr>
          <w:sz w:val="18"/>
          <w:szCs w:val="18"/>
        </w:rPr>
      </w:pPr>
      <w:r w:rsidRPr="00984C5D">
        <w:rPr>
          <w:sz w:val="18"/>
          <w:szCs w:val="18"/>
        </w:rPr>
        <w:t>De Peppo GM, Marcos-Campos I, Kahler DJ, Alsalman D, Shang L, Vunjak-Novakovic G, Marolt D. Engineering bone tissue substitutes from human induced pluripotent stem cells. Proc Natl Acad Sci U S A. 2013 May 21; 110(21): 8680-5.</w:t>
      </w:r>
    </w:p>
    <w:p w:rsidR="001555DB" w:rsidRPr="004B4823" w:rsidRDefault="001555DB" w:rsidP="004B4823">
      <w:pPr>
        <w:tabs>
          <w:tab w:val="left" w:pos="1037"/>
          <w:tab w:val="left" w:pos="1038"/>
        </w:tabs>
        <w:ind w:right="612"/>
        <w:rPr>
          <w:sz w:val="19"/>
        </w:rPr>
      </w:pP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rPr>
          <w:color w:val="585858"/>
        </w:rPr>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717A00" w:rsidRDefault="00717A00" w:rsidP="00B07031">
      <w:pPr>
        <w:pStyle w:val="BodyText"/>
        <w:spacing w:before="119"/>
        <w:ind w:right="381"/>
        <w:jc w:val="both"/>
      </w:pPr>
    </w:p>
    <w:p w:rsidR="00225F3A" w:rsidRDefault="00B259F3" w:rsidP="00B07031">
      <w:pPr>
        <w:pStyle w:val="Heading3"/>
        <w:tabs>
          <w:tab w:val="left" w:pos="1757"/>
          <w:tab w:val="left" w:pos="1758"/>
        </w:tabs>
        <w:spacing w:before="1"/>
        <w:ind w:left="1866" w:right="190" w:firstLine="0"/>
        <w:jc w:val="right"/>
      </w:pPr>
      <w:r>
        <w:rPr>
          <w:color w:val="585858"/>
        </w:rPr>
        <w:t>Presenting author</w:t>
      </w:r>
      <w:r>
        <w:rPr>
          <w:color w:val="585858"/>
          <w:spacing w:val="-7"/>
        </w:rPr>
        <w:t xml:space="preserve"> </w:t>
      </w:r>
      <w:r>
        <w:rPr>
          <w:color w:val="585858"/>
        </w:rPr>
        <w:t>details</w:t>
      </w:r>
    </w:p>
    <w:p w:rsidR="00225F3A" w:rsidRDefault="00B07031" w:rsidP="00B07031">
      <w:pPr>
        <w:pStyle w:val="BodyText"/>
        <w:spacing w:before="7"/>
        <w:ind w:right="130"/>
        <w:rPr>
          <w:b/>
          <w:sz w:val="15"/>
        </w:rPr>
      </w:pPr>
      <w:r w:rsidRPr="00CA798C">
        <w:rPr>
          <w:noProof/>
          <w:color w:val="000000" w:themeColor="text1"/>
          <w:sz w:val="26"/>
          <w:szCs w:val="26"/>
          <w:shd w:val="clear" w:color="auto" w:fill="FFFFFF"/>
        </w:rPr>
        <w:drawing>
          <wp:anchor distT="0" distB="0" distL="114300" distR="114300" simplePos="0" relativeHeight="251673088" behindDoc="0" locked="0" layoutInCell="1" allowOverlap="1" wp14:anchorId="640B0A1D" wp14:editId="168FF618">
            <wp:simplePos x="0" y="0"/>
            <wp:positionH relativeFrom="column">
              <wp:posOffset>207353</wp:posOffset>
            </wp:positionH>
            <wp:positionV relativeFrom="paragraph">
              <wp:posOffset>140970</wp:posOffset>
            </wp:positionV>
            <wp:extent cx="1249680" cy="1028700"/>
            <wp:effectExtent l="0" t="0" r="0" b="0"/>
            <wp:wrapNone/>
            <wp:docPr id="3" name="Picture 3" descr="../../Library/Containers/com.tencent.xinWeChat/Data/Library/Application%20Support/com.tencent.xinWeChat/2.0b4.0.9/bee6afc934075597bf087421726cabdc/Message/MessageTemp/96f3c3179c942f250b6337c3c932b29a/Image/1791512113148_.pic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ary/Containers/com.tencent.xinWeChat/Data/Library/Application%20Support/com.tencent.xinWeChat/2.0b4.0.9/bee6afc934075597bf087421726cabdc/Message/MessageTemp/96f3c3179c942f250b6337c3c932b29a/Image/1791512113148_.pic_hd.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125" b="26970"/>
                    <a:stretch/>
                  </pic:blipFill>
                  <pic:spPr bwMode="auto">
                    <a:xfrm>
                      <a:off x="0" y="0"/>
                      <a:ext cx="1249680" cy="102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59F3">
        <w:rPr>
          <w:noProof/>
          <w:lang w:val="en-IN" w:eastAsia="en-IN"/>
        </w:rPr>
        <w:drawing>
          <wp:anchor distT="0" distB="0" distL="0" distR="0" simplePos="0" relativeHeight="25165158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7" cstate="print"/>
                    <a:stretch>
                      <a:fillRect/>
                    </a:stretch>
                  </pic:blipFill>
                  <pic:spPr>
                    <a:xfrm>
                      <a:off x="0" y="0"/>
                      <a:ext cx="1250325" cy="1028700"/>
                    </a:xfrm>
                    <a:prstGeom prst="rect">
                      <a:avLst/>
                    </a:prstGeom>
                  </pic:spPr>
                </pic:pic>
              </a:graphicData>
            </a:graphic>
          </wp:anchor>
        </w:drawing>
      </w:r>
    </w:p>
    <w:p w:rsidR="00225F3A" w:rsidRPr="004870FC" w:rsidRDefault="004870FC" w:rsidP="004870FC">
      <w:pPr>
        <w:pStyle w:val="BodyText"/>
        <w:spacing w:before="172"/>
        <w:ind w:left="316" w:right="4143"/>
        <w:rPr>
          <w:color w:val="585858"/>
        </w:rPr>
      </w:pPr>
      <w:r w:rsidRPr="004870FC">
        <w:rPr>
          <w:rFonts w:eastAsiaTheme="minorEastAsia"/>
          <w:color w:val="585858"/>
          <w:lang w:eastAsia="zh-CN"/>
        </w:rPr>
        <w:t>Jiayi Cheng</w:t>
      </w:r>
      <w:r>
        <w:rPr>
          <w:color w:val="585858"/>
        </w:rPr>
        <w:t xml:space="preserve"> 9173700379</w:t>
      </w:r>
      <w:r w:rsidR="00B259F3">
        <w:rPr>
          <w:color w:val="585858"/>
        </w:rPr>
        <w:t xml:space="preserve"> </w:t>
      </w:r>
    </w:p>
    <w:p w:rsidR="00225F3A" w:rsidRDefault="004870FC">
      <w:pPr>
        <w:pStyle w:val="BodyText"/>
        <w:ind w:left="316"/>
      </w:pPr>
      <w:r>
        <w:rPr>
          <w:color w:val="585858"/>
        </w:rPr>
        <w:t xml:space="preserve">Stem cells for </w:t>
      </w:r>
      <w:r w:rsidR="00BB494E">
        <w:rPr>
          <w:color w:val="585858"/>
        </w:rPr>
        <w:t>orthopaedics conditions</w:t>
      </w:r>
    </w:p>
    <w:p w:rsidR="004870FC" w:rsidRDefault="00B259F3">
      <w:pPr>
        <w:pStyle w:val="BodyText"/>
        <w:ind w:left="316" w:right="1786"/>
        <w:rPr>
          <w:color w:val="585858"/>
        </w:rPr>
      </w:pPr>
      <w:r>
        <w:rPr>
          <w:color w:val="585858"/>
        </w:rPr>
        <w:t>Oral pr</w:t>
      </w:r>
      <w:r w:rsidR="004870FC">
        <w:rPr>
          <w:color w:val="585858"/>
        </w:rPr>
        <w:t>esentation</w:t>
      </w:r>
    </w:p>
    <w:p w:rsidR="00225F3A" w:rsidRDefault="004870FC">
      <w:pPr>
        <w:pStyle w:val="BodyText"/>
        <w:ind w:left="316" w:right="1786"/>
        <w:rPr>
          <w:sz w:val="18"/>
        </w:rPr>
      </w:pPr>
      <w:r>
        <w:rPr>
          <w:color w:val="585858"/>
        </w:rPr>
        <w:t>E93581186</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12219D" id="Group 2" o:spid="_x0000_s1026" style="width:569pt;height:14.2pt;flip:y;mso-position-horizontal-relative:char;mso-position-vertical-relative:line" coordsize="11380,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">
                <v:line id="Line 3" o:spid="_x0000_s1027" style="position:absolute;visibility:visible;mso-wrap-style:square" from="20,35" to="11360,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&#13;&#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717A00" w:rsidRPr="00BB494E" w:rsidRDefault="004B6F08" w:rsidP="00146F6C">
      <w:pPr>
        <w:spacing w:line="276" w:lineRule="exact"/>
        <w:ind w:right="1488"/>
        <w:rPr>
          <w:color w:val="585858"/>
          <w:sz w:val="24"/>
        </w:rPr>
      </w:pPr>
      <w:r>
        <w:rPr>
          <w:color w:val="585858"/>
          <w:sz w:val="24"/>
        </w:rPr>
        <w:t xml:space="preserve">        </w:t>
      </w:r>
      <w:r w:rsidR="00B259F3">
        <w:rPr>
          <w:color w:val="585858"/>
          <w:sz w:val="24"/>
        </w:rPr>
        <w:t xml:space="preserve">Web: </w:t>
      </w:r>
      <w:hyperlink r:id="rId18"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Pr="004B6F08">
        <w:rPr>
          <w:color w:val="585858"/>
          <w:sz w:val="24"/>
        </w:rPr>
        <w:t>orthopedics@annualsummits.com</w:t>
      </w:r>
      <w:bookmarkStart w:id="0" w:name="_GoBack"/>
      <w:bookmarkEnd w:id="0"/>
    </w:p>
    <w:sectPr w:rsidR="00717A00" w:rsidRPr="00BB494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1727" w:rsidRDefault="00951727" w:rsidP="002A3166">
      <w:r>
        <w:separator/>
      </w:r>
    </w:p>
  </w:endnote>
  <w:endnote w:type="continuationSeparator" w:id="0">
    <w:p w:rsidR="00951727" w:rsidRDefault="00951727"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8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1727" w:rsidRDefault="00951727" w:rsidP="002A3166">
      <w:r>
        <w:separator/>
      </w:r>
    </w:p>
  </w:footnote>
  <w:footnote w:type="continuationSeparator" w:id="0">
    <w:p w:rsidR="00951727" w:rsidRDefault="00951727"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C14CF39A"/>
    <w:lvl w:ilvl="0" w:tplc="065AE5E4">
      <w:start w:val="1"/>
      <w:numFmt w:val="decimal"/>
      <w:lvlText w:val="%1."/>
      <w:lvlJc w:val="left"/>
      <w:pPr>
        <w:ind w:left="1037" w:hanging="360"/>
      </w:pPr>
      <w:rPr>
        <w:rFonts w:ascii="Times New Roman" w:eastAsia="Times New Roman" w:hAnsi="Times New Roman" w:cs="Times New Roman"/>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16650"/>
    <w:rsid w:val="000409AB"/>
    <w:rsid w:val="000A51A2"/>
    <w:rsid w:val="00146F6C"/>
    <w:rsid w:val="001555DB"/>
    <w:rsid w:val="00225F3A"/>
    <w:rsid w:val="002A3166"/>
    <w:rsid w:val="004870FC"/>
    <w:rsid w:val="004B4823"/>
    <w:rsid w:val="004B6F08"/>
    <w:rsid w:val="00596150"/>
    <w:rsid w:val="005F4466"/>
    <w:rsid w:val="00717A00"/>
    <w:rsid w:val="007F4E7A"/>
    <w:rsid w:val="00833A76"/>
    <w:rsid w:val="00903A27"/>
    <w:rsid w:val="00951727"/>
    <w:rsid w:val="009861E2"/>
    <w:rsid w:val="00A67B40"/>
    <w:rsid w:val="00A955CC"/>
    <w:rsid w:val="00B07031"/>
    <w:rsid w:val="00B259F3"/>
    <w:rsid w:val="00BB494E"/>
    <w:rsid w:val="00C84F39"/>
    <w:rsid w:val="00D04D94"/>
    <w:rsid w:val="00D22F40"/>
    <w:rsid w:val="00DB414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65BD3"/>
  <w15:docId w15:val="{3C2DCF5D-8151-0546-8875-4D8F62DC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hyperlink" Target="%20https://www.meetingsint.com/conferences/orthopedics%20"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tif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Cheng, Jiayi</cp:lastModifiedBy>
  <cp:revision>3</cp:revision>
  <dcterms:created xsi:type="dcterms:W3CDTF">2018-09-13T02:20:00Z</dcterms:created>
  <dcterms:modified xsi:type="dcterms:W3CDTF">2018-09-13T03:05:00Z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